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A8192" w14:textId="0474BA25" w:rsidR="0051299B" w:rsidRPr="0024206A" w:rsidRDefault="0051299B" w:rsidP="0051299B">
      <w:pPr>
        <w:pStyle w:val="ListParagraph"/>
        <w:spacing w:after="200" w:line="276" w:lineRule="auto"/>
        <w:ind w:left="0"/>
        <w:rPr>
          <w:rFonts w:ascii="Arial" w:eastAsia="Calibri" w:hAnsi="Arial" w:cs="Arial"/>
          <w:b/>
        </w:rPr>
      </w:pPr>
      <w:r w:rsidRPr="0024206A">
        <w:rPr>
          <w:rFonts w:ascii="Arial" w:eastAsia="Calibri" w:hAnsi="Arial" w:cs="Arial"/>
          <w:b/>
        </w:rPr>
        <w:t xml:space="preserve">POLICE AND CRIME COMMISSIONER FOR HAMPSHIRE AND </w:t>
      </w:r>
      <w:r w:rsidR="002E6A8A">
        <w:rPr>
          <w:rFonts w:ascii="Arial" w:eastAsia="Calibri" w:hAnsi="Arial" w:cs="Arial"/>
          <w:b/>
        </w:rPr>
        <w:t>ISLE OF WIGHT</w:t>
      </w:r>
      <w:r w:rsidRPr="0024206A">
        <w:rPr>
          <w:rFonts w:ascii="Arial" w:eastAsia="Calibri" w:hAnsi="Arial" w:cs="Arial"/>
          <w:b/>
        </w:rPr>
        <w:t xml:space="preserve"> CONSTABULARY</w:t>
      </w:r>
    </w:p>
    <w:p w14:paraId="0AF98633" w14:textId="35939DF3" w:rsidR="0051299B" w:rsidRPr="0024206A" w:rsidRDefault="0051299B" w:rsidP="0051299B">
      <w:pPr>
        <w:pStyle w:val="ListParagraph"/>
        <w:spacing w:after="200" w:line="276" w:lineRule="auto"/>
        <w:ind w:left="0"/>
        <w:rPr>
          <w:rFonts w:ascii="Arial" w:eastAsia="Calibri" w:hAnsi="Arial" w:cs="Arial"/>
          <w:b/>
        </w:rPr>
      </w:pPr>
      <w:r w:rsidRPr="0024206A">
        <w:rPr>
          <w:rFonts w:ascii="Arial" w:eastAsia="Calibri" w:hAnsi="Arial" w:cs="Arial"/>
          <w:b/>
        </w:rPr>
        <w:t xml:space="preserve">JOINT AUDIT COMMITTEE – </w:t>
      </w:r>
      <w:r w:rsidR="002801EB">
        <w:rPr>
          <w:rFonts w:ascii="Arial" w:eastAsia="Calibri" w:hAnsi="Arial" w:cs="Arial"/>
          <w:b/>
        </w:rPr>
        <w:t>2</w:t>
      </w:r>
      <w:r w:rsidR="002E6A8A">
        <w:rPr>
          <w:rFonts w:ascii="Arial" w:eastAsia="Calibri" w:hAnsi="Arial" w:cs="Arial"/>
          <w:b/>
        </w:rPr>
        <w:t>1</w:t>
      </w:r>
      <w:r w:rsidR="002801EB">
        <w:rPr>
          <w:rFonts w:ascii="Arial" w:eastAsia="Calibri" w:hAnsi="Arial" w:cs="Arial"/>
          <w:b/>
        </w:rPr>
        <w:t xml:space="preserve"> </w:t>
      </w:r>
      <w:r w:rsidR="002E6A8A">
        <w:rPr>
          <w:rFonts w:ascii="Arial" w:eastAsia="Calibri" w:hAnsi="Arial" w:cs="Arial"/>
          <w:b/>
        </w:rPr>
        <w:t>May</w:t>
      </w:r>
      <w:r w:rsidR="00EB3915">
        <w:rPr>
          <w:rFonts w:ascii="Arial" w:eastAsia="Calibri" w:hAnsi="Arial" w:cs="Arial"/>
          <w:b/>
        </w:rPr>
        <w:t xml:space="preserve"> 202</w:t>
      </w:r>
      <w:r w:rsidR="002E6A8A">
        <w:rPr>
          <w:rFonts w:ascii="Arial" w:eastAsia="Calibri" w:hAnsi="Arial" w:cs="Arial"/>
          <w:b/>
        </w:rPr>
        <w:t>4</w:t>
      </w:r>
    </w:p>
    <w:p w14:paraId="219E02EF" w14:textId="2916158A" w:rsidR="0051299B" w:rsidRPr="0024206A" w:rsidRDefault="0051299B" w:rsidP="0051299B">
      <w:pPr>
        <w:pStyle w:val="ListParagraph"/>
        <w:spacing w:after="200" w:line="276" w:lineRule="auto"/>
        <w:ind w:left="0"/>
        <w:rPr>
          <w:rFonts w:ascii="Arial" w:hAnsi="Arial" w:cs="Arial"/>
          <w:i/>
        </w:rPr>
      </w:pPr>
      <w:r w:rsidRPr="0024206A">
        <w:rPr>
          <w:rFonts w:ascii="Arial" w:eastAsia="Calibri" w:hAnsi="Arial" w:cs="Arial"/>
          <w:i/>
        </w:rPr>
        <w:t>Annual Treasury Outturn Report 20</w:t>
      </w:r>
      <w:r w:rsidR="00EB3915">
        <w:rPr>
          <w:rFonts w:ascii="Arial" w:eastAsia="Calibri" w:hAnsi="Arial" w:cs="Arial"/>
          <w:i/>
        </w:rPr>
        <w:t>2</w:t>
      </w:r>
      <w:r w:rsidR="002E6A8A">
        <w:rPr>
          <w:rFonts w:ascii="Arial" w:eastAsia="Calibri" w:hAnsi="Arial" w:cs="Arial"/>
          <w:i/>
        </w:rPr>
        <w:t>3</w:t>
      </w:r>
      <w:r w:rsidR="00EB3915">
        <w:rPr>
          <w:rFonts w:ascii="Arial" w:eastAsia="Calibri" w:hAnsi="Arial" w:cs="Arial"/>
          <w:i/>
        </w:rPr>
        <w:t>/2</w:t>
      </w:r>
      <w:r w:rsidR="002E6A8A">
        <w:rPr>
          <w:rFonts w:ascii="Arial" w:eastAsia="Calibri" w:hAnsi="Arial" w:cs="Arial"/>
          <w:i/>
        </w:rPr>
        <w:t>4</w:t>
      </w:r>
    </w:p>
    <w:p w14:paraId="45E34B56" w14:textId="77777777" w:rsidR="0051299B" w:rsidRPr="0024206A" w:rsidRDefault="0051299B" w:rsidP="0051299B">
      <w:pPr>
        <w:pStyle w:val="ListParagraph"/>
        <w:spacing w:after="200" w:line="276" w:lineRule="auto"/>
        <w:ind w:left="0"/>
        <w:rPr>
          <w:rFonts w:ascii="Arial" w:eastAsia="Calibri" w:hAnsi="Arial" w:cs="Arial"/>
          <w:b/>
        </w:rPr>
      </w:pPr>
      <w:r w:rsidRPr="0024206A">
        <w:rPr>
          <w:rFonts w:ascii="Arial" w:eastAsia="Calibri" w:hAnsi="Arial" w:cs="Arial"/>
          <w:b/>
        </w:rPr>
        <w:t>REPORT OF THE CHIEF FINANCE OFFICER OF THE OFFICE OF THE POLICE AND CRIME COMMISSIONER</w:t>
      </w:r>
    </w:p>
    <w:p w14:paraId="3BCE0B24" w14:textId="77777777" w:rsidR="0051299B" w:rsidRPr="00E4751E" w:rsidRDefault="0051299B" w:rsidP="003C3808">
      <w:pPr>
        <w:keepNext/>
        <w:numPr>
          <w:ilvl w:val="0"/>
          <w:numId w:val="2"/>
        </w:numPr>
        <w:tabs>
          <w:tab w:val="num" w:pos="720"/>
        </w:tabs>
        <w:spacing w:after="240"/>
        <w:ind w:left="431" w:hanging="431"/>
        <w:outlineLvl w:val="0"/>
        <w:rPr>
          <w:rFonts w:ascii="Arial" w:hAnsi="Arial" w:cs="Arial"/>
          <w:b/>
        </w:rPr>
      </w:pPr>
      <w:r w:rsidRPr="00E4751E">
        <w:rPr>
          <w:rFonts w:ascii="Arial" w:hAnsi="Arial" w:cs="Arial"/>
          <w:b/>
        </w:rPr>
        <w:t>Purpose</w:t>
      </w:r>
    </w:p>
    <w:p w14:paraId="6A8E494E" w14:textId="1527ACE5" w:rsidR="0051299B" w:rsidRPr="00E4751E" w:rsidRDefault="0051299B" w:rsidP="003C3808">
      <w:pPr>
        <w:pStyle w:val="ListParagraph"/>
        <w:numPr>
          <w:ilvl w:val="1"/>
          <w:numId w:val="2"/>
        </w:numPr>
        <w:spacing w:after="240"/>
        <w:ind w:left="720" w:hanging="720"/>
        <w:rPr>
          <w:rFonts w:ascii="Arial" w:hAnsi="Arial" w:cs="Arial"/>
        </w:rPr>
      </w:pPr>
      <w:r w:rsidRPr="00E4751E">
        <w:rPr>
          <w:rFonts w:ascii="Arial" w:hAnsi="Arial" w:cs="Arial"/>
        </w:rPr>
        <w:t xml:space="preserve">The Police </w:t>
      </w:r>
      <w:r w:rsidR="00943EA5" w:rsidRPr="00E4751E">
        <w:rPr>
          <w:rFonts w:ascii="Arial" w:hAnsi="Arial" w:cs="Arial"/>
        </w:rPr>
        <w:t>and</w:t>
      </w:r>
      <w:r w:rsidRPr="00E4751E">
        <w:rPr>
          <w:rFonts w:ascii="Arial" w:hAnsi="Arial" w:cs="Arial"/>
        </w:rPr>
        <w:t xml:space="preserve"> Crime Commissioner for Hampshire</w:t>
      </w:r>
      <w:r w:rsidR="0030399E">
        <w:rPr>
          <w:rFonts w:ascii="Arial" w:hAnsi="Arial" w:cs="Arial"/>
        </w:rPr>
        <w:t xml:space="preserve"> and Isle of Wight</w:t>
      </w:r>
      <w:r w:rsidRPr="00E4751E">
        <w:rPr>
          <w:rFonts w:ascii="Arial" w:hAnsi="Arial" w:cs="Arial"/>
        </w:rPr>
        <w:t xml:space="preserve"> (PCC) </w:t>
      </w:r>
      <w:r w:rsidR="00377E7F" w:rsidRPr="00E4751E">
        <w:rPr>
          <w:rFonts w:ascii="Arial" w:hAnsi="Arial" w:cs="Arial"/>
        </w:rPr>
        <w:t xml:space="preserve">has adopted the key recommendations of the Chartered Institute of Public Finance and Accountancy’s Treasury Management in the Public Services: Code of Practice (the CIPFA </w:t>
      </w:r>
      <w:r w:rsidR="00B16149">
        <w:rPr>
          <w:rFonts w:ascii="Arial" w:hAnsi="Arial" w:cs="Arial"/>
        </w:rPr>
        <w:t>Treasury Management</w:t>
      </w:r>
      <w:r w:rsidR="00377E7F" w:rsidRPr="00E4751E">
        <w:rPr>
          <w:rFonts w:ascii="Arial" w:hAnsi="Arial" w:cs="Arial"/>
        </w:rPr>
        <w:t xml:space="preserve"> Code), last updated in 20</w:t>
      </w:r>
      <w:r w:rsidR="00104283" w:rsidRPr="00E4751E">
        <w:rPr>
          <w:rFonts w:ascii="Arial" w:hAnsi="Arial" w:cs="Arial"/>
        </w:rPr>
        <w:t>2</w:t>
      </w:r>
      <w:r w:rsidR="00377E7F" w:rsidRPr="00E4751E">
        <w:rPr>
          <w:rFonts w:ascii="Arial" w:hAnsi="Arial" w:cs="Arial"/>
        </w:rPr>
        <w:t xml:space="preserve">1. The CIPFA </w:t>
      </w:r>
      <w:r w:rsidR="00B16149">
        <w:rPr>
          <w:rFonts w:ascii="Arial" w:hAnsi="Arial" w:cs="Arial"/>
        </w:rPr>
        <w:t>Treasury Management</w:t>
      </w:r>
      <w:r w:rsidR="00377E7F" w:rsidRPr="00E4751E">
        <w:rPr>
          <w:rFonts w:ascii="Arial" w:hAnsi="Arial" w:cs="Arial"/>
        </w:rPr>
        <w:t xml:space="preserve"> Code requires the PCC to approve a treasury management strategy before the start of the year and a semi-annual and annual treasury outturn report</w:t>
      </w:r>
      <w:r w:rsidR="00943EA5" w:rsidRPr="00E4751E">
        <w:rPr>
          <w:rFonts w:ascii="Arial" w:hAnsi="Arial" w:cs="Arial"/>
        </w:rPr>
        <w:t xml:space="preserve">.  The purpose of this report is therefore </w:t>
      </w:r>
      <w:r w:rsidR="00D145F8" w:rsidRPr="00E4751E">
        <w:rPr>
          <w:rFonts w:ascii="Arial" w:hAnsi="Arial" w:cs="Arial"/>
        </w:rPr>
        <w:t>to meet this obligation by providing an update on the performance of the treasury management function during 202</w:t>
      </w:r>
      <w:r w:rsidR="002E6A8A">
        <w:rPr>
          <w:rFonts w:ascii="Arial" w:hAnsi="Arial" w:cs="Arial"/>
        </w:rPr>
        <w:t>3</w:t>
      </w:r>
      <w:r w:rsidR="00D145F8" w:rsidRPr="00E4751E">
        <w:rPr>
          <w:rFonts w:ascii="Arial" w:hAnsi="Arial" w:cs="Arial"/>
        </w:rPr>
        <w:t>/2</w:t>
      </w:r>
      <w:r w:rsidR="002E6A8A">
        <w:rPr>
          <w:rFonts w:ascii="Arial" w:hAnsi="Arial" w:cs="Arial"/>
        </w:rPr>
        <w:t>4</w:t>
      </w:r>
      <w:r w:rsidR="00D145F8" w:rsidRPr="00E4751E">
        <w:rPr>
          <w:rFonts w:ascii="Arial" w:hAnsi="Arial" w:cs="Arial"/>
        </w:rPr>
        <w:t>.</w:t>
      </w:r>
    </w:p>
    <w:p w14:paraId="6F9F1E62" w14:textId="77777777" w:rsidR="0051299B" w:rsidRPr="00E4751E" w:rsidRDefault="0051299B" w:rsidP="003C3808">
      <w:pPr>
        <w:keepNext/>
        <w:numPr>
          <w:ilvl w:val="0"/>
          <w:numId w:val="2"/>
        </w:numPr>
        <w:tabs>
          <w:tab w:val="num" w:pos="720"/>
        </w:tabs>
        <w:spacing w:after="240"/>
        <w:ind w:left="431" w:hanging="431"/>
        <w:outlineLvl w:val="0"/>
        <w:rPr>
          <w:rFonts w:ascii="Arial" w:hAnsi="Arial" w:cs="Arial"/>
          <w:b/>
        </w:rPr>
      </w:pPr>
      <w:r w:rsidRPr="00E4751E">
        <w:rPr>
          <w:rFonts w:ascii="Arial" w:hAnsi="Arial" w:cs="Arial"/>
          <w:b/>
        </w:rPr>
        <w:t>Recommendation</w:t>
      </w:r>
    </w:p>
    <w:p w14:paraId="465D88C4" w14:textId="77777777" w:rsidR="0051299B" w:rsidRPr="00E4751E" w:rsidRDefault="0051299B" w:rsidP="003C3808">
      <w:pPr>
        <w:pStyle w:val="ListParagraph"/>
        <w:numPr>
          <w:ilvl w:val="1"/>
          <w:numId w:val="2"/>
        </w:numPr>
        <w:spacing w:after="240"/>
        <w:ind w:left="720" w:hanging="720"/>
        <w:rPr>
          <w:rFonts w:ascii="Arial" w:hAnsi="Arial" w:cs="Arial"/>
        </w:rPr>
      </w:pPr>
      <w:r w:rsidRPr="00E4751E">
        <w:rPr>
          <w:rFonts w:ascii="Arial" w:hAnsi="Arial" w:cs="Arial"/>
        </w:rPr>
        <w:t>It is recommended that the Joint Audit Committee considers the report and makes observations as appropriate.</w:t>
      </w:r>
    </w:p>
    <w:p w14:paraId="0D54A817" w14:textId="517778D2" w:rsidR="0051299B" w:rsidRPr="00E4751E" w:rsidRDefault="00F51C52" w:rsidP="003C3808">
      <w:pPr>
        <w:keepNext/>
        <w:numPr>
          <w:ilvl w:val="0"/>
          <w:numId w:val="2"/>
        </w:numPr>
        <w:tabs>
          <w:tab w:val="num" w:pos="720"/>
        </w:tabs>
        <w:spacing w:after="240"/>
        <w:ind w:left="431" w:hanging="431"/>
        <w:outlineLvl w:val="0"/>
        <w:rPr>
          <w:rFonts w:ascii="Arial" w:hAnsi="Arial" w:cs="Arial"/>
          <w:b/>
        </w:rPr>
      </w:pPr>
      <w:r w:rsidRPr="00E4751E">
        <w:rPr>
          <w:rFonts w:ascii="Arial" w:hAnsi="Arial" w:cs="Arial"/>
          <w:b/>
        </w:rPr>
        <w:t>Executive Summary</w:t>
      </w:r>
    </w:p>
    <w:p w14:paraId="03C12884" w14:textId="3D4A45DB" w:rsidR="00065027" w:rsidRPr="00E4751E" w:rsidRDefault="005F1C03" w:rsidP="003C3808">
      <w:pPr>
        <w:pStyle w:val="ListParagraph"/>
        <w:numPr>
          <w:ilvl w:val="1"/>
          <w:numId w:val="2"/>
        </w:numPr>
        <w:spacing w:after="240"/>
        <w:ind w:left="720" w:hanging="720"/>
        <w:rPr>
          <w:rFonts w:ascii="Arial" w:hAnsi="Arial" w:cs="Arial"/>
        </w:rPr>
      </w:pPr>
      <w:r w:rsidRPr="00E4751E">
        <w:rPr>
          <w:rFonts w:ascii="Arial" w:hAnsi="Arial" w:cs="Arial"/>
        </w:rPr>
        <w:t>Th</w:t>
      </w:r>
      <w:r w:rsidR="00F51C52" w:rsidRPr="00E4751E">
        <w:rPr>
          <w:rFonts w:ascii="Arial" w:hAnsi="Arial" w:cs="Arial"/>
        </w:rPr>
        <w:t>e</w:t>
      </w:r>
      <w:r w:rsidRPr="00E4751E">
        <w:rPr>
          <w:rFonts w:ascii="Arial" w:hAnsi="Arial" w:cs="Arial"/>
        </w:rPr>
        <w:t xml:space="preserve"> PCC </w:t>
      </w:r>
      <w:r w:rsidR="00F1408E">
        <w:rPr>
          <w:rFonts w:ascii="Arial" w:hAnsi="Arial" w:cs="Arial"/>
        </w:rPr>
        <w:t>has adopted the</w:t>
      </w:r>
      <w:r w:rsidRPr="00E4751E">
        <w:rPr>
          <w:rFonts w:ascii="Arial" w:hAnsi="Arial" w:cs="Arial"/>
        </w:rPr>
        <w:t xml:space="preserve"> CIPFA </w:t>
      </w:r>
      <w:r w:rsidR="004E7B36">
        <w:rPr>
          <w:rFonts w:ascii="Arial" w:hAnsi="Arial" w:cs="Arial"/>
        </w:rPr>
        <w:t>Treasury Management</w:t>
      </w:r>
      <w:r w:rsidRPr="00E4751E">
        <w:rPr>
          <w:rFonts w:ascii="Arial" w:hAnsi="Arial" w:cs="Arial"/>
        </w:rPr>
        <w:t xml:space="preserve"> Code</w:t>
      </w:r>
      <w:r w:rsidR="00F51C52" w:rsidRPr="00E4751E">
        <w:rPr>
          <w:rFonts w:ascii="Arial" w:hAnsi="Arial" w:cs="Arial"/>
        </w:rPr>
        <w:t xml:space="preserve"> </w:t>
      </w:r>
      <w:r w:rsidR="00497A5A">
        <w:rPr>
          <w:rFonts w:ascii="Arial" w:hAnsi="Arial" w:cs="Arial"/>
        </w:rPr>
        <w:t>which requires the PCC to approve, as a minimum, treasury management semi-annual and annual outturn reports</w:t>
      </w:r>
      <w:r w:rsidRPr="00E4751E">
        <w:rPr>
          <w:rFonts w:ascii="Arial" w:hAnsi="Arial" w:cs="Arial"/>
        </w:rPr>
        <w:t>.</w:t>
      </w:r>
    </w:p>
    <w:p w14:paraId="3486C63B" w14:textId="07D415A3" w:rsidR="00085549" w:rsidRPr="00CA0016" w:rsidRDefault="00085549" w:rsidP="00AC502A">
      <w:pPr>
        <w:pStyle w:val="ListParagraph"/>
        <w:numPr>
          <w:ilvl w:val="1"/>
          <w:numId w:val="2"/>
        </w:numPr>
        <w:spacing w:after="240"/>
        <w:ind w:left="720" w:hanging="720"/>
        <w:rPr>
          <w:rFonts w:ascii="Arial" w:hAnsi="Arial" w:cs="Arial"/>
        </w:rPr>
      </w:pPr>
      <w:r>
        <w:rPr>
          <w:rFonts w:ascii="Arial" w:hAnsi="Arial" w:cs="Arial"/>
        </w:rPr>
        <w:t xml:space="preserve">This report includes the requirement in the CIPFA Treasury Management Code 2021, mandatory from April 2023, of reporting of the treasury </w:t>
      </w:r>
      <w:proofErr w:type="gramStart"/>
      <w:r>
        <w:rPr>
          <w:rFonts w:ascii="Arial" w:hAnsi="Arial" w:cs="Arial"/>
        </w:rPr>
        <w:t>management</w:t>
      </w:r>
      <w:proofErr w:type="gramEnd"/>
      <w:r>
        <w:rPr>
          <w:rFonts w:ascii="Arial" w:hAnsi="Arial" w:cs="Arial"/>
        </w:rPr>
        <w:t xml:space="preserve"> prudential indicators.  The non-treasury prudential indicators are incorporated in the </w:t>
      </w:r>
      <w:r w:rsidR="00C860F4">
        <w:rPr>
          <w:rFonts w:ascii="Arial" w:hAnsi="Arial" w:cs="Arial"/>
        </w:rPr>
        <w:t>PCC</w:t>
      </w:r>
      <w:r>
        <w:rPr>
          <w:rFonts w:ascii="Arial" w:hAnsi="Arial" w:cs="Arial"/>
        </w:rPr>
        <w:t xml:space="preserve">’s normal </w:t>
      </w:r>
      <w:r w:rsidR="00686131">
        <w:rPr>
          <w:rFonts w:ascii="Arial" w:hAnsi="Arial" w:cs="Arial"/>
        </w:rPr>
        <w:t xml:space="preserve">Outturn </w:t>
      </w:r>
      <w:r>
        <w:rPr>
          <w:rFonts w:ascii="Arial" w:hAnsi="Arial" w:cs="Arial"/>
        </w:rPr>
        <w:t>Report.</w:t>
      </w:r>
    </w:p>
    <w:p w14:paraId="776996C6" w14:textId="6566BB32" w:rsidR="00EC6236" w:rsidRPr="001B4C97" w:rsidRDefault="00EC6236" w:rsidP="001D0F8E">
      <w:pPr>
        <w:pStyle w:val="ListParagraph"/>
        <w:numPr>
          <w:ilvl w:val="1"/>
          <w:numId w:val="2"/>
        </w:numPr>
        <w:spacing w:after="240"/>
        <w:ind w:left="720" w:hanging="720"/>
        <w:outlineLvl w:val="0"/>
        <w:rPr>
          <w:rFonts w:ascii="Arial" w:eastAsia="Calibri" w:hAnsi="Arial" w:cs="Arial"/>
        </w:rPr>
      </w:pPr>
      <w:r w:rsidRPr="001B4C97">
        <w:rPr>
          <w:rFonts w:ascii="Arial" w:hAnsi="Arial" w:cs="Arial"/>
        </w:rPr>
        <w:t>The PCC’s treasury management strategy</w:t>
      </w:r>
      <w:r w:rsidR="00E21BE2" w:rsidRPr="001B4C97">
        <w:rPr>
          <w:rFonts w:ascii="Arial" w:hAnsi="Arial" w:cs="Arial"/>
        </w:rPr>
        <w:t xml:space="preserve"> was most recently updated and approved by the PCC in </w:t>
      </w:r>
      <w:r w:rsidR="00B14AC6">
        <w:rPr>
          <w:rFonts w:ascii="Arial" w:hAnsi="Arial" w:cs="Arial"/>
        </w:rPr>
        <w:t>March</w:t>
      </w:r>
      <w:r w:rsidR="00B14AC6" w:rsidRPr="001B4C97">
        <w:rPr>
          <w:rFonts w:ascii="Arial" w:hAnsi="Arial" w:cs="Arial"/>
        </w:rPr>
        <w:t xml:space="preserve"> </w:t>
      </w:r>
      <w:r w:rsidR="00E21BE2" w:rsidRPr="001B4C97">
        <w:rPr>
          <w:rFonts w:ascii="Arial" w:hAnsi="Arial" w:cs="Arial"/>
        </w:rPr>
        <w:t>202</w:t>
      </w:r>
      <w:r w:rsidR="00AC5A24">
        <w:rPr>
          <w:rFonts w:ascii="Arial" w:hAnsi="Arial" w:cs="Arial"/>
        </w:rPr>
        <w:t>4</w:t>
      </w:r>
      <w:r w:rsidR="00317DA6" w:rsidRPr="001B4C97">
        <w:rPr>
          <w:rFonts w:ascii="Arial" w:hAnsi="Arial" w:cs="Arial"/>
        </w:rPr>
        <w:t xml:space="preserve">. </w:t>
      </w:r>
      <w:r w:rsidRPr="001B4C97">
        <w:rPr>
          <w:rFonts w:ascii="Arial" w:hAnsi="Arial" w:cs="Arial"/>
        </w:rPr>
        <w:t xml:space="preserve"> The PCC has borrowed and invested sums of money and is therefore exposed to financial risks including the loss of invested funds and the revenue effect of changing interest rates.  The successful identification, monitoring and control of risk are therefore central to the PCC’s treasury management strategy.</w:t>
      </w:r>
    </w:p>
    <w:p w14:paraId="2D264A5E" w14:textId="0B05C52A" w:rsidR="0051299B" w:rsidRPr="00EE2047" w:rsidRDefault="0051299B" w:rsidP="001D0F8E">
      <w:pPr>
        <w:pStyle w:val="ListParagraph"/>
        <w:numPr>
          <w:ilvl w:val="1"/>
          <w:numId w:val="2"/>
        </w:numPr>
        <w:spacing w:after="240"/>
        <w:ind w:left="720" w:hanging="720"/>
        <w:outlineLvl w:val="0"/>
        <w:rPr>
          <w:rFonts w:ascii="Arial" w:eastAsia="Calibri" w:hAnsi="Arial" w:cs="Arial"/>
        </w:rPr>
      </w:pPr>
      <w:r w:rsidRPr="00EE2047">
        <w:rPr>
          <w:rFonts w:ascii="Arial" w:hAnsi="Arial" w:cs="Arial"/>
        </w:rPr>
        <w:lastRenderedPageBreak/>
        <w:t>Treasury management in the context of this report is defined as:</w:t>
      </w:r>
      <w:r w:rsidR="00413F43" w:rsidRPr="00EE2047">
        <w:rPr>
          <w:rFonts w:ascii="Arial" w:hAnsi="Arial" w:cs="Arial"/>
        </w:rPr>
        <w:t xml:space="preserve"> </w:t>
      </w:r>
      <w:r w:rsidRPr="00EE2047">
        <w:rPr>
          <w:rFonts w:ascii="Arial" w:eastAsia="Calibri" w:hAnsi="Arial" w:cs="Arial"/>
        </w:rPr>
        <w:t>“The management of the organisation’s investments and cash flows, its banking, money market and capital market transactions; the effective control of the risks associated with those activities; and the pursuit of optimum performance consistent with those risks.”</w:t>
      </w:r>
    </w:p>
    <w:p w14:paraId="30FFB165" w14:textId="764928B5" w:rsidR="0051299B" w:rsidRPr="00EE2047" w:rsidRDefault="0051299B" w:rsidP="003C3808">
      <w:pPr>
        <w:pStyle w:val="ListParagraph"/>
        <w:numPr>
          <w:ilvl w:val="1"/>
          <w:numId w:val="2"/>
        </w:numPr>
        <w:spacing w:after="240"/>
        <w:ind w:left="720" w:hanging="720"/>
        <w:rPr>
          <w:rFonts w:ascii="Arial" w:hAnsi="Arial" w:cs="Arial"/>
        </w:rPr>
      </w:pPr>
      <w:r w:rsidRPr="00EE2047">
        <w:rPr>
          <w:rFonts w:ascii="Arial" w:hAnsi="Arial" w:cs="Arial"/>
        </w:rPr>
        <w:t>This annual report sets out the performance of the treasury management function during 20</w:t>
      </w:r>
      <w:r w:rsidR="00011951" w:rsidRPr="00EE2047">
        <w:rPr>
          <w:rFonts w:ascii="Arial" w:hAnsi="Arial" w:cs="Arial"/>
        </w:rPr>
        <w:t>2</w:t>
      </w:r>
      <w:r w:rsidR="00AC5A24">
        <w:rPr>
          <w:rFonts w:ascii="Arial" w:hAnsi="Arial" w:cs="Arial"/>
        </w:rPr>
        <w:t>3</w:t>
      </w:r>
      <w:r w:rsidR="007042FB" w:rsidRPr="00EE2047">
        <w:rPr>
          <w:rFonts w:ascii="Arial" w:hAnsi="Arial" w:cs="Arial"/>
        </w:rPr>
        <w:t>/2</w:t>
      </w:r>
      <w:r w:rsidR="00AC5A24">
        <w:rPr>
          <w:rFonts w:ascii="Arial" w:hAnsi="Arial" w:cs="Arial"/>
        </w:rPr>
        <w:t>4</w:t>
      </w:r>
      <w:r w:rsidRPr="00EE2047">
        <w:rPr>
          <w:rFonts w:ascii="Arial" w:hAnsi="Arial" w:cs="Arial"/>
        </w:rPr>
        <w:t>, to include the effects of the decisions taken and the transactions executed in the past year.</w:t>
      </w:r>
    </w:p>
    <w:p w14:paraId="5C4540D6" w14:textId="04557344" w:rsidR="0051299B" w:rsidRPr="00EE2047" w:rsidRDefault="0051299B" w:rsidP="003C3808">
      <w:pPr>
        <w:pStyle w:val="ListParagraph"/>
        <w:numPr>
          <w:ilvl w:val="1"/>
          <w:numId w:val="2"/>
        </w:numPr>
        <w:spacing w:after="240"/>
        <w:ind w:left="720" w:hanging="720"/>
        <w:rPr>
          <w:rFonts w:ascii="Arial" w:hAnsi="Arial" w:cs="Arial"/>
        </w:rPr>
      </w:pPr>
      <w:r w:rsidRPr="00EE2047">
        <w:rPr>
          <w:rFonts w:ascii="Arial" w:hAnsi="Arial" w:cs="Arial"/>
        </w:rPr>
        <w:t>Overall responsibility for treasury management remains with the PCC.  No treasury management activity is without risk</w:t>
      </w:r>
      <w:r w:rsidR="00377E7F" w:rsidRPr="00EE2047">
        <w:rPr>
          <w:rFonts w:ascii="Arial" w:hAnsi="Arial" w:cs="Arial"/>
        </w:rPr>
        <w:t xml:space="preserve"> and </w:t>
      </w:r>
      <w:r w:rsidRPr="00EE2047">
        <w:rPr>
          <w:rFonts w:ascii="Arial" w:hAnsi="Arial" w:cs="Arial"/>
        </w:rPr>
        <w:t xml:space="preserve">the effective identification and management of risk are </w:t>
      </w:r>
      <w:r w:rsidR="00377E7F" w:rsidRPr="00EE2047">
        <w:rPr>
          <w:rFonts w:ascii="Arial" w:hAnsi="Arial" w:cs="Arial"/>
        </w:rPr>
        <w:t xml:space="preserve">therefore </w:t>
      </w:r>
      <w:r w:rsidRPr="00EE2047">
        <w:rPr>
          <w:rFonts w:ascii="Arial" w:hAnsi="Arial" w:cs="Arial"/>
        </w:rPr>
        <w:t>integral to the PCC’s treasury management objectives.</w:t>
      </w:r>
    </w:p>
    <w:p w14:paraId="67D54714" w14:textId="24B3B212" w:rsidR="0051299B" w:rsidRPr="00EE2047" w:rsidRDefault="0051299B" w:rsidP="003C3808">
      <w:pPr>
        <w:pStyle w:val="ListParagraph"/>
        <w:numPr>
          <w:ilvl w:val="1"/>
          <w:numId w:val="2"/>
        </w:numPr>
        <w:spacing w:after="240"/>
        <w:ind w:left="720" w:hanging="720"/>
        <w:rPr>
          <w:rFonts w:ascii="Arial" w:hAnsi="Arial" w:cs="Arial"/>
        </w:rPr>
      </w:pPr>
      <w:r w:rsidRPr="00EE2047">
        <w:rPr>
          <w:rFonts w:ascii="Arial" w:hAnsi="Arial" w:cs="Arial"/>
        </w:rPr>
        <w:t>All treasury activity has complied with the PCC’s Treasury Management Strategy and Investment Strategy for 20</w:t>
      </w:r>
      <w:r w:rsidR="005D4882" w:rsidRPr="00EE2047">
        <w:rPr>
          <w:rFonts w:ascii="Arial" w:hAnsi="Arial" w:cs="Arial"/>
        </w:rPr>
        <w:t>2</w:t>
      </w:r>
      <w:r w:rsidR="00F2172E">
        <w:rPr>
          <w:rFonts w:ascii="Arial" w:hAnsi="Arial" w:cs="Arial"/>
        </w:rPr>
        <w:t>3</w:t>
      </w:r>
      <w:r w:rsidR="00804E4F" w:rsidRPr="00EE2047">
        <w:rPr>
          <w:rFonts w:ascii="Arial" w:hAnsi="Arial" w:cs="Arial"/>
        </w:rPr>
        <w:t>/2</w:t>
      </w:r>
      <w:r w:rsidR="00F2172E">
        <w:rPr>
          <w:rFonts w:ascii="Arial" w:hAnsi="Arial" w:cs="Arial"/>
        </w:rPr>
        <w:t>4</w:t>
      </w:r>
      <w:r w:rsidRPr="00EE2047">
        <w:rPr>
          <w:rFonts w:ascii="Arial" w:hAnsi="Arial" w:cs="Arial"/>
        </w:rPr>
        <w:t>, and all relevant statute, guidance and accounting standards.  In addition</w:t>
      </w:r>
      <w:r w:rsidR="00377E7F" w:rsidRPr="00EE2047">
        <w:rPr>
          <w:rFonts w:ascii="Arial" w:hAnsi="Arial" w:cs="Arial"/>
        </w:rPr>
        <w:t>, support in undertaking treasury management activities has been provided by</w:t>
      </w:r>
      <w:r w:rsidRPr="00EE2047">
        <w:rPr>
          <w:rFonts w:ascii="Arial" w:hAnsi="Arial" w:cs="Arial"/>
        </w:rPr>
        <w:t xml:space="preserve"> the PCC’s treasury advisers, Arlingclose</w:t>
      </w:r>
      <w:r w:rsidR="00377E7F" w:rsidRPr="00EE2047">
        <w:rPr>
          <w:rFonts w:ascii="Arial" w:hAnsi="Arial" w:cs="Arial"/>
        </w:rPr>
        <w:t xml:space="preserve">. </w:t>
      </w:r>
    </w:p>
    <w:p w14:paraId="7ED92704" w14:textId="145C157C" w:rsidR="00377E7F" w:rsidRPr="00142897" w:rsidRDefault="00A075BC" w:rsidP="003C3808">
      <w:pPr>
        <w:pStyle w:val="ListParagraph"/>
        <w:numPr>
          <w:ilvl w:val="1"/>
          <w:numId w:val="2"/>
        </w:numPr>
        <w:spacing w:after="240"/>
        <w:ind w:left="720" w:hanging="720"/>
        <w:rPr>
          <w:rFonts w:ascii="Arial" w:hAnsi="Arial" w:cs="Arial"/>
        </w:rPr>
      </w:pPr>
      <w:r>
        <w:rPr>
          <w:rFonts w:ascii="Arial" w:hAnsi="Arial" w:cs="Arial"/>
        </w:rPr>
        <w:t xml:space="preserve">In complying with its duties to determine affordable borrowing limit, local authorities (including police and crime commissioners) </w:t>
      </w:r>
      <w:r w:rsidR="000E794E">
        <w:rPr>
          <w:rFonts w:ascii="Arial" w:hAnsi="Arial" w:cs="Arial"/>
        </w:rPr>
        <w:t xml:space="preserve">must have regard to </w:t>
      </w:r>
      <w:r w:rsidR="00F70A07">
        <w:rPr>
          <w:rFonts w:ascii="Arial" w:hAnsi="Arial" w:cs="Arial"/>
        </w:rPr>
        <w:t>CIPFA’s</w:t>
      </w:r>
      <w:r w:rsidR="008E08AC">
        <w:rPr>
          <w:rFonts w:ascii="Arial" w:hAnsi="Arial" w:cs="Arial"/>
        </w:rPr>
        <w:t xml:space="preserve"> Prudential Code of Capital Finance in Local Authorities (t</w:t>
      </w:r>
      <w:r w:rsidR="00377E7F" w:rsidRPr="00142897">
        <w:rPr>
          <w:rFonts w:ascii="Arial" w:hAnsi="Arial" w:cs="Arial"/>
        </w:rPr>
        <w:t>he Prudential Code</w:t>
      </w:r>
      <w:r w:rsidR="0005429A">
        <w:rPr>
          <w:rFonts w:ascii="Arial" w:hAnsi="Arial" w:cs="Arial"/>
        </w:rPr>
        <w:t>)</w:t>
      </w:r>
      <w:r w:rsidR="00377E7F" w:rsidRPr="00142897">
        <w:rPr>
          <w:rFonts w:ascii="Arial" w:hAnsi="Arial" w:cs="Arial"/>
        </w:rPr>
        <w:t xml:space="preserve"> </w:t>
      </w:r>
      <w:r w:rsidR="000E794E">
        <w:rPr>
          <w:rFonts w:ascii="Arial" w:hAnsi="Arial" w:cs="Arial"/>
        </w:rPr>
        <w:t xml:space="preserve">which </w:t>
      </w:r>
      <w:r w:rsidR="00377E7F" w:rsidRPr="00142897">
        <w:rPr>
          <w:rFonts w:ascii="Arial" w:hAnsi="Arial" w:cs="Arial"/>
        </w:rPr>
        <w:t xml:space="preserve">includes the requirement to produce and have approved a Capital Strategy, a summary document covering capital expenditure and financing, treasury management and non-treasury investments. The PCC’s </w:t>
      </w:r>
      <w:r w:rsidR="001A04A9" w:rsidRPr="00142897">
        <w:rPr>
          <w:rFonts w:ascii="Arial" w:hAnsi="Arial" w:cs="Arial"/>
        </w:rPr>
        <w:t>most recent</w:t>
      </w:r>
      <w:r w:rsidR="00377E7F" w:rsidRPr="00142897">
        <w:rPr>
          <w:rFonts w:ascii="Arial" w:hAnsi="Arial" w:cs="Arial"/>
        </w:rPr>
        <w:t xml:space="preserve"> Capital and Investment Strategy, complying with CIPFA’s requirement, was approved by the PCC </w:t>
      </w:r>
      <w:r w:rsidR="005C4922" w:rsidRPr="00142897">
        <w:rPr>
          <w:rFonts w:ascii="Arial" w:hAnsi="Arial" w:cs="Arial"/>
        </w:rPr>
        <w:t>i</w:t>
      </w:r>
      <w:r w:rsidR="0023548B" w:rsidRPr="00142897">
        <w:rPr>
          <w:rFonts w:ascii="Arial" w:hAnsi="Arial" w:cs="Arial"/>
        </w:rPr>
        <w:t xml:space="preserve">n </w:t>
      </w:r>
      <w:r w:rsidR="00E67E85">
        <w:rPr>
          <w:rFonts w:ascii="Arial" w:hAnsi="Arial" w:cs="Arial"/>
        </w:rPr>
        <w:t>March</w:t>
      </w:r>
      <w:r w:rsidR="0023548B" w:rsidRPr="00142897">
        <w:rPr>
          <w:rFonts w:ascii="Arial" w:hAnsi="Arial" w:cs="Arial"/>
        </w:rPr>
        <w:t xml:space="preserve"> 20</w:t>
      </w:r>
      <w:r w:rsidR="00140D97" w:rsidRPr="00142897">
        <w:rPr>
          <w:rFonts w:ascii="Arial" w:hAnsi="Arial" w:cs="Arial"/>
        </w:rPr>
        <w:t>2</w:t>
      </w:r>
      <w:r w:rsidR="00E67E85">
        <w:rPr>
          <w:rFonts w:ascii="Arial" w:hAnsi="Arial" w:cs="Arial"/>
        </w:rPr>
        <w:t>4</w:t>
      </w:r>
      <w:r w:rsidR="0023548B" w:rsidRPr="00142897">
        <w:rPr>
          <w:rFonts w:ascii="Arial" w:hAnsi="Arial" w:cs="Arial"/>
        </w:rPr>
        <w:t>.</w:t>
      </w:r>
    </w:p>
    <w:p w14:paraId="7C14B556" w14:textId="4928D646" w:rsidR="005A60B2" w:rsidRPr="00142897" w:rsidRDefault="002F648B" w:rsidP="003C3808">
      <w:pPr>
        <w:keepNext/>
        <w:numPr>
          <w:ilvl w:val="0"/>
          <w:numId w:val="2"/>
        </w:numPr>
        <w:tabs>
          <w:tab w:val="num" w:pos="720"/>
        </w:tabs>
        <w:spacing w:after="240"/>
        <w:ind w:left="431" w:hanging="431"/>
        <w:outlineLvl w:val="0"/>
        <w:rPr>
          <w:rFonts w:ascii="Arial" w:hAnsi="Arial" w:cs="Arial"/>
          <w:b/>
        </w:rPr>
      </w:pPr>
      <w:r w:rsidRPr="00142897">
        <w:rPr>
          <w:rFonts w:ascii="Arial" w:hAnsi="Arial" w:cs="Arial"/>
          <w:b/>
        </w:rPr>
        <w:t>External Context</w:t>
      </w:r>
    </w:p>
    <w:p w14:paraId="417D93BC" w14:textId="3D3AC882" w:rsidR="0051299B" w:rsidRPr="00142897" w:rsidRDefault="0051299B" w:rsidP="003C3808">
      <w:pPr>
        <w:pStyle w:val="ListParagraph"/>
        <w:numPr>
          <w:ilvl w:val="1"/>
          <w:numId w:val="2"/>
        </w:numPr>
        <w:spacing w:after="240"/>
        <w:ind w:left="720" w:hanging="720"/>
        <w:rPr>
          <w:rFonts w:ascii="Arial" w:hAnsi="Arial" w:cs="Arial"/>
        </w:rPr>
      </w:pPr>
      <w:r w:rsidRPr="00142897">
        <w:rPr>
          <w:rFonts w:ascii="Arial" w:hAnsi="Arial" w:cs="Arial"/>
        </w:rPr>
        <w:t>The following sections outline the key economic themes</w:t>
      </w:r>
      <w:r w:rsidR="00142897" w:rsidRPr="00142897">
        <w:rPr>
          <w:rFonts w:ascii="Arial" w:hAnsi="Arial" w:cs="Arial"/>
        </w:rPr>
        <w:t xml:space="preserve"> in the UK</w:t>
      </w:r>
      <w:r w:rsidRPr="00142897">
        <w:rPr>
          <w:rFonts w:ascii="Arial" w:hAnsi="Arial" w:cs="Arial"/>
        </w:rPr>
        <w:t xml:space="preserve"> against which investment and borrowing decisions were made in 20</w:t>
      </w:r>
      <w:r w:rsidR="00C22337" w:rsidRPr="00142897">
        <w:rPr>
          <w:rFonts w:ascii="Arial" w:hAnsi="Arial" w:cs="Arial"/>
        </w:rPr>
        <w:t>2</w:t>
      </w:r>
      <w:r w:rsidR="00E67E85">
        <w:rPr>
          <w:rFonts w:ascii="Arial" w:hAnsi="Arial" w:cs="Arial"/>
        </w:rPr>
        <w:t>3</w:t>
      </w:r>
      <w:r w:rsidR="00057C64" w:rsidRPr="00142897">
        <w:rPr>
          <w:rFonts w:ascii="Arial" w:hAnsi="Arial" w:cs="Arial"/>
        </w:rPr>
        <w:t>/2</w:t>
      </w:r>
      <w:r w:rsidR="00E67E85">
        <w:rPr>
          <w:rFonts w:ascii="Arial" w:hAnsi="Arial" w:cs="Arial"/>
        </w:rPr>
        <w:t>4</w:t>
      </w:r>
      <w:r w:rsidRPr="00142897">
        <w:rPr>
          <w:rFonts w:ascii="Arial" w:hAnsi="Arial" w:cs="Arial"/>
        </w:rPr>
        <w:t>.</w:t>
      </w:r>
    </w:p>
    <w:p w14:paraId="099977EE" w14:textId="132AEEAF" w:rsidR="0051299B" w:rsidRPr="00142897" w:rsidRDefault="00E56FFB" w:rsidP="0051299B">
      <w:pPr>
        <w:pStyle w:val="ListParagraph"/>
        <w:spacing w:after="240"/>
        <w:rPr>
          <w:rFonts w:ascii="Arial" w:hAnsi="Arial" w:cs="Arial"/>
          <w:b/>
        </w:rPr>
      </w:pPr>
      <w:r w:rsidRPr="00142897">
        <w:rPr>
          <w:rFonts w:ascii="Arial" w:hAnsi="Arial" w:cs="Arial"/>
          <w:b/>
        </w:rPr>
        <w:t>Economic</w:t>
      </w:r>
      <w:r w:rsidR="008F53DF" w:rsidRPr="00142897">
        <w:rPr>
          <w:rFonts w:ascii="Arial" w:hAnsi="Arial" w:cs="Arial"/>
          <w:b/>
        </w:rPr>
        <w:t xml:space="preserve"> </w:t>
      </w:r>
      <w:r w:rsidR="001E45B1">
        <w:rPr>
          <w:rFonts w:ascii="Arial" w:hAnsi="Arial" w:cs="Arial"/>
          <w:b/>
        </w:rPr>
        <w:t>background</w:t>
      </w:r>
    </w:p>
    <w:p w14:paraId="0FA4DBA2" w14:textId="77777777" w:rsidR="002701AF" w:rsidRPr="0055280F" w:rsidRDefault="002701AF" w:rsidP="00AC502A">
      <w:pPr>
        <w:pStyle w:val="ListParagraph"/>
        <w:numPr>
          <w:ilvl w:val="1"/>
          <w:numId w:val="2"/>
        </w:numPr>
        <w:spacing w:after="240"/>
        <w:ind w:left="720" w:hanging="720"/>
        <w:rPr>
          <w:rFonts w:ascii="Arial" w:hAnsi="Arial" w:cs="Arial"/>
        </w:rPr>
      </w:pPr>
      <w:r w:rsidRPr="0055280F">
        <w:rPr>
          <w:rFonts w:ascii="Arial" w:hAnsi="Arial" w:cs="Arial"/>
        </w:rPr>
        <w:t xml:space="preserve">UK inflation continued to decline from the 8.7% rate seen at the start of 2023/24.  By the last quarter of the financial year headline consumer price inflation (CPI) had fallen to 3.4% in February 2024, but was still above the Bank of England’s (BoE) 2% target at the end of the period. </w:t>
      </w:r>
    </w:p>
    <w:p w14:paraId="428A92D8" w14:textId="77777777" w:rsidR="002701AF" w:rsidRPr="0055280F" w:rsidRDefault="002701AF" w:rsidP="00AC502A">
      <w:pPr>
        <w:pStyle w:val="ListParagraph"/>
        <w:numPr>
          <w:ilvl w:val="1"/>
          <w:numId w:val="2"/>
        </w:numPr>
        <w:spacing w:after="240"/>
        <w:ind w:left="720" w:hanging="720"/>
        <w:rPr>
          <w:rFonts w:ascii="Arial" w:hAnsi="Arial" w:cs="Arial"/>
        </w:rPr>
      </w:pPr>
      <w:r w:rsidRPr="0055280F">
        <w:rPr>
          <w:rFonts w:ascii="Arial" w:hAnsi="Arial" w:cs="Arial"/>
        </w:rPr>
        <w:t xml:space="preserve">The UK economy entered a technical recession in the second half of 2023. Over the 2023 calendar year GDP (gross domestic product) growth only </w:t>
      </w:r>
      <w:r w:rsidRPr="0055280F">
        <w:rPr>
          <w:rFonts w:ascii="Arial" w:hAnsi="Arial" w:cs="Arial"/>
        </w:rPr>
        <w:lastRenderedPageBreak/>
        <w:t>expanded by 0.1% compared to 2022. Of the recent monthly data, the Office for National Statistics reported a rebound in activity with economy expanding 0.2% in January 2024. While the economy may somewhat recover in Quarter 1 2024, the data suggests that prior increases in interest rates and higher price levels are depressing growth, which will continue to bear down on inflation throughout 2024.</w:t>
      </w:r>
    </w:p>
    <w:p w14:paraId="59303CC3" w14:textId="77777777" w:rsidR="002701AF" w:rsidRPr="0055280F" w:rsidRDefault="002701AF" w:rsidP="00AC502A">
      <w:pPr>
        <w:pStyle w:val="ListParagraph"/>
        <w:numPr>
          <w:ilvl w:val="1"/>
          <w:numId w:val="2"/>
        </w:numPr>
        <w:spacing w:after="240"/>
        <w:ind w:left="720" w:hanging="720"/>
        <w:rPr>
          <w:rFonts w:ascii="Arial" w:hAnsi="Arial" w:cs="Arial"/>
        </w:rPr>
      </w:pPr>
      <w:r w:rsidRPr="0055280F">
        <w:rPr>
          <w:rFonts w:ascii="Arial" w:hAnsi="Arial" w:cs="Arial"/>
        </w:rPr>
        <w:t xml:space="preserve">Having begun the financial year at 4.25%, the BoE’s Monetary Policy Committee (MPC) increased Bank Rate to 5.25% in August 2023.  This rate was maintained to March 2024. </w:t>
      </w:r>
    </w:p>
    <w:p w14:paraId="2A97EBF1" w14:textId="77777777" w:rsidR="002701AF" w:rsidRPr="0055280F" w:rsidRDefault="002701AF" w:rsidP="00AC502A">
      <w:pPr>
        <w:pStyle w:val="ListParagraph"/>
        <w:numPr>
          <w:ilvl w:val="1"/>
          <w:numId w:val="2"/>
        </w:numPr>
        <w:spacing w:after="240"/>
        <w:ind w:left="720" w:hanging="720"/>
        <w:rPr>
          <w:rFonts w:ascii="Arial" w:hAnsi="Arial" w:cs="Arial"/>
        </w:rPr>
      </w:pPr>
      <w:r w:rsidRPr="0055280F">
        <w:rPr>
          <w:rFonts w:ascii="Arial" w:hAnsi="Arial" w:cs="Arial"/>
        </w:rPr>
        <w:t>In the February 2024 Monetary Policy Report the BoE’s expectations for the UK economy were positive for the first half of 2024, with a recovery from the mild recession in the second half of 2023 being gradual. Headline CPI was forecast to dip below the 2% target quicker than previously thought due to declining energy prices; these effects would hold inflation slightly above target for much of the forecast horizon.</w:t>
      </w:r>
    </w:p>
    <w:p w14:paraId="214353FF" w14:textId="77777777" w:rsidR="002701AF" w:rsidRPr="0055280F" w:rsidRDefault="002701AF" w:rsidP="00AC502A">
      <w:pPr>
        <w:pStyle w:val="ListParagraph"/>
        <w:numPr>
          <w:ilvl w:val="1"/>
          <w:numId w:val="2"/>
        </w:numPr>
        <w:spacing w:after="240"/>
        <w:ind w:left="720" w:hanging="720"/>
        <w:rPr>
          <w:rFonts w:ascii="Arial" w:hAnsi="Arial" w:cs="Arial"/>
        </w:rPr>
      </w:pPr>
      <w:r w:rsidRPr="0055280F">
        <w:rPr>
          <w:rFonts w:ascii="Arial" w:hAnsi="Arial" w:cs="Arial"/>
        </w:rPr>
        <w:t>Following this MPC meeting, the County Council’s treasury adviser, Arlingclose, maintained its central view that 5.25% remains the peak in Bank Rate and that interest rates will most likely start to be cut later in the second half of 2024. The risks in the short-term are deemed to be to the downside as a rate cut may come sooner than expected, but then more broadly balanced over the medium term.</w:t>
      </w:r>
    </w:p>
    <w:p w14:paraId="2EFA1024" w14:textId="77777777" w:rsidR="002701AF" w:rsidRPr="00EA5BBB" w:rsidRDefault="002701AF" w:rsidP="00AC502A">
      <w:pPr>
        <w:pStyle w:val="ListParagraph"/>
        <w:spacing w:after="240"/>
        <w:rPr>
          <w:rFonts w:ascii="Arial" w:hAnsi="Arial" w:cs="Arial"/>
          <w:b/>
          <w:bCs/>
        </w:rPr>
      </w:pPr>
      <w:r w:rsidRPr="00EA5BBB">
        <w:rPr>
          <w:rFonts w:ascii="Arial" w:hAnsi="Arial" w:cs="Arial"/>
          <w:b/>
          <w:bCs/>
        </w:rPr>
        <w:t>Financial markets</w:t>
      </w:r>
    </w:p>
    <w:p w14:paraId="4A49F8E3" w14:textId="77777777" w:rsidR="002701AF" w:rsidRPr="0055280F" w:rsidRDefault="002701AF" w:rsidP="00AC502A">
      <w:pPr>
        <w:pStyle w:val="ListParagraph"/>
        <w:numPr>
          <w:ilvl w:val="1"/>
          <w:numId w:val="2"/>
        </w:numPr>
        <w:spacing w:after="240"/>
        <w:ind w:left="720" w:hanging="720"/>
        <w:rPr>
          <w:rFonts w:ascii="Arial" w:hAnsi="Arial" w:cs="Arial"/>
        </w:rPr>
      </w:pPr>
      <w:r w:rsidRPr="0055280F">
        <w:rPr>
          <w:rFonts w:ascii="Arial" w:hAnsi="Arial" w:cs="Arial"/>
        </w:rPr>
        <w:t>Sentiment in financial markets remained uncertain and bond yields continued to be volatile over the year. During the first half of the year, yields rose as interest rates continued to be pushed up in response to rising inflation. From October 2023 they started declining again before falling sharply in December 2023 as falling inflation and central bank attitudes caused financial markets to expect cuts in interest rates in 2024. When it emerged in January 2024 that inflation was stickier than expected and the BoE and the Federal Reserve were data dependent and not inclined to cut rates soon, yields rose once again, ending the period some 0.5%+ higher than when it started.</w:t>
      </w:r>
    </w:p>
    <w:p w14:paraId="12DE0511" w14:textId="77777777" w:rsidR="002701AF" w:rsidRPr="00EA5BBB" w:rsidRDefault="002701AF" w:rsidP="00AC502A">
      <w:pPr>
        <w:pStyle w:val="ListParagraph"/>
        <w:spacing w:after="240"/>
        <w:rPr>
          <w:rFonts w:ascii="Arial" w:hAnsi="Arial" w:cs="Arial"/>
          <w:b/>
          <w:bCs/>
        </w:rPr>
      </w:pPr>
      <w:r w:rsidRPr="00EA5BBB">
        <w:rPr>
          <w:rFonts w:ascii="Arial" w:hAnsi="Arial" w:cs="Arial"/>
          <w:b/>
          <w:bCs/>
        </w:rPr>
        <w:t>Credit review</w:t>
      </w:r>
    </w:p>
    <w:p w14:paraId="6A752687" w14:textId="77777777" w:rsidR="002701AF" w:rsidRPr="0055280F" w:rsidRDefault="002701AF" w:rsidP="00AC502A">
      <w:pPr>
        <w:pStyle w:val="ListParagraph"/>
        <w:numPr>
          <w:ilvl w:val="1"/>
          <w:numId w:val="2"/>
        </w:numPr>
        <w:spacing w:after="240"/>
        <w:ind w:left="720" w:hanging="720"/>
        <w:rPr>
          <w:rFonts w:ascii="Arial" w:hAnsi="Arial" w:cs="Arial"/>
        </w:rPr>
      </w:pPr>
      <w:r w:rsidRPr="0055280F">
        <w:rPr>
          <w:rFonts w:ascii="Arial" w:hAnsi="Arial" w:cs="Arial"/>
        </w:rPr>
        <w:t>In response to an improving outlook for credit markets, in January 2024 Arlingclose moved away from its previous temporary stance of a 35-day maximum duration and increased its advised recommended maximum unsecured duration limit on all banks on its counterparty list to 100 days.</w:t>
      </w:r>
    </w:p>
    <w:p w14:paraId="2B540294" w14:textId="77777777" w:rsidR="002701AF" w:rsidRPr="0055280F" w:rsidRDefault="002701AF" w:rsidP="00AC502A">
      <w:pPr>
        <w:pStyle w:val="ListParagraph"/>
        <w:numPr>
          <w:ilvl w:val="1"/>
          <w:numId w:val="2"/>
        </w:numPr>
        <w:spacing w:after="240"/>
        <w:ind w:left="720" w:hanging="720"/>
        <w:rPr>
          <w:rFonts w:ascii="Arial" w:hAnsi="Arial" w:cs="Arial"/>
        </w:rPr>
      </w:pPr>
      <w:r w:rsidRPr="0055280F">
        <w:rPr>
          <w:rFonts w:ascii="Arial" w:hAnsi="Arial" w:cs="Arial"/>
        </w:rPr>
        <w:lastRenderedPageBreak/>
        <w:t xml:space="preserve">Credit default swap (CDS) prices are used as an indicator of credit risk, where higher premiums indicate higher perceived risks.  CDS prices began the financial year at elevated levels following the fallout from Silicon Valley Bank and collapse/takeover of other lenders. From then the general trend was one of falling prices and UK lenders’ CDS ended the period at similar levels to those seen in early 2023. </w:t>
      </w:r>
    </w:p>
    <w:p w14:paraId="62693E0E" w14:textId="12FCB6B5" w:rsidR="00431E02" w:rsidRPr="009C2D4B" w:rsidRDefault="002701AF" w:rsidP="007D26FE">
      <w:pPr>
        <w:pStyle w:val="ListParagraph"/>
        <w:numPr>
          <w:ilvl w:val="1"/>
          <w:numId w:val="2"/>
        </w:numPr>
        <w:spacing w:after="240"/>
        <w:ind w:left="720" w:hanging="720"/>
        <w:rPr>
          <w:rFonts w:ascii="Arial" w:hAnsi="Arial" w:cs="Arial"/>
        </w:rPr>
      </w:pPr>
      <w:r w:rsidRPr="0055280F">
        <w:rPr>
          <w:rFonts w:ascii="Arial" w:hAnsi="Arial" w:cs="Arial"/>
        </w:rPr>
        <w:t xml:space="preserve">Heightened market volatility is expected to remain a feature, at least in the near term and, CDS levels will be monitored for signs of ongoing credit stress. As ever, the institutions and durations on the </w:t>
      </w:r>
      <w:r w:rsidR="00F004F9">
        <w:rPr>
          <w:rFonts w:ascii="Arial" w:hAnsi="Arial" w:cs="Arial"/>
        </w:rPr>
        <w:t>PCC</w:t>
      </w:r>
      <w:r w:rsidRPr="0055280F">
        <w:rPr>
          <w:rFonts w:ascii="Arial" w:hAnsi="Arial" w:cs="Arial"/>
        </w:rPr>
        <w:t>’s counterparty list recommended by Arlingclose remain under constant review</w:t>
      </w:r>
      <w:r w:rsidR="002F273A" w:rsidRPr="009C2D4B">
        <w:rPr>
          <w:rFonts w:ascii="Arial" w:hAnsi="Arial" w:cs="Arial"/>
        </w:rPr>
        <w:t>.</w:t>
      </w:r>
      <w:r w:rsidR="007D26FE" w:rsidRPr="009C2D4B" w:rsidDel="007D26FE">
        <w:rPr>
          <w:rFonts w:ascii="Arial" w:hAnsi="Arial" w:cs="Arial"/>
        </w:rPr>
        <w:t xml:space="preserve"> </w:t>
      </w:r>
    </w:p>
    <w:p w14:paraId="1CEE9B4E" w14:textId="77777777" w:rsidR="00A042BB" w:rsidRPr="00496B3C" w:rsidRDefault="00A042BB" w:rsidP="003C3808">
      <w:pPr>
        <w:keepNext/>
        <w:numPr>
          <w:ilvl w:val="0"/>
          <w:numId w:val="2"/>
        </w:numPr>
        <w:tabs>
          <w:tab w:val="num" w:pos="720"/>
        </w:tabs>
        <w:spacing w:after="240"/>
        <w:ind w:left="431" w:hanging="431"/>
        <w:outlineLvl w:val="0"/>
        <w:rPr>
          <w:rFonts w:ascii="Arial" w:hAnsi="Arial" w:cs="Arial"/>
          <w:b/>
        </w:rPr>
      </w:pPr>
      <w:r w:rsidRPr="00496B3C">
        <w:rPr>
          <w:rFonts w:ascii="Arial" w:hAnsi="Arial" w:cs="Arial"/>
          <w:b/>
        </w:rPr>
        <w:t>Local Context</w:t>
      </w:r>
    </w:p>
    <w:p w14:paraId="08C8C15A" w14:textId="275E4691" w:rsidR="009A520B" w:rsidRPr="000105AF" w:rsidRDefault="009A520B" w:rsidP="003C3808">
      <w:pPr>
        <w:pStyle w:val="ListParagraph"/>
        <w:numPr>
          <w:ilvl w:val="1"/>
          <w:numId w:val="2"/>
        </w:numPr>
        <w:spacing w:after="240"/>
        <w:ind w:left="720" w:hanging="720"/>
        <w:rPr>
          <w:rFonts w:ascii="Arial" w:hAnsi="Arial" w:cs="Arial"/>
        </w:rPr>
      </w:pPr>
      <w:r w:rsidRPr="000105AF">
        <w:rPr>
          <w:rFonts w:ascii="Arial" w:hAnsi="Arial" w:cs="Arial"/>
        </w:rPr>
        <w:t>At 31</w:t>
      </w:r>
      <w:r w:rsidR="00EC6236" w:rsidRPr="000105AF">
        <w:rPr>
          <w:rFonts w:ascii="Arial" w:hAnsi="Arial" w:cs="Arial"/>
        </w:rPr>
        <w:t xml:space="preserve"> March </w:t>
      </w:r>
      <w:r w:rsidRPr="000105AF">
        <w:rPr>
          <w:rFonts w:ascii="Arial" w:hAnsi="Arial" w:cs="Arial"/>
        </w:rPr>
        <w:t>20</w:t>
      </w:r>
      <w:r w:rsidR="00A9602D" w:rsidRPr="000105AF">
        <w:rPr>
          <w:rFonts w:ascii="Arial" w:hAnsi="Arial" w:cs="Arial"/>
        </w:rPr>
        <w:t>2</w:t>
      </w:r>
      <w:r w:rsidR="00F2172E">
        <w:rPr>
          <w:rFonts w:ascii="Arial" w:hAnsi="Arial" w:cs="Arial"/>
        </w:rPr>
        <w:t>4</w:t>
      </w:r>
      <w:r w:rsidR="00484327">
        <w:rPr>
          <w:rFonts w:ascii="Arial" w:hAnsi="Arial" w:cs="Arial"/>
        </w:rPr>
        <w:t>,</w:t>
      </w:r>
      <w:r w:rsidRPr="000105AF">
        <w:rPr>
          <w:rFonts w:ascii="Arial" w:hAnsi="Arial" w:cs="Arial"/>
        </w:rPr>
        <w:t xml:space="preserve"> t</w:t>
      </w:r>
      <w:r w:rsidR="00A042BB" w:rsidRPr="000105AF">
        <w:rPr>
          <w:rFonts w:ascii="Arial" w:hAnsi="Arial" w:cs="Arial"/>
        </w:rPr>
        <w:t xml:space="preserve">he </w:t>
      </w:r>
      <w:r w:rsidR="00564BE3" w:rsidRPr="000105AF">
        <w:rPr>
          <w:rFonts w:ascii="Arial" w:hAnsi="Arial" w:cs="Arial"/>
        </w:rPr>
        <w:t>PCC</w:t>
      </w:r>
      <w:r w:rsidR="00484327">
        <w:rPr>
          <w:rFonts w:ascii="Arial" w:hAnsi="Arial" w:cs="Arial"/>
        </w:rPr>
        <w:t xml:space="preserve"> had </w:t>
      </w:r>
      <w:r w:rsidR="002C0114">
        <w:rPr>
          <w:rFonts w:ascii="Arial" w:hAnsi="Arial" w:cs="Arial"/>
        </w:rPr>
        <w:t xml:space="preserve">net </w:t>
      </w:r>
      <w:r w:rsidR="009F3185">
        <w:rPr>
          <w:rFonts w:ascii="Arial" w:hAnsi="Arial" w:cs="Arial"/>
        </w:rPr>
        <w:t>investments of £111.25m arising from its revenue and capital income and expenditure</w:t>
      </w:r>
      <w:r w:rsidR="008C66F9">
        <w:rPr>
          <w:rFonts w:ascii="Arial" w:hAnsi="Arial" w:cs="Arial"/>
        </w:rPr>
        <w:t>.  The</w:t>
      </w:r>
      <w:r w:rsidR="00A042BB" w:rsidRPr="000105AF">
        <w:rPr>
          <w:rFonts w:ascii="Arial" w:hAnsi="Arial" w:cs="Arial"/>
        </w:rPr>
        <w:t xml:space="preserve"> underlying need to borrow for capital purposes </w:t>
      </w:r>
      <w:r w:rsidR="002E50FA">
        <w:rPr>
          <w:rFonts w:ascii="Arial" w:hAnsi="Arial" w:cs="Arial"/>
        </w:rPr>
        <w:t>is meas</w:t>
      </w:r>
      <w:r w:rsidR="00D9181F">
        <w:rPr>
          <w:rFonts w:ascii="Arial" w:hAnsi="Arial" w:cs="Arial"/>
        </w:rPr>
        <w:t>ured</w:t>
      </w:r>
      <w:r w:rsidR="00A042BB" w:rsidRPr="000105AF">
        <w:rPr>
          <w:rFonts w:ascii="Arial" w:hAnsi="Arial" w:cs="Arial"/>
        </w:rPr>
        <w:t xml:space="preserve"> </w:t>
      </w:r>
      <w:r w:rsidR="00A042BB" w:rsidRPr="005F642A">
        <w:rPr>
          <w:rFonts w:ascii="Arial" w:hAnsi="Arial" w:cs="Arial"/>
        </w:rPr>
        <w:t>by the Capital Financing Requirement (CFR)</w:t>
      </w:r>
      <w:r w:rsidR="00746C2B">
        <w:rPr>
          <w:rFonts w:ascii="Arial" w:hAnsi="Arial" w:cs="Arial"/>
        </w:rPr>
        <w:t xml:space="preserve"> as it is the amount of capital spending that has not yet been financed by capital receipts, capital grants or contributions from </w:t>
      </w:r>
      <w:r w:rsidR="003548F8">
        <w:rPr>
          <w:rFonts w:ascii="Arial" w:hAnsi="Arial" w:cs="Arial"/>
        </w:rPr>
        <w:t>revenue income</w:t>
      </w:r>
      <w:r w:rsidR="00A042BB" w:rsidRPr="005F642A">
        <w:rPr>
          <w:rFonts w:ascii="Arial" w:hAnsi="Arial" w:cs="Arial"/>
        </w:rPr>
        <w:t xml:space="preserve">, while </w:t>
      </w:r>
      <w:r w:rsidR="00B76A6B" w:rsidRPr="005F642A">
        <w:rPr>
          <w:rFonts w:ascii="Arial" w:hAnsi="Arial" w:cs="Arial"/>
        </w:rPr>
        <w:t>balance sheet resources</w:t>
      </w:r>
      <w:r w:rsidR="00A042BB" w:rsidRPr="005F642A">
        <w:rPr>
          <w:rFonts w:ascii="Arial" w:hAnsi="Arial" w:cs="Arial"/>
        </w:rPr>
        <w:t xml:space="preserve"> are the underlying resources available for investment</w:t>
      </w:r>
      <w:r w:rsidR="00B01C4F" w:rsidRPr="005F642A">
        <w:rPr>
          <w:rFonts w:ascii="Arial" w:hAnsi="Arial" w:cs="Arial"/>
        </w:rPr>
        <w:t>.</w:t>
      </w:r>
      <w:r w:rsidR="000105AF" w:rsidRPr="000105AF">
        <w:rPr>
          <w:rFonts w:ascii="Arial" w:hAnsi="Arial" w:cs="Arial"/>
        </w:rPr>
        <w:t xml:space="preserve"> </w:t>
      </w:r>
      <w:r w:rsidR="00EC6236" w:rsidRPr="000105AF">
        <w:rPr>
          <w:rFonts w:ascii="Arial" w:hAnsi="Arial" w:cs="Arial"/>
        </w:rPr>
        <w:t>These factors are summarised in Table 1.</w:t>
      </w:r>
    </w:p>
    <w:tbl>
      <w:tblPr>
        <w:tblW w:w="8982" w:type="dxa"/>
        <w:jc w:val="center"/>
        <w:tblLayout w:type="fixed"/>
        <w:tblLook w:val="04A0" w:firstRow="1" w:lastRow="0" w:firstColumn="1" w:lastColumn="0" w:noHBand="0" w:noVBand="1"/>
      </w:tblPr>
      <w:tblGrid>
        <w:gridCol w:w="4707"/>
        <w:gridCol w:w="1275"/>
        <w:gridCol w:w="1583"/>
        <w:gridCol w:w="1417"/>
      </w:tblGrid>
      <w:tr w:rsidR="00D15A06" w:rsidRPr="00D750B2" w14:paraId="10551DDA" w14:textId="77777777" w:rsidTr="00AC502A">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tcPr>
          <w:p w14:paraId="6F1000FF" w14:textId="25531B18" w:rsidR="00D15A06" w:rsidRPr="00D750B2" w:rsidRDefault="00D15A06" w:rsidP="00D15A06">
            <w:pPr>
              <w:pStyle w:val="ListParagraph"/>
              <w:keepNext/>
              <w:ind w:left="0"/>
              <w:rPr>
                <w:rFonts w:ascii="Arial" w:hAnsi="Arial" w:cs="Arial"/>
                <w:b/>
                <w:bCs/>
              </w:rPr>
            </w:pPr>
            <w:r w:rsidRPr="00D750B2">
              <w:rPr>
                <w:rFonts w:ascii="Arial" w:hAnsi="Arial" w:cs="Arial"/>
                <w:b/>
                <w:bCs/>
              </w:rPr>
              <w:t>Table 1:  Balance sheet summary</w:t>
            </w:r>
          </w:p>
        </w:tc>
        <w:tc>
          <w:tcPr>
            <w:tcW w:w="1275" w:type="dxa"/>
            <w:tcBorders>
              <w:top w:val="single" w:sz="4" w:space="0" w:color="auto"/>
              <w:left w:val="single" w:sz="4" w:space="0" w:color="auto"/>
              <w:bottom w:val="single" w:sz="4" w:space="0" w:color="auto"/>
              <w:right w:val="single" w:sz="4" w:space="0" w:color="auto"/>
            </w:tcBorders>
            <w:vAlign w:val="bottom"/>
          </w:tcPr>
          <w:p w14:paraId="1855F795" w14:textId="1D21C88F" w:rsidR="00D15A06" w:rsidRPr="00D750B2" w:rsidRDefault="00D15A06" w:rsidP="00D15A06">
            <w:pPr>
              <w:pStyle w:val="ListParagraph"/>
              <w:keepNext/>
              <w:ind w:left="0"/>
              <w:jc w:val="right"/>
              <w:rPr>
                <w:rFonts w:ascii="Arial" w:hAnsi="Arial" w:cs="Arial"/>
                <w:b/>
                <w:bCs/>
              </w:rPr>
            </w:pPr>
            <w:r w:rsidRPr="0067079C">
              <w:rPr>
                <w:rFonts w:ascii="Arial" w:hAnsi="Arial" w:cs="Arial"/>
                <w:b/>
                <w:bCs/>
              </w:rPr>
              <w:t>31/03/2</w:t>
            </w:r>
            <w:r>
              <w:rPr>
                <w:rFonts w:ascii="Arial" w:hAnsi="Arial" w:cs="Arial"/>
                <w:b/>
                <w:bCs/>
              </w:rPr>
              <w:t>3</w:t>
            </w:r>
            <w:r w:rsidRPr="0067079C">
              <w:rPr>
                <w:rFonts w:ascii="Arial" w:hAnsi="Arial" w:cs="Arial"/>
                <w:b/>
                <w:bCs/>
              </w:rPr>
              <w:br/>
              <w:t>Balance</w:t>
            </w:r>
            <w:r w:rsidRPr="0067079C">
              <w:rPr>
                <w:rFonts w:ascii="Arial" w:hAnsi="Arial" w:cs="Arial"/>
                <w:b/>
                <w:bCs/>
              </w:rPr>
              <w:br/>
              <w:t>£m</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tcPr>
          <w:p w14:paraId="195EB33C" w14:textId="71559067" w:rsidR="00D15A06" w:rsidRPr="0067079C" w:rsidRDefault="00D15A06" w:rsidP="00D15A06">
            <w:pPr>
              <w:pStyle w:val="ListParagraph"/>
              <w:keepNext/>
              <w:ind w:left="0"/>
              <w:jc w:val="right"/>
              <w:rPr>
                <w:rFonts w:ascii="Arial" w:hAnsi="Arial" w:cs="Arial"/>
                <w:b/>
                <w:bCs/>
              </w:rPr>
            </w:pPr>
            <w:r w:rsidRPr="0067079C">
              <w:rPr>
                <w:rFonts w:ascii="Arial" w:hAnsi="Arial" w:cs="Arial"/>
                <w:b/>
                <w:bCs/>
              </w:rPr>
              <w:t>Movement</w:t>
            </w:r>
            <w:r w:rsidRPr="0067079C">
              <w:rPr>
                <w:rFonts w:ascii="Arial" w:hAnsi="Arial" w:cs="Arial"/>
                <w:b/>
                <w:bCs/>
              </w:rPr>
              <w:br/>
            </w:r>
            <w:r w:rsidRPr="0067079C">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10ED02C" w14:textId="66C5EBBC" w:rsidR="00D15A06" w:rsidRPr="0067079C" w:rsidRDefault="00D15A06" w:rsidP="00D15A06">
            <w:pPr>
              <w:pStyle w:val="ListParagraph"/>
              <w:keepNext/>
              <w:ind w:left="0"/>
              <w:jc w:val="right"/>
              <w:rPr>
                <w:rFonts w:ascii="Arial" w:hAnsi="Arial" w:cs="Arial"/>
                <w:b/>
                <w:bCs/>
              </w:rPr>
            </w:pPr>
            <w:r w:rsidRPr="0067079C">
              <w:rPr>
                <w:rFonts w:ascii="Arial" w:hAnsi="Arial" w:cs="Arial"/>
                <w:b/>
                <w:bCs/>
              </w:rPr>
              <w:t>31/03/2</w:t>
            </w:r>
            <w:r>
              <w:rPr>
                <w:rFonts w:ascii="Arial" w:hAnsi="Arial" w:cs="Arial"/>
                <w:b/>
                <w:bCs/>
              </w:rPr>
              <w:t>4</w:t>
            </w:r>
            <w:r w:rsidRPr="0067079C">
              <w:rPr>
                <w:rFonts w:ascii="Arial" w:hAnsi="Arial" w:cs="Arial"/>
                <w:b/>
                <w:bCs/>
              </w:rPr>
              <w:br/>
              <w:t>Balance</w:t>
            </w:r>
            <w:r w:rsidRPr="0067079C">
              <w:rPr>
                <w:rFonts w:ascii="Arial" w:hAnsi="Arial" w:cs="Arial"/>
                <w:b/>
                <w:bCs/>
              </w:rPr>
              <w:br/>
              <w:t>£m</w:t>
            </w:r>
          </w:p>
        </w:tc>
      </w:tr>
      <w:tr w:rsidR="00013119" w:rsidRPr="00D750B2" w14:paraId="7F3563D0" w14:textId="77777777" w:rsidTr="00AC502A">
        <w:trPr>
          <w:trHeight w:val="73"/>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2C66DCF5" w14:textId="48DD3B7B" w:rsidR="00013119" w:rsidRPr="00D750B2" w:rsidRDefault="00013119" w:rsidP="00013119">
            <w:pPr>
              <w:pStyle w:val="ListParagraph"/>
              <w:keepNext/>
              <w:ind w:left="0"/>
              <w:rPr>
                <w:rFonts w:ascii="Arial" w:hAnsi="Arial" w:cs="Arial"/>
              </w:rPr>
            </w:pPr>
            <w:r w:rsidRPr="00D750B2">
              <w:rPr>
                <w:rFonts w:ascii="Arial" w:hAnsi="Arial" w:cs="Arial"/>
              </w:rPr>
              <w:t>CFR</w:t>
            </w:r>
          </w:p>
        </w:tc>
        <w:tc>
          <w:tcPr>
            <w:tcW w:w="1275" w:type="dxa"/>
            <w:tcBorders>
              <w:top w:val="single" w:sz="4" w:space="0" w:color="auto"/>
              <w:left w:val="single" w:sz="4" w:space="0" w:color="auto"/>
              <w:bottom w:val="single" w:sz="4" w:space="0" w:color="auto"/>
              <w:right w:val="single" w:sz="4" w:space="0" w:color="auto"/>
            </w:tcBorders>
            <w:vAlign w:val="center"/>
          </w:tcPr>
          <w:p w14:paraId="04468C5A" w14:textId="35C83B57" w:rsidR="00013119" w:rsidRPr="0067079C" w:rsidRDefault="00013119" w:rsidP="00013119">
            <w:pPr>
              <w:pStyle w:val="ListParagraph"/>
              <w:keepNext/>
              <w:ind w:left="0"/>
              <w:jc w:val="right"/>
              <w:rPr>
                <w:rFonts w:ascii="Arial" w:hAnsi="Arial" w:cs="Arial"/>
              </w:rPr>
            </w:pPr>
            <w:r>
              <w:rPr>
                <w:rFonts w:ascii="Arial" w:hAnsi="Arial" w:cs="Arial"/>
              </w:rPr>
              <w:t>53.74</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47A9488E" w14:textId="51F17AF0" w:rsidR="00013119" w:rsidRPr="0067079C" w:rsidRDefault="00013119" w:rsidP="00013119">
            <w:pPr>
              <w:pStyle w:val="ListParagraph"/>
              <w:keepNext/>
              <w:ind w:left="0"/>
              <w:jc w:val="right"/>
              <w:rPr>
                <w:rFonts w:ascii="Arial" w:hAnsi="Arial" w:cs="Arial"/>
              </w:rPr>
            </w:pPr>
            <w:r>
              <w:rPr>
                <w:rFonts w:ascii="Arial" w:hAnsi="Arial" w:cs="Arial"/>
              </w:rPr>
              <w:t>(2.68)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5154F7" w14:textId="38063BC1" w:rsidR="00013119" w:rsidRPr="0067079C" w:rsidRDefault="00013119" w:rsidP="00013119">
            <w:pPr>
              <w:pStyle w:val="ListParagraph"/>
              <w:keepNext/>
              <w:ind w:left="0"/>
              <w:jc w:val="right"/>
              <w:rPr>
                <w:rFonts w:ascii="Arial" w:hAnsi="Arial" w:cs="Arial"/>
              </w:rPr>
            </w:pPr>
            <w:r>
              <w:rPr>
                <w:rFonts w:ascii="Arial" w:hAnsi="Arial" w:cs="Arial"/>
              </w:rPr>
              <w:t>51.06</w:t>
            </w:r>
          </w:p>
        </w:tc>
      </w:tr>
      <w:tr w:rsidR="00013119" w:rsidRPr="00D750B2" w14:paraId="120FB942" w14:textId="77777777" w:rsidTr="00AC502A">
        <w:trPr>
          <w:trHeight w:val="355"/>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51832E1C" w14:textId="05424B11" w:rsidR="00013119" w:rsidRPr="00D750B2" w:rsidRDefault="009A6756" w:rsidP="00013119">
            <w:pPr>
              <w:pStyle w:val="ListParagraph"/>
              <w:keepNext/>
              <w:ind w:left="0"/>
              <w:rPr>
                <w:rFonts w:ascii="Arial" w:hAnsi="Arial" w:cs="Arial"/>
              </w:rPr>
            </w:pPr>
            <w:r w:rsidRPr="00AC502A">
              <w:rPr>
                <w:rFonts w:ascii="Arial" w:hAnsi="Arial" w:cs="Arial"/>
              </w:rPr>
              <w:t>External borrowing*</w:t>
            </w:r>
          </w:p>
        </w:tc>
        <w:tc>
          <w:tcPr>
            <w:tcW w:w="1275" w:type="dxa"/>
            <w:tcBorders>
              <w:top w:val="single" w:sz="4" w:space="0" w:color="auto"/>
              <w:left w:val="single" w:sz="4" w:space="0" w:color="auto"/>
              <w:bottom w:val="single" w:sz="4" w:space="0" w:color="auto"/>
              <w:right w:val="single" w:sz="4" w:space="0" w:color="auto"/>
            </w:tcBorders>
            <w:vAlign w:val="center"/>
          </w:tcPr>
          <w:p w14:paraId="6A2845EE" w14:textId="4D26DE57" w:rsidR="00013119" w:rsidRPr="00D750B2" w:rsidRDefault="00013119" w:rsidP="00013119">
            <w:pPr>
              <w:pStyle w:val="ListParagraph"/>
              <w:keepNext/>
              <w:ind w:left="0"/>
              <w:jc w:val="right"/>
              <w:rPr>
                <w:rFonts w:ascii="Arial" w:hAnsi="Arial" w:cs="Arial"/>
              </w:rPr>
            </w:pPr>
            <w:r>
              <w:rPr>
                <w:rFonts w:ascii="Arial" w:hAnsi="Arial" w:cs="Arial"/>
              </w:rPr>
              <w:t>(29.87)</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2565C2F5" w14:textId="5B466FAA" w:rsidR="00013119" w:rsidRPr="00D750B2" w:rsidRDefault="00013119" w:rsidP="00013119">
            <w:pPr>
              <w:pStyle w:val="ListParagraph"/>
              <w:keepNext/>
              <w:ind w:left="0"/>
              <w:jc w:val="right"/>
              <w:rPr>
                <w:rFonts w:ascii="Arial" w:hAnsi="Arial" w:cs="Arial"/>
              </w:rPr>
            </w:pPr>
            <w:r>
              <w:rPr>
                <w:rFonts w:ascii="Arial" w:hAnsi="Arial" w:cs="Arial"/>
              </w:rPr>
              <w:t>10.52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F506B9" w14:textId="3836B835" w:rsidR="00013119" w:rsidRPr="00D750B2" w:rsidRDefault="00013119" w:rsidP="00013119">
            <w:pPr>
              <w:pStyle w:val="ListParagraph"/>
              <w:keepNext/>
              <w:ind w:left="0"/>
              <w:jc w:val="right"/>
              <w:rPr>
                <w:rFonts w:ascii="Arial" w:hAnsi="Arial" w:cs="Arial"/>
              </w:rPr>
            </w:pPr>
            <w:r>
              <w:rPr>
                <w:rFonts w:ascii="Arial" w:hAnsi="Arial" w:cs="Arial"/>
              </w:rPr>
              <w:t>(19.</w:t>
            </w:r>
            <w:r w:rsidR="008205B2">
              <w:rPr>
                <w:rFonts w:ascii="Arial" w:hAnsi="Arial" w:cs="Arial"/>
              </w:rPr>
              <w:t>43</w:t>
            </w:r>
            <w:r>
              <w:rPr>
                <w:rFonts w:ascii="Arial" w:hAnsi="Arial" w:cs="Arial"/>
              </w:rPr>
              <w:t>)</w:t>
            </w:r>
          </w:p>
        </w:tc>
      </w:tr>
      <w:tr w:rsidR="00013119" w:rsidRPr="00D750B2" w14:paraId="395A288C" w14:textId="77777777" w:rsidTr="00AC502A">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79C78EC1" w14:textId="08111412" w:rsidR="00013119" w:rsidRPr="00D750B2" w:rsidRDefault="00013119" w:rsidP="00013119">
            <w:pPr>
              <w:pStyle w:val="ListParagraph"/>
              <w:keepNext/>
              <w:ind w:left="0"/>
              <w:rPr>
                <w:rFonts w:ascii="Arial" w:hAnsi="Arial" w:cs="Arial"/>
                <w:b/>
                <w:bCs/>
              </w:rPr>
            </w:pPr>
            <w:r w:rsidRPr="00D750B2">
              <w:rPr>
                <w:rFonts w:ascii="Arial" w:hAnsi="Arial" w:cs="Arial"/>
                <w:b/>
                <w:bCs/>
              </w:rPr>
              <w:t>Internal borrowing</w:t>
            </w:r>
          </w:p>
        </w:tc>
        <w:tc>
          <w:tcPr>
            <w:tcW w:w="1275" w:type="dxa"/>
            <w:tcBorders>
              <w:top w:val="single" w:sz="4" w:space="0" w:color="auto"/>
              <w:left w:val="single" w:sz="4" w:space="0" w:color="auto"/>
              <w:bottom w:val="single" w:sz="4" w:space="0" w:color="auto"/>
              <w:right w:val="single" w:sz="4" w:space="0" w:color="auto"/>
            </w:tcBorders>
            <w:vAlign w:val="center"/>
          </w:tcPr>
          <w:p w14:paraId="6DC0BC68" w14:textId="3330D9FD" w:rsidR="00013119" w:rsidRPr="0067079C" w:rsidRDefault="00013119" w:rsidP="00013119">
            <w:pPr>
              <w:pStyle w:val="ListParagraph"/>
              <w:keepNext/>
              <w:ind w:left="0"/>
              <w:jc w:val="right"/>
              <w:rPr>
                <w:rFonts w:ascii="Arial" w:hAnsi="Arial" w:cs="Arial"/>
                <w:b/>
                <w:bCs/>
              </w:rPr>
            </w:pPr>
            <w:r>
              <w:rPr>
                <w:rFonts w:ascii="Arial" w:hAnsi="Arial" w:cs="Arial"/>
                <w:b/>
                <w:bCs/>
              </w:rPr>
              <w:t>23.86</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14A11D75" w14:textId="248EA43E" w:rsidR="00013119" w:rsidRPr="0067079C" w:rsidRDefault="00013119" w:rsidP="00013119">
            <w:pPr>
              <w:pStyle w:val="ListParagraph"/>
              <w:keepNext/>
              <w:ind w:left="0"/>
              <w:jc w:val="right"/>
              <w:rPr>
                <w:rFonts w:ascii="Arial" w:hAnsi="Arial" w:cs="Arial"/>
                <w:b/>
                <w:bCs/>
              </w:rPr>
            </w:pPr>
            <w:r>
              <w:rPr>
                <w:rFonts w:ascii="Arial" w:hAnsi="Arial" w:cs="Arial"/>
                <w:b/>
                <w:bCs/>
              </w:rPr>
              <w:t>7.85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F3C1B0" w14:textId="0F3F9453" w:rsidR="00013119" w:rsidRPr="0067079C" w:rsidRDefault="00013119" w:rsidP="00013119">
            <w:pPr>
              <w:pStyle w:val="ListParagraph"/>
              <w:keepNext/>
              <w:ind w:left="0"/>
              <w:jc w:val="right"/>
              <w:rPr>
                <w:rFonts w:ascii="Arial" w:hAnsi="Arial" w:cs="Arial"/>
                <w:b/>
                <w:bCs/>
              </w:rPr>
            </w:pPr>
            <w:r>
              <w:rPr>
                <w:rFonts w:ascii="Arial" w:hAnsi="Arial" w:cs="Arial"/>
                <w:b/>
                <w:bCs/>
              </w:rPr>
              <w:t>31.</w:t>
            </w:r>
            <w:r w:rsidR="008205B2">
              <w:rPr>
                <w:rFonts w:ascii="Arial" w:hAnsi="Arial" w:cs="Arial"/>
                <w:b/>
                <w:bCs/>
              </w:rPr>
              <w:t>63</w:t>
            </w:r>
          </w:p>
        </w:tc>
      </w:tr>
      <w:tr w:rsidR="00013119" w:rsidRPr="00B9643F" w14:paraId="66B180C9" w14:textId="77777777" w:rsidTr="00AC502A">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3AE891FA" w14:textId="1529F7AA" w:rsidR="00013119" w:rsidRPr="00B9643F" w:rsidRDefault="00013119" w:rsidP="00013119">
            <w:pPr>
              <w:pStyle w:val="ListParagraph"/>
              <w:keepNext/>
              <w:ind w:left="0"/>
              <w:rPr>
                <w:rFonts w:ascii="Arial" w:hAnsi="Arial" w:cs="Arial"/>
              </w:rPr>
            </w:pPr>
            <w:r>
              <w:rPr>
                <w:rFonts w:ascii="Arial" w:hAnsi="Arial" w:cs="Arial"/>
              </w:rPr>
              <w:t xml:space="preserve">Less: </w:t>
            </w:r>
            <w:r w:rsidR="00470A7B">
              <w:rPr>
                <w:rFonts w:ascii="Arial" w:hAnsi="Arial" w:cs="Arial"/>
              </w:rPr>
              <w:t>Balance sheet resources</w:t>
            </w:r>
          </w:p>
        </w:tc>
        <w:tc>
          <w:tcPr>
            <w:tcW w:w="1275" w:type="dxa"/>
            <w:tcBorders>
              <w:top w:val="single" w:sz="4" w:space="0" w:color="auto"/>
              <w:left w:val="single" w:sz="4" w:space="0" w:color="auto"/>
              <w:bottom w:val="single" w:sz="4" w:space="0" w:color="auto"/>
              <w:right w:val="single" w:sz="4" w:space="0" w:color="auto"/>
            </w:tcBorders>
            <w:vAlign w:val="center"/>
          </w:tcPr>
          <w:p w14:paraId="33600FEF" w14:textId="5DE5507B" w:rsidR="00013119" w:rsidRDefault="00013119" w:rsidP="00013119">
            <w:pPr>
              <w:pStyle w:val="ListParagraph"/>
              <w:keepNext/>
              <w:ind w:left="0"/>
              <w:jc w:val="right"/>
              <w:rPr>
                <w:rFonts w:ascii="Arial" w:hAnsi="Arial" w:cs="Arial"/>
              </w:rPr>
            </w:pPr>
            <w:r>
              <w:rPr>
                <w:rFonts w:ascii="Arial" w:hAnsi="Arial" w:cs="Arial"/>
              </w:rPr>
              <w:t>(1</w:t>
            </w:r>
            <w:r w:rsidR="00452C19">
              <w:rPr>
                <w:rFonts w:ascii="Arial" w:hAnsi="Arial" w:cs="Arial"/>
              </w:rPr>
              <w:t>30.85</w:t>
            </w:r>
            <w:r>
              <w:rPr>
                <w:rFonts w:ascii="Arial" w:hAnsi="Arial" w:cs="Arial"/>
              </w:rPr>
              <w:t>)</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15AC5CD0" w14:textId="060F017D" w:rsidR="00013119" w:rsidRPr="00B9643F" w:rsidRDefault="00013119" w:rsidP="00013119">
            <w:pPr>
              <w:pStyle w:val="ListParagraph"/>
              <w:keepNext/>
              <w:ind w:left="0"/>
              <w:jc w:val="right"/>
              <w:rPr>
                <w:rFonts w:ascii="Arial" w:hAnsi="Arial" w:cs="Arial"/>
              </w:rPr>
            </w:pPr>
            <w:r>
              <w:rPr>
                <w:rFonts w:ascii="Arial" w:hAnsi="Arial" w:cs="Arial"/>
              </w:rPr>
              <w:t>(</w:t>
            </w:r>
            <w:r w:rsidR="00A939D0">
              <w:rPr>
                <w:rFonts w:ascii="Arial" w:hAnsi="Arial" w:cs="Arial"/>
              </w:rPr>
              <w:t>12.11</w:t>
            </w:r>
            <w:r>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715408" w14:textId="08B8CBE4" w:rsidR="00013119" w:rsidRPr="00B9643F" w:rsidRDefault="00013119" w:rsidP="00013119">
            <w:pPr>
              <w:pStyle w:val="ListParagraph"/>
              <w:keepNext/>
              <w:ind w:left="0"/>
              <w:jc w:val="right"/>
              <w:rPr>
                <w:rFonts w:ascii="Arial" w:hAnsi="Arial" w:cs="Arial"/>
              </w:rPr>
            </w:pPr>
            <w:r>
              <w:rPr>
                <w:rFonts w:ascii="Arial" w:hAnsi="Arial" w:cs="Arial"/>
              </w:rPr>
              <w:t>(1</w:t>
            </w:r>
            <w:r w:rsidR="00470A7B">
              <w:rPr>
                <w:rFonts w:ascii="Arial" w:hAnsi="Arial" w:cs="Arial"/>
              </w:rPr>
              <w:t>42.96</w:t>
            </w:r>
            <w:r>
              <w:rPr>
                <w:rFonts w:ascii="Arial" w:hAnsi="Arial" w:cs="Arial"/>
              </w:rPr>
              <w:t>)</w:t>
            </w:r>
          </w:p>
        </w:tc>
      </w:tr>
      <w:tr w:rsidR="00013119" w:rsidRPr="00B9643F" w14:paraId="766727D5" w14:textId="77777777" w:rsidTr="00AC502A">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6C98B422" w14:textId="0246A618" w:rsidR="00013119" w:rsidRPr="00B9643F" w:rsidRDefault="00013119" w:rsidP="00013119">
            <w:pPr>
              <w:pStyle w:val="ListParagraph"/>
              <w:keepNext/>
              <w:ind w:left="0"/>
              <w:rPr>
                <w:rFonts w:ascii="Arial" w:hAnsi="Arial" w:cs="Arial"/>
                <w:b/>
                <w:bCs/>
              </w:rPr>
            </w:pPr>
            <w:r w:rsidRPr="00B9643F">
              <w:rPr>
                <w:rFonts w:ascii="Arial" w:hAnsi="Arial" w:cs="Arial"/>
                <w:b/>
                <w:bCs/>
              </w:rPr>
              <w:t>Net investments</w:t>
            </w:r>
          </w:p>
        </w:tc>
        <w:tc>
          <w:tcPr>
            <w:tcW w:w="1275" w:type="dxa"/>
            <w:tcBorders>
              <w:top w:val="single" w:sz="4" w:space="0" w:color="auto"/>
              <w:left w:val="single" w:sz="4" w:space="0" w:color="auto"/>
              <w:bottom w:val="single" w:sz="4" w:space="0" w:color="auto"/>
              <w:right w:val="single" w:sz="4" w:space="0" w:color="auto"/>
            </w:tcBorders>
            <w:vAlign w:val="center"/>
          </w:tcPr>
          <w:p w14:paraId="138A07E2" w14:textId="53528575" w:rsidR="00013119" w:rsidRPr="00FF3F58" w:rsidRDefault="00013119" w:rsidP="00013119">
            <w:pPr>
              <w:pStyle w:val="ListParagraph"/>
              <w:keepNext/>
              <w:ind w:left="0"/>
              <w:jc w:val="right"/>
              <w:rPr>
                <w:rFonts w:ascii="Arial" w:hAnsi="Arial" w:cs="Arial"/>
                <w:b/>
                <w:bCs/>
              </w:rPr>
            </w:pPr>
            <w:r>
              <w:rPr>
                <w:rFonts w:ascii="Arial" w:hAnsi="Arial" w:cs="Arial"/>
                <w:b/>
                <w:bCs/>
              </w:rPr>
              <w:t>(106.99)</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6D953F54" w14:textId="2269F429" w:rsidR="00013119" w:rsidRPr="00B9643F" w:rsidRDefault="00013119" w:rsidP="00013119">
            <w:pPr>
              <w:pStyle w:val="ListParagraph"/>
              <w:keepNext/>
              <w:ind w:left="0"/>
              <w:jc w:val="right"/>
              <w:rPr>
                <w:rFonts w:ascii="Arial" w:hAnsi="Arial" w:cs="Arial"/>
                <w:b/>
                <w:bCs/>
              </w:rPr>
            </w:pPr>
            <w:r>
              <w:rPr>
                <w:rFonts w:ascii="Arial" w:hAnsi="Arial" w:cs="Arial"/>
                <w:b/>
                <w:bCs/>
              </w:rPr>
              <w:t>(4.26)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B5EF9" w14:textId="0BCA66F9" w:rsidR="00013119" w:rsidRPr="00B9643F" w:rsidRDefault="00013119" w:rsidP="00013119">
            <w:pPr>
              <w:pStyle w:val="ListParagraph"/>
              <w:keepNext/>
              <w:ind w:left="0"/>
              <w:jc w:val="right"/>
              <w:rPr>
                <w:rFonts w:ascii="Arial" w:hAnsi="Arial" w:cs="Arial"/>
                <w:b/>
                <w:bCs/>
              </w:rPr>
            </w:pPr>
            <w:r>
              <w:rPr>
                <w:rFonts w:ascii="Arial" w:hAnsi="Arial" w:cs="Arial"/>
                <w:b/>
                <w:bCs/>
              </w:rPr>
              <w:t>(111.</w:t>
            </w:r>
            <w:r w:rsidR="008205B2">
              <w:rPr>
                <w:rFonts w:ascii="Arial" w:hAnsi="Arial" w:cs="Arial"/>
                <w:b/>
                <w:bCs/>
              </w:rPr>
              <w:t>33</w:t>
            </w:r>
            <w:r>
              <w:rPr>
                <w:rFonts w:ascii="Arial" w:hAnsi="Arial" w:cs="Arial"/>
                <w:b/>
                <w:bCs/>
              </w:rPr>
              <w:t>)</w:t>
            </w:r>
          </w:p>
        </w:tc>
      </w:tr>
    </w:tbl>
    <w:p w14:paraId="6E700B1D" w14:textId="11AA32C4" w:rsidR="00EC6236" w:rsidRPr="00B9643F" w:rsidRDefault="00774BF7" w:rsidP="00AC502A">
      <w:pPr>
        <w:pStyle w:val="ListParagraph"/>
        <w:spacing w:after="240"/>
        <w:rPr>
          <w:rFonts w:ascii="Arial" w:hAnsi="Arial" w:cs="Arial"/>
        </w:rPr>
      </w:pPr>
      <w:r>
        <w:rPr>
          <w:rFonts w:ascii="Arial" w:hAnsi="Arial" w:cs="Arial"/>
        </w:rPr>
        <w:t>*</w:t>
      </w:r>
      <w:r w:rsidR="009346D9">
        <w:rPr>
          <w:rFonts w:ascii="Arial" w:hAnsi="Arial" w:cs="Arial"/>
        </w:rPr>
        <w:t xml:space="preserve"> shows only loans to which the PCC is committed and excludes optional refinancing.</w:t>
      </w:r>
    </w:p>
    <w:p w14:paraId="7A644E52" w14:textId="44832FBF" w:rsidR="000E2E12" w:rsidRPr="006E60B3" w:rsidRDefault="00D378BF" w:rsidP="008846A1">
      <w:pPr>
        <w:pStyle w:val="ListParagraph"/>
        <w:numPr>
          <w:ilvl w:val="1"/>
          <w:numId w:val="2"/>
        </w:numPr>
        <w:spacing w:after="240"/>
        <w:ind w:left="720" w:hanging="720"/>
        <w:rPr>
          <w:rFonts w:ascii="Arial" w:hAnsi="Arial" w:cs="Arial"/>
        </w:rPr>
      </w:pPr>
      <w:bookmarkStart w:id="0" w:name="_Hlk13133586"/>
      <w:r>
        <w:rPr>
          <w:rFonts w:ascii="Arial" w:hAnsi="Arial" w:cs="Arial"/>
        </w:rPr>
        <w:t>Table 1 shows that during 2023/24 the PCC’s</w:t>
      </w:r>
      <w:r w:rsidR="008846A1" w:rsidRPr="006E60B3">
        <w:rPr>
          <w:rFonts w:ascii="Arial" w:hAnsi="Arial" w:cs="Arial"/>
        </w:rPr>
        <w:t xml:space="preserve"> </w:t>
      </w:r>
      <w:r w:rsidR="00CE7E0C" w:rsidRPr="006E60B3">
        <w:rPr>
          <w:rFonts w:ascii="Arial" w:hAnsi="Arial" w:cs="Arial"/>
        </w:rPr>
        <w:t>CFR has</w:t>
      </w:r>
      <w:r w:rsidR="00FE167D" w:rsidRPr="006E60B3">
        <w:rPr>
          <w:rFonts w:ascii="Arial" w:hAnsi="Arial" w:cs="Arial"/>
        </w:rPr>
        <w:t xml:space="preserve"> </w:t>
      </w:r>
      <w:r w:rsidR="00FA41F6" w:rsidRPr="005F642A">
        <w:rPr>
          <w:rFonts w:ascii="Arial" w:hAnsi="Arial" w:cs="Arial"/>
        </w:rPr>
        <w:t>decreased by</w:t>
      </w:r>
      <w:r w:rsidR="00FE167D" w:rsidRPr="005F642A">
        <w:rPr>
          <w:rFonts w:ascii="Arial" w:hAnsi="Arial" w:cs="Arial"/>
        </w:rPr>
        <w:t xml:space="preserve"> £</w:t>
      </w:r>
      <w:r w:rsidR="005F642A" w:rsidRPr="00AC502A">
        <w:rPr>
          <w:rFonts w:ascii="Arial" w:hAnsi="Arial" w:cs="Arial"/>
        </w:rPr>
        <w:t>2.68</w:t>
      </w:r>
      <w:r w:rsidR="00FE167D" w:rsidRPr="005F642A">
        <w:rPr>
          <w:rFonts w:ascii="Arial" w:hAnsi="Arial" w:cs="Arial"/>
        </w:rPr>
        <w:t>m</w:t>
      </w:r>
      <w:r w:rsidR="00FE167D" w:rsidRPr="006E60B3">
        <w:rPr>
          <w:rFonts w:ascii="Arial" w:hAnsi="Arial" w:cs="Arial"/>
        </w:rPr>
        <w:t xml:space="preserve"> which reflects </w:t>
      </w:r>
      <w:r w:rsidR="008D6BFC" w:rsidRPr="006E60B3">
        <w:rPr>
          <w:rFonts w:ascii="Arial" w:hAnsi="Arial" w:cs="Arial"/>
        </w:rPr>
        <w:t xml:space="preserve">the </w:t>
      </w:r>
      <w:r w:rsidR="00FA41F6" w:rsidRPr="006E60B3">
        <w:rPr>
          <w:rFonts w:ascii="Arial" w:hAnsi="Arial" w:cs="Arial"/>
        </w:rPr>
        <w:t>Minimum Revenue</w:t>
      </w:r>
      <w:r w:rsidR="00636950" w:rsidRPr="006E60B3">
        <w:rPr>
          <w:rFonts w:ascii="Arial" w:hAnsi="Arial" w:cs="Arial"/>
        </w:rPr>
        <w:t xml:space="preserve"> </w:t>
      </w:r>
      <w:r w:rsidR="00827887" w:rsidRPr="006E60B3">
        <w:rPr>
          <w:rFonts w:ascii="Arial" w:hAnsi="Arial" w:cs="Arial"/>
        </w:rPr>
        <w:t>Provision (MRP)</w:t>
      </w:r>
      <w:r w:rsidR="00FE167D" w:rsidRPr="006E60B3">
        <w:rPr>
          <w:rFonts w:ascii="Arial" w:hAnsi="Arial" w:cs="Arial"/>
        </w:rPr>
        <w:t xml:space="preserve"> </w:t>
      </w:r>
      <w:r w:rsidR="00696DA6" w:rsidRPr="006E60B3">
        <w:rPr>
          <w:rFonts w:ascii="Arial" w:hAnsi="Arial" w:cs="Arial"/>
        </w:rPr>
        <w:t xml:space="preserve">set aside </w:t>
      </w:r>
      <w:r w:rsidR="008D6BFC" w:rsidRPr="006E60B3">
        <w:rPr>
          <w:rFonts w:ascii="Arial" w:hAnsi="Arial" w:cs="Arial"/>
        </w:rPr>
        <w:t>during the year</w:t>
      </w:r>
      <w:r w:rsidR="00827887" w:rsidRPr="006E60B3">
        <w:rPr>
          <w:rFonts w:ascii="Arial" w:hAnsi="Arial" w:cs="Arial"/>
        </w:rPr>
        <w:t xml:space="preserve"> to </w:t>
      </w:r>
      <w:r w:rsidR="007438E3" w:rsidRPr="006E60B3">
        <w:rPr>
          <w:rFonts w:ascii="Arial" w:hAnsi="Arial" w:cs="Arial"/>
        </w:rPr>
        <w:t xml:space="preserve">repay previous borrowing, and </w:t>
      </w:r>
      <w:r w:rsidR="006E60B3" w:rsidRPr="006A3A9D">
        <w:rPr>
          <w:rFonts w:ascii="Arial" w:hAnsi="Arial" w:cs="Arial"/>
        </w:rPr>
        <w:t>no</w:t>
      </w:r>
      <w:r w:rsidR="006E60B3" w:rsidRPr="006E60B3">
        <w:rPr>
          <w:rFonts w:ascii="Arial" w:hAnsi="Arial" w:cs="Arial"/>
        </w:rPr>
        <w:t xml:space="preserve"> new capital </w:t>
      </w:r>
      <w:r w:rsidR="0022486C">
        <w:rPr>
          <w:rFonts w:ascii="Arial" w:hAnsi="Arial" w:cs="Arial"/>
        </w:rPr>
        <w:t xml:space="preserve">expenditure </w:t>
      </w:r>
      <w:r w:rsidR="00355E94">
        <w:rPr>
          <w:rFonts w:ascii="Arial" w:hAnsi="Arial" w:cs="Arial"/>
        </w:rPr>
        <w:t>fund</w:t>
      </w:r>
      <w:r w:rsidR="00781754">
        <w:rPr>
          <w:rFonts w:ascii="Arial" w:hAnsi="Arial" w:cs="Arial"/>
        </w:rPr>
        <w:t>ed</w:t>
      </w:r>
      <w:r w:rsidR="00355E94">
        <w:rPr>
          <w:rFonts w:ascii="Arial" w:hAnsi="Arial" w:cs="Arial"/>
        </w:rPr>
        <w:t xml:space="preserve"> from borrowing taking place in 202</w:t>
      </w:r>
      <w:r w:rsidR="00492CDF">
        <w:rPr>
          <w:rFonts w:ascii="Arial" w:hAnsi="Arial" w:cs="Arial"/>
        </w:rPr>
        <w:t>3</w:t>
      </w:r>
      <w:r w:rsidR="00355E94">
        <w:rPr>
          <w:rFonts w:ascii="Arial" w:hAnsi="Arial" w:cs="Arial"/>
        </w:rPr>
        <w:t>/2</w:t>
      </w:r>
      <w:r w:rsidR="00492CDF">
        <w:rPr>
          <w:rFonts w:ascii="Arial" w:hAnsi="Arial" w:cs="Arial"/>
        </w:rPr>
        <w:t>4</w:t>
      </w:r>
      <w:r w:rsidR="00B54D65" w:rsidRPr="006E60B3">
        <w:rPr>
          <w:rFonts w:ascii="Arial" w:hAnsi="Arial" w:cs="Arial"/>
        </w:rPr>
        <w:t xml:space="preserve">. </w:t>
      </w:r>
    </w:p>
    <w:p w14:paraId="72DF923F" w14:textId="793ADBBD" w:rsidR="003B384D" w:rsidRPr="006E60B3" w:rsidRDefault="003B384D" w:rsidP="008846A1">
      <w:pPr>
        <w:pStyle w:val="ListParagraph"/>
        <w:numPr>
          <w:ilvl w:val="1"/>
          <w:numId w:val="2"/>
        </w:numPr>
        <w:spacing w:after="240"/>
        <w:ind w:left="720" w:hanging="720"/>
        <w:rPr>
          <w:rFonts w:ascii="Arial" w:hAnsi="Arial" w:cs="Arial"/>
        </w:rPr>
      </w:pPr>
      <w:r>
        <w:rPr>
          <w:rFonts w:ascii="Arial" w:hAnsi="Arial" w:cs="Arial"/>
        </w:rPr>
        <w:t xml:space="preserve">CFR is financed by external and internal borrowing.  External borrowing is </w:t>
      </w:r>
      <w:r w:rsidR="004C1035">
        <w:rPr>
          <w:rFonts w:ascii="Arial" w:hAnsi="Arial" w:cs="Arial"/>
        </w:rPr>
        <w:t>m</w:t>
      </w:r>
      <w:r>
        <w:rPr>
          <w:rFonts w:ascii="Arial" w:hAnsi="Arial" w:cs="Arial"/>
        </w:rPr>
        <w:t>ade up of external loans</w:t>
      </w:r>
      <w:r w:rsidR="00F77235">
        <w:rPr>
          <w:rFonts w:ascii="Arial" w:hAnsi="Arial" w:cs="Arial"/>
        </w:rPr>
        <w:t>, and in the PCC’s case, these have been secured via the Public Works Loan Board</w:t>
      </w:r>
      <w:r w:rsidR="00B55EEE">
        <w:rPr>
          <w:rFonts w:ascii="Arial" w:hAnsi="Arial" w:cs="Arial"/>
        </w:rPr>
        <w:t xml:space="preserve"> (PWLB)</w:t>
      </w:r>
      <w:r w:rsidR="009A699A">
        <w:rPr>
          <w:rFonts w:ascii="Arial" w:hAnsi="Arial" w:cs="Arial"/>
        </w:rPr>
        <w:t>, whilst internal borrowing</w:t>
      </w:r>
      <w:r w:rsidR="008D6BD7">
        <w:rPr>
          <w:rFonts w:ascii="Arial" w:hAnsi="Arial" w:cs="Arial"/>
        </w:rPr>
        <w:t xml:space="preserve"> is where the PCC borrows from its own cash balances.  During 2023/24 the PCC’s external borrowing reduced </w:t>
      </w:r>
      <w:r w:rsidR="00B7124E">
        <w:rPr>
          <w:rFonts w:ascii="Arial" w:hAnsi="Arial" w:cs="Arial"/>
        </w:rPr>
        <w:t>by £10.52m</w:t>
      </w:r>
      <w:r w:rsidR="0088673D">
        <w:rPr>
          <w:rFonts w:ascii="Arial" w:hAnsi="Arial" w:cs="Arial"/>
        </w:rPr>
        <w:t xml:space="preserve"> due to the repayment of </w:t>
      </w:r>
      <w:r w:rsidR="00E51AB9">
        <w:rPr>
          <w:rFonts w:ascii="Arial" w:hAnsi="Arial" w:cs="Arial"/>
        </w:rPr>
        <w:t>Treasury Management borrowing</w:t>
      </w:r>
      <w:r w:rsidR="00A9015B">
        <w:rPr>
          <w:rFonts w:ascii="Arial" w:hAnsi="Arial" w:cs="Arial"/>
        </w:rPr>
        <w:t xml:space="preserve">.  </w:t>
      </w:r>
      <w:r w:rsidR="00C06C99">
        <w:rPr>
          <w:rFonts w:ascii="Arial" w:hAnsi="Arial" w:cs="Arial"/>
        </w:rPr>
        <w:t xml:space="preserve">This reduction in external borrowing </w:t>
      </w:r>
      <w:r w:rsidR="00CE2FF4">
        <w:rPr>
          <w:rFonts w:ascii="Arial" w:hAnsi="Arial" w:cs="Arial"/>
        </w:rPr>
        <w:t xml:space="preserve">in combination </w:t>
      </w:r>
      <w:r w:rsidR="00CE2FF4">
        <w:rPr>
          <w:rFonts w:ascii="Arial" w:hAnsi="Arial" w:cs="Arial"/>
        </w:rPr>
        <w:lastRenderedPageBreak/>
        <w:t>with the re</w:t>
      </w:r>
      <w:r w:rsidR="003879E3">
        <w:rPr>
          <w:rFonts w:ascii="Arial" w:hAnsi="Arial" w:cs="Arial"/>
        </w:rPr>
        <w:t>duction in CFR</w:t>
      </w:r>
      <w:r w:rsidR="00C06C99">
        <w:rPr>
          <w:rFonts w:ascii="Arial" w:hAnsi="Arial" w:cs="Arial"/>
        </w:rPr>
        <w:t xml:space="preserve"> led to internal borrowing</w:t>
      </w:r>
      <w:r w:rsidR="00DC2305">
        <w:rPr>
          <w:rFonts w:ascii="Arial" w:hAnsi="Arial" w:cs="Arial"/>
        </w:rPr>
        <w:t xml:space="preserve"> increasing by £7.85m in 2023/24.</w:t>
      </w:r>
    </w:p>
    <w:p w14:paraId="7BC6BE3B" w14:textId="47228D3C" w:rsidR="008846A1" w:rsidRPr="00B9643F" w:rsidRDefault="0045174D" w:rsidP="00F34DF0">
      <w:pPr>
        <w:pStyle w:val="ListParagraph"/>
        <w:numPr>
          <w:ilvl w:val="1"/>
          <w:numId w:val="2"/>
        </w:numPr>
        <w:spacing w:after="240"/>
        <w:ind w:left="720" w:hanging="720"/>
        <w:rPr>
          <w:rFonts w:ascii="Arial" w:hAnsi="Arial" w:cs="Arial"/>
        </w:rPr>
      </w:pPr>
      <w:r w:rsidRPr="004E7BC3">
        <w:rPr>
          <w:rFonts w:ascii="Arial" w:hAnsi="Arial" w:cs="Arial"/>
        </w:rPr>
        <w:t xml:space="preserve">There </w:t>
      </w:r>
      <w:r w:rsidR="00781754">
        <w:rPr>
          <w:rFonts w:ascii="Arial" w:hAnsi="Arial" w:cs="Arial"/>
        </w:rPr>
        <w:t xml:space="preserve">is </w:t>
      </w:r>
      <w:r w:rsidR="004E7BC3" w:rsidRPr="004E7BC3">
        <w:rPr>
          <w:rFonts w:ascii="Arial" w:hAnsi="Arial" w:cs="Arial"/>
        </w:rPr>
        <w:t xml:space="preserve">the </w:t>
      </w:r>
      <w:r w:rsidR="00781754">
        <w:rPr>
          <w:rFonts w:ascii="Arial" w:hAnsi="Arial" w:cs="Arial"/>
        </w:rPr>
        <w:t>potential</w:t>
      </w:r>
      <w:r w:rsidR="008846A1" w:rsidRPr="00B9643F">
        <w:rPr>
          <w:rFonts w:ascii="Arial" w:hAnsi="Arial" w:cs="Arial"/>
        </w:rPr>
        <w:t xml:space="preserve"> that new </w:t>
      </w:r>
      <w:r w:rsidR="00AA1EF1" w:rsidRPr="00B9643F">
        <w:rPr>
          <w:rFonts w:ascii="Arial" w:hAnsi="Arial" w:cs="Arial"/>
        </w:rPr>
        <w:t xml:space="preserve">external </w:t>
      </w:r>
      <w:r w:rsidR="008846A1" w:rsidRPr="00B9643F">
        <w:rPr>
          <w:rFonts w:ascii="Arial" w:hAnsi="Arial" w:cs="Arial"/>
        </w:rPr>
        <w:t xml:space="preserve">borrowing </w:t>
      </w:r>
      <w:r w:rsidR="00781754">
        <w:rPr>
          <w:rFonts w:ascii="Arial" w:hAnsi="Arial" w:cs="Arial"/>
        </w:rPr>
        <w:t>may</w:t>
      </w:r>
      <w:r w:rsidR="008846A1" w:rsidRPr="00B9643F">
        <w:rPr>
          <w:rFonts w:ascii="Arial" w:hAnsi="Arial" w:cs="Arial"/>
        </w:rPr>
        <w:t xml:space="preserve"> be required in future years</w:t>
      </w:r>
      <w:r w:rsidR="00AA1EF1" w:rsidRPr="00B9643F">
        <w:rPr>
          <w:rFonts w:ascii="Arial" w:hAnsi="Arial" w:cs="Arial"/>
        </w:rPr>
        <w:t xml:space="preserve"> to fund capital expenditure commitments</w:t>
      </w:r>
      <w:r w:rsidR="00053097">
        <w:rPr>
          <w:rFonts w:ascii="Arial" w:hAnsi="Arial" w:cs="Arial"/>
        </w:rPr>
        <w:t xml:space="preserve"> (albeit t</w:t>
      </w:r>
      <w:r w:rsidR="003646F7">
        <w:rPr>
          <w:rFonts w:ascii="Arial" w:hAnsi="Arial" w:cs="Arial"/>
        </w:rPr>
        <w:t>hat the ex</w:t>
      </w:r>
      <w:r w:rsidR="004D6C19">
        <w:rPr>
          <w:rFonts w:ascii="Arial" w:hAnsi="Arial" w:cs="Arial"/>
        </w:rPr>
        <w:t>isting capital programme is fully funded)</w:t>
      </w:r>
      <w:r w:rsidR="00AA1EF1" w:rsidRPr="00B9643F">
        <w:rPr>
          <w:rFonts w:ascii="Arial" w:hAnsi="Arial" w:cs="Arial"/>
        </w:rPr>
        <w:t>,</w:t>
      </w:r>
      <w:r w:rsidR="008846A1" w:rsidRPr="00B9643F">
        <w:rPr>
          <w:rFonts w:ascii="Arial" w:hAnsi="Arial" w:cs="Arial"/>
        </w:rPr>
        <w:t xml:space="preserve"> and </w:t>
      </w:r>
      <w:bookmarkStart w:id="1" w:name="_Hlk13564270"/>
      <w:r w:rsidR="008846A1" w:rsidRPr="00B9643F">
        <w:rPr>
          <w:rFonts w:ascii="Arial" w:hAnsi="Arial" w:cs="Arial"/>
        </w:rPr>
        <w:t>the C</w:t>
      </w:r>
      <w:r w:rsidR="00AE368A">
        <w:rPr>
          <w:rFonts w:ascii="Arial" w:hAnsi="Arial" w:cs="Arial"/>
        </w:rPr>
        <w:t xml:space="preserve">hief </w:t>
      </w:r>
      <w:r w:rsidR="008846A1" w:rsidRPr="00B9643F">
        <w:rPr>
          <w:rFonts w:ascii="Arial" w:hAnsi="Arial" w:cs="Arial"/>
        </w:rPr>
        <w:t>F</w:t>
      </w:r>
      <w:r w:rsidR="00AE368A">
        <w:rPr>
          <w:rFonts w:ascii="Arial" w:hAnsi="Arial" w:cs="Arial"/>
        </w:rPr>
        <w:t xml:space="preserve">inance </w:t>
      </w:r>
      <w:r w:rsidR="008846A1" w:rsidRPr="00B9643F">
        <w:rPr>
          <w:rFonts w:ascii="Arial" w:hAnsi="Arial" w:cs="Arial"/>
        </w:rPr>
        <w:t>O</w:t>
      </w:r>
      <w:r w:rsidR="00AE368A">
        <w:rPr>
          <w:rFonts w:ascii="Arial" w:hAnsi="Arial" w:cs="Arial"/>
        </w:rPr>
        <w:t>fficer</w:t>
      </w:r>
      <w:r w:rsidR="008846A1" w:rsidRPr="00B9643F">
        <w:rPr>
          <w:rFonts w:ascii="Arial" w:hAnsi="Arial" w:cs="Arial"/>
        </w:rPr>
        <w:t xml:space="preserve"> </w:t>
      </w:r>
      <w:r w:rsidR="00A05901" w:rsidRPr="00B9643F">
        <w:rPr>
          <w:rFonts w:ascii="Arial" w:hAnsi="Arial" w:cs="Arial"/>
        </w:rPr>
        <w:t>will w</w:t>
      </w:r>
      <w:r w:rsidR="008846A1" w:rsidRPr="00B9643F">
        <w:rPr>
          <w:rFonts w:ascii="Arial" w:hAnsi="Arial" w:cs="Arial"/>
        </w:rPr>
        <w:t>ork closely with Hampshire County Council’s Investments and Borrowing team and treasury advisors Arlingclose to ascertain at what point it would be prudent to take out additional borrowing</w:t>
      </w:r>
      <w:r w:rsidR="003933C9">
        <w:rPr>
          <w:rFonts w:ascii="Arial" w:hAnsi="Arial" w:cs="Arial"/>
        </w:rPr>
        <w:t xml:space="preserve"> should a borrowing need arise</w:t>
      </w:r>
      <w:r w:rsidR="008846A1" w:rsidRPr="00B9643F">
        <w:rPr>
          <w:rFonts w:ascii="Arial" w:hAnsi="Arial" w:cs="Arial"/>
        </w:rPr>
        <w:t>.</w:t>
      </w:r>
      <w:bookmarkEnd w:id="1"/>
    </w:p>
    <w:p w14:paraId="5FFB67A0" w14:textId="77CB9C1C" w:rsidR="008846A1" w:rsidRPr="0064103C" w:rsidRDefault="00AA1EF1" w:rsidP="00F34DF0">
      <w:pPr>
        <w:pStyle w:val="ListParagraph"/>
        <w:numPr>
          <w:ilvl w:val="1"/>
          <w:numId w:val="2"/>
        </w:numPr>
        <w:spacing w:after="240"/>
        <w:ind w:left="720" w:hanging="720"/>
        <w:rPr>
          <w:rFonts w:ascii="Arial" w:hAnsi="Arial" w:cs="Arial"/>
        </w:rPr>
      </w:pPr>
      <w:r w:rsidRPr="00B9643F">
        <w:rPr>
          <w:rFonts w:ascii="Arial" w:hAnsi="Arial" w:cs="Arial"/>
        </w:rPr>
        <w:t xml:space="preserve">The costs associated with the underlying need to borrow externally </w:t>
      </w:r>
      <w:r w:rsidR="008846A1" w:rsidRPr="00B9643F">
        <w:rPr>
          <w:rFonts w:ascii="Arial" w:hAnsi="Arial" w:cs="Arial"/>
        </w:rPr>
        <w:t>to</w:t>
      </w:r>
      <w:r w:rsidRPr="00B9643F">
        <w:rPr>
          <w:rFonts w:ascii="Arial" w:hAnsi="Arial" w:cs="Arial"/>
        </w:rPr>
        <w:t xml:space="preserve"> fund</w:t>
      </w:r>
      <w:r w:rsidR="008846A1" w:rsidRPr="00B9643F">
        <w:rPr>
          <w:rFonts w:ascii="Arial" w:hAnsi="Arial" w:cs="Arial"/>
        </w:rPr>
        <w:t xml:space="preserve"> planned expenditure are factored into the budget in the form of MRP and interest costs, </w:t>
      </w:r>
      <w:r w:rsidRPr="00B9643F">
        <w:rPr>
          <w:rFonts w:ascii="Arial" w:hAnsi="Arial" w:cs="Arial"/>
        </w:rPr>
        <w:t>and</w:t>
      </w:r>
      <w:r w:rsidR="008846A1" w:rsidRPr="00B9643F">
        <w:rPr>
          <w:rFonts w:ascii="Arial" w:hAnsi="Arial" w:cs="Arial"/>
        </w:rPr>
        <w:t xml:space="preserve"> provisional numbers have also been built into the M</w:t>
      </w:r>
      <w:r w:rsidR="00796152">
        <w:rPr>
          <w:rFonts w:ascii="Arial" w:hAnsi="Arial" w:cs="Arial"/>
        </w:rPr>
        <w:t xml:space="preserve">edium </w:t>
      </w:r>
      <w:r w:rsidR="008846A1" w:rsidRPr="00B9643F">
        <w:rPr>
          <w:rFonts w:ascii="Arial" w:hAnsi="Arial" w:cs="Arial"/>
        </w:rPr>
        <w:t>T</w:t>
      </w:r>
      <w:r w:rsidR="00796152">
        <w:rPr>
          <w:rFonts w:ascii="Arial" w:hAnsi="Arial" w:cs="Arial"/>
        </w:rPr>
        <w:t xml:space="preserve">erm </w:t>
      </w:r>
      <w:r w:rsidR="008846A1" w:rsidRPr="00B9643F">
        <w:rPr>
          <w:rFonts w:ascii="Arial" w:hAnsi="Arial" w:cs="Arial"/>
        </w:rPr>
        <w:t>F</w:t>
      </w:r>
      <w:r w:rsidR="00796152">
        <w:rPr>
          <w:rFonts w:ascii="Arial" w:hAnsi="Arial" w:cs="Arial"/>
        </w:rPr>
        <w:t xml:space="preserve">inancial </w:t>
      </w:r>
      <w:r w:rsidR="008846A1" w:rsidRPr="00B9643F">
        <w:rPr>
          <w:rFonts w:ascii="Arial" w:hAnsi="Arial" w:cs="Arial"/>
        </w:rPr>
        <w:t>S</w:t>
      </w:r>
      <w:r w:rsidR="00796152">
        <w:rPr>
          <w:rFonts w:ascii="Arial" w:hAnsi="Arial" w:cs="Arial"/>
        </w:rPr>
        <w:t>trategy</w:t>
      </w:r>
      <w:r w:rsidR="008846A1" w:rsidRPr="00B9643F">
        <w:rPr>
          <w:rFonts w:ascii="Arial" w:hAnsi="Arial" w:cs="Arial"/>
        </w:rPr>
        <w:t xml:space="preserve"> for </w:t>
      </w:r>
      <w:r w:rsidR="00A456AD">
        <w:rPr>
          <w:rFonts w:ascii="Arial" w:hAnsi="Arial" w:cs="Arial"/>
        </w:rPr>
        <w:t xml:space="preserve">potential new borrowing in </w:t>
      </w:r>
      <w:r w:rsidR="008846A1" w:rsidRPr="00B9643F">
        <w:rPr>
          <w:rFonts w:ascii="Arial" w:hAnsi="Arial" w:cs="Arial"/>
        </w:rPr>
        <w:t xml:space="preserve">future years. The capital programme is reviewed </w:t>
      </w:r>
      <w:r w:rsidR="00B05897" w:rsidRPr="00B9643F">
        <w:rPr>
          <w:rFonts w:ascii="Arial" w:hAnsi="Arial" w:cs="Arial"/>
        </w:rPr>
        <w:t>annually,</w:t>
      </w:r>
      <w:r w:rsidR="008846A1" w:rsidRPr="00B9643F">
        <w:rPr>
          <w:rFonts w:ascii="Arial" w:hAnsi="Arial" w:cs="Arial"/>
        </w:rPr>
        <w:t xml:space="preserve"> and capital financing requirements are recalc</w:t>
      </w:r>
      <w:r w:rsidR="008846A1" w:rsidRPr="0064103C">
        <w:rPr>
          <w:rFonts w:ascii="Arial" w:hAnsi="Arial" w:cs="Arial"/>
        </w:rPr>
        <w:t xml:space="preserve">ulated as necessary. </w:t>
      </w:r>
    </w:p>
    <w:bookmarkEnd w:id="0"/>
    <w:p w14:paraId="25A0B3D8" w14:textId="782EDCD8" w:rsidR="00A35F45" w:rsidRPr="0064103C" w:rsidRDefault="00A35F45" w:rsidP="00F34DF0">
      <w:pPr>
        <w:pStyle w:val="ListParagraph"/>
        <w:numPr>
          <w:ilvl w:val="1"/>
          <w:numId w:val="2"/>
        </w:numPr>
        <w:spacing w:after="240"/>
        <w:ind w:left="720" w:hanging="720"/>
        <w:rPr>
          <w:rFonts w:ascii="Arial" w:hAnsi="Arial" w:cs="Arial"/>
        </w:rPr>
      </w:pPr>
      <w:r>
        <w:rPr>
          <w:rFonts w:ascii="Arial" w:hAnsi="Arial" w:cs="Arial"/>
        </w:rPr>
        <w:t>During th</w:t>
      </w:r>
      <w:r w:rsidRPr="00686131">
        <w:rPr>
          <w:rFonts w:ascii="Arial" w:hAnsi="Arial" w:cs="Arial"/>
        </w:rPr>
        <w:t xml:space="preserve">e year Balance Sheet resources have </w:t>
      </w:r>
      <w:r w:rsidR="006F568A" w:rsidRPr="00686131">
        <w:rPr>
          <w:rFonts w:ascii="Arial" w:hAnsi="Arial" w:cs="Arial"/>
        </w:rPr>
        <w:t xml:space="preserve">increased </w:t>
      </w:r>
      <w:r w:rsidR="0026381C" w:rsidRPr="00686131">
        <w:rPr>
          <w:rFonts w:ascii="Arial" w:hAnsi="Arial" w:cs="Arial"/>
        </w:rPr>
        <w:t>by £</w:t>
      </w:r>
      <w:r w:rsidR="000A382C" w:rsidRPr="00686131">
        <w:rPr>
          <w:rFonts w:ascii="Arial" w:hAnsi="Arial" w:cs="Arial"/>
        </w:rPr>
        <w:t>12.1</w:t>
      </w:r>
      <w:r w:rsidR="0026381C" w:rsidRPr="00686131">
        <w:rPr>
          <w:rFonts w:ascii="Arial" w:hAnsi="Arial" w:cs="Arial"/>
        </w:rPr>
        <w:t>m</w:t>
      </w:r>
      <w:r w:rsidR="00A33926" w:rsidRPr="00686131">
        <w:rPr>
          <w:rFonts w:ascii="Arial" w:hAnsi="Arial" w:cs="Arial"/>
        </w:rPr>
        <w:t xml:space="preserve"> </w:t>
      </w:r>
      <w:r w:rsidR="00686131" w:rsidRPr="00686131">
        <w:rPr>
          <w:rFonts w:ascii="Arial" w:hAnsi="Arial" w:cs="Arial"/>
        </w:rPr>
        <w:t>as a result of balances transferred to reserves, including the over-achievement of investment i</w:t>
      </w:r>
      <w:r w:rsidR="00D8228F">
        <w:rPr>
          <w:rFonts w:ascii="Arial" w:hAnsi="Arial" w:cs="Arial"/>
        </w:rPr>
        <w:t>ncome compared to budget by £4</w:t>
      </w:r>
      <w:r w:rsidR="00686131" w:rsidRPr="00686131">
        <w:rPr>
          <w:rFonts w:ascii="Arial" w:hAnsi="Arial" w:cs="Arial"/>
        </w:rPr>
        <w:t>m in 23/24 and the receipt of £4m of reward grants at year end for achieving enhanced officer headcount numbers</w:t>
      </w:r>
      <w:r w:rsidR="003329B4" w:rsidRPr="00686131">
        <w:rPr>
          <w:rFonts w:ascii="Arial" w:hAnsi="Arial" w:cs="Arial"/>
        </w:rPr>
        <w:t>.</w:t>
      </w:r>
    </w:p>
    <w:p w14:paraId="0CC4D924" w14:textId="40EC4E0F" w:rsidR="00F613B7" w:rsidRPr="000A4678" w:rsidRDefault="00726FDF" w:rsidP="00F34DF0">
      <w:pPr>
        <w:pStyle w:val="ListParagraph"/>
        <w:numPr>
          <w:ilvl w:val="1"/>
          <w:numId w:val="2"/>
        </w:numPr>
        <w:spacing w:after="240"/>
        <w:ind w:left="720" w:hanging="720"/>
        <w:rPr>
          <w:rFonts w:ascii="Arial" w:hAnsi="Arial" w:cs="Arial"/>
        </w:rPr>
      </w:pPr>
      <w:r w:rsidRPr="000A4678">
        <w:rPr>
          <w:rFonts w:ascii="Arial" w:hAnsi="Arial" w:cs="Arial"/>
        </w:rPr>
        <w:t xml:space="preserve">The </w:t>
      </w:r>
      <w:r w:rsidR="00D311DB" w:rsidRPr="000A4678">
        <w:rPr>
          <w:rFonts w:ascii="Arial" w:hAnsi="Arial" w:cs="Arial"/>
        </w:rPr>
        <w:t xml:space="preserve">PCC’s strategy </w:t>
      </w:r>
      <w:r w:rsidR="004B7E71" w:rsidRPr="000A4678">
        <w:rPr>
          <w:rFonts w:ascii="Arial" w:hAnsi="Arial" w:cs="Arial"/>
        </w:rPr>
        <w:t>was</w:t>
      </w:r>
      <w:r w:rsidR="00D311DB" w:rsidRPr="000A4678">
        <w:rPr>
          <w:rFonts w:ascii="Arial" w:hAnsi="Arial" w:cs="Arial"/>
        </w:rPr>
        <w:t xml:space="preserve"> to maintain borrowing and investments below their underlying levels, referred to as internal borrowing, to reduce risk and keep interest costs low.</w:t>
      </w:r>
      <w:r w:rsidR="004279A6" w:rsidRPr="000A4678">
        <w:rPr>
          <w:rFonts w:ascii="Arial" w:hAnsi="Arial" w:cs="Arial"/>
        </w:rPr>
        <w:t xml:space="preserve"> This has meant that internal funds have been utilised in lieu of taking on external borrowing debt.</w:t>
      </w:r>
      <w:r w:rsidR="00D311DB" w:rsidRPr="000A4678">
        <w:rPr>
          <w:rFonts w:ascii="Arial" w:hAnsi="Arial" w:cs="Arial"/>
        </w:rPr>
        <w:t xml:space="preserve">  </w:t>
      </w:r>
      <w:r w:rsidR="00F613B7" w:rsidRPr="000A4678">
        <w:rPr>
          <w:rFonts w:ascii="Arial" w:hAnsi="Arial" w:cs="Arial"/>
        </w:rPr>
        <w:t>The treasury management position as at 31 March 20</w:t>
      </w:r>
      <w:r w:rsidR="00BE4209" w:rsidRPr="000A4678">
        <w:rPr>
          <w:rFonts w:ascii="Arial" w:hAnsi="Arial" w:cs="Arial"/>
        </w:rPr>
        <w:t>2</w:t>
      </w:r>
      <w:r w:rsidR="00502080">
        <w:rPr>
          <w:rFonts w:ascii="Arial" w:hAnsi="Arial" w:cs="Arial"/>
        </w:rPr>
        <w:t>4</w:t>
      </w:r>
      <w:r w:rsidR="00F613B7" w:rsidRPr="000A4678">
        <w:rPr>
          <w:rFonts w:ascii="Arial" w:hAnsi="Arial" w:cs="Arial"/>
        </w:rPr>
        <w:t xml:space="preserve"> and the change</w:t>
      </w:r>
      <w:r w:rsidR="00BE4209" w:rsidRPr="000A4678">
        <w:rPr>
          <w:rFonts w:ascii="Arial" w:hAnsi="Arial" w:cs="Arial"/>
        </w:rPr>
        <w:t xml:space="preserve"> during the year</w:t>
      </w:r>
      <w:r w:rsidR="00F613B7" w:rsidRPr="000A4678">
        <w:rPr>
          <w:rFonts w:ascii="Arial" w:hAnsi="Arial" w:cs="Arial"/>
        </w:rPr>
        <w:t xml:space="preserve"> </w:t>
      </w:r>
      <w:r w:rsidR="00E3250E" w:rsidRPr="000A4678">
        <w:rPr>
          <w:rFonts w:ascii="Arial" w:hAnsi="Arial" w:cs="Arial"/>
        </w:rPr>
        <w:t>are</w:t>
      </w:r>
      <w:r w:rsidR="00F613B7" w:rsidRPr="000A4678">
        <w:rPr>
          <w:rFonts w:ascii="Arial" w:hAnsi="Arial" w:cs="Arial"/>
        </w:rPr>
        <w:t xml:space="preserve"> shown in Table 2.</w:t>
      </w:r>
    </w:p>
    <w:tbl>
      <w:tblPr>
        <w:tblW w:w="8895" w:type="dxa"/>
        <w:jc w:val="center"/>
        <w:tblLayout w:type="fixed"/>
        <w:tblLook w:val="04A0" w:firstRow="1" w:lastRow="0" w:firstColumn="1" w:lastColumn="0" w:noHBand="0" w:noVBand="1"/>
      </w:tblPr>
      <w:tblGrid>
        <w:gridCol w:w="3227"/>
        <w:gridCol w:w="1417"/>
        <w:gridCol w:w="1417"/>
        <w:gridCol w:w="1417"/>
        <w:gridCol w:w="1417"/>
      </w:tblGrid>
      <w:tr w:rsidR="00D31AC0" w:rsidRPr="00656C63" w14:paraId="49627AD5" w14:textId="77777777" w:rsidTr="00AC502A">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8DD25A" w14:textId="1045D88C" w:rsidR="00D31AC0" w:rsidRPr="00656C63" w:rsidRDefault="00D31AC0" w:rsidP="00D31AC0">
            <w:pPr>
              <w:pStyle w:val="ListParagraph"/>
              <w:keepNext/>
              <w:ind w:left="0"/>
              <w:rPr>
                <w:rFonts w:ascii="Arial" w:hAnsi="Arial" w:cs="Arial"/>
                <w:b/>
                <w:bCs/>
              </w:rPr>
            </w:pPr>
            <w:r w:rsidRPr="00656C63">
              <w:rPr>
                <w:rFonts w:ascii="Arial" w:hAnsi="Arial" w:cs="Arial"/>
                <w:b/>
                <w:bCs/>
              </w:rPr>
              <w:t>Table 2: Treasury management summary</w:t>
            </w:r>
          </w:p>
        </w:tc>
        <w:tc>
          <w:tcPr>
            <w:tcW w:w="1417" w:type="dxa"/>
            <w:tcBorders>
              <w:top w:val="single" w:sz="4" w:space="0" w:color="auto"/>
              <w:left w:val="single" w:sz="4" w:space="0" w:color="auto"/>
              <w:bottom w:val="single" w:sz="4" w:space="0" w:color="auto"/>
              <w:right w:val="single" w:sz="4" w:space="0" w:color="auto"/>
            </w:tcBorders>
            <w:vAlign w:val="bottom"/>
          </w:tcPr>
          <w:p w14:paraId="4199C10C" w14:textId="2579B335" w:rsidR="00D31AC0" w:rsidRPr="00656C63" w:rsidRDefault="00D31AC0" w:rsidP="00D31AC0">
            <w:pPr>
              <w:pStyle w:val="ListParagraph"/>
              <w:keepNext/>
              <w:ind w:left="0"/>
              <w:jc w:val="right"/>
              <w:rPr>
                <w:rFonts w:ascii="Arial" w:hAnsi="Arial" w:cs="Arial"/>
                <w:b/>
                <w:bCs/>
              </w:rPr>
            </w:pPr>
            <w:r w:rsidRPr="00656C63">
              <w:rPr>
                <w:rFonts w:ascii="Arial" w:hAnsi="Arial" w:cs="Arial"/>
                <w:b/>
                <w:bCs/>
              </w:rPr>
              <w:t>31/03/2</w:t>
            </w:r>
            <w:r>
              <w:rPr>
                <w:rFonts w:ascii="Arial" w:hAnsi="Arial" w:cs="Arial"/>
                <w:b/>
                <w:bCs/>
              </w:rPr>
              <w:t>3</w:t>
            </w:r>
            <w:r w:rsidRPr="00656C63">
              <w:rPr>
                <w:rFonts w:ascii="Arial" w:hAnsi="Arial" w:cs="Arial"/>
                <w:b/>
                <w:bCs/>
              </w:rPr>
              <w:br/>
              <w:t>Balance</w:t>
            </w:r>
            <w:r w:rsidRPr="00656C63">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C127310" w14:textId="38C015C7" w:rsidR="00D31AC0" w:rsidRPr="00656C63" w:rsidRDefault="00D31AC0" w:rsidP="00D31AC0">
            <w:pPr>
              <w:pStyle w:val="ListParagraph"/>
              <w:keepNext/>
              <w:ind w:left="0"/>
              <w:jc w:val="right"/>
              <w:rPr>
                <w:rFonts w:ascii="Arial" w:hAnsi="Arial" w:cs="Arial"/>
                <w:b/>
                <w:bCs/>
              </w:rPr>
            </w:pPr>
            <w:r w:rsidRPr="00656C63">
              <w:rPr>
                <w:rFonts w:ascii="Arial" w:hAnsi="Arial" w:cs="Arial"/>
                <w:b/>
                <w:bCs/>
              </w:rPr>
              <w:t>Movement</w:t>
            </w:r>
            <w:r w:rsidRPr="00656C63">
              <w:rPr>
                <w:rFonts w:ascii="Arial" w:hAnsi="Arial" w:cs="Arial"/>
                <w:b/>
                <w:bCs/>
              </w:rPr>
              <w:br/>
            </w:r>
            <w:r w:rsidRPr="00656C63">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AD51736" w14:textId="447B6745" w:rsidR="00D31AC0" w:rsidRPr="00656C63" w:rsidRDefault="00D31AC0" w:rsidP="00D31AC0">
            <w:pPr>
              <w:pStyle w:val="ListParagraph"/>
              <w:keepNext/>
              <w:ind w:left="0"/>
              <w:jc w:val="right"/>
              <w:rPr>
                <w:rFonts w:ascii="Arial" w:hAnsi="Arial" w:cs="Arial"/>
                <w:b/>
                <w:bCs/>
              </w:rPr>
            </w:pPr>
            <w:r w:rsidRPr="00656C63">
              <w:rPr>
                <w:rFonts w:ascii="Arial" w:hAnsi="Arial" w:cs="Arial"/>
                <w:b/>
                <w:bCs/>
              </w:rPr>
              <w:t>31/03/2</w:t>
            </w:r>
            <w:r>
              <w:rPr>
                <w:rFonts w:ascii="Arial" w:hAnsi="Arial" w:cs="Arial"/>
                <w:b/>
                <w:bCs/>
              </w:rPr>
              <w:t>4</w:t>
            </w:r>
            <w:r w:rsidRPr="00656C63">
              <w:rPr>
                <w:rFonts w:ascii="Arial" w:hAnsi="Arial" w:cs="Arial"/>
                <w:b/>
                <w:bCs/>
              </w:rPr>
              <w:br/>
              <w:t>Balance</w:t>
            </w:r>
            <w:r w:rsidRPr="00656C63">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BE849C2" w14:textId="4D35A964" w:rsidR="00D31AC0" w:rsidRPr="00656C63" w:rsidRDefault="00D31AC0" w:rsidP="00D31AC0">
            <w:pPr>
              <w:pStyle w:val="ListParagraph"/>
              <w:keepNext/>
              <w:ind w:left="0"/>
              <w:jc w:val="right"/>
              <w:rPr>
                <w:rFonts w:ascii="Arial" w:hAnsi="Arial" w:cs="Arial"/>
                <w:b/>
                <w:bCs/>
              </w:rPr>
            </w:pPr>
            <w:r w:rsidRPr="00656C63">
              <w:rPr>
                <w:rFonts w:ascii="Arial" w:hAnsi="Arial" w:cs="Arial"/>
                <w:b/>
                <w:bCs/>
              </w:rPr>
              <w:t>31/03/2</w:t>
            </w:r>
            <w:r>
              <w:rPr>
                <w:rFonts w:ascii="Arial" w:hAnsi="Arial" w:cs="Arial"/>
                <w:b/>
                <w:bCs/>
              </w:rPr>
              <w:t>4</w:t>
            </w:r>
            <w:r w:rsidRPr="00656C63">
              <w:rPr>
                <w:rFonts w:ascii="Arial" w:hAnsi="Arial" w:cs="Arial"/>
                <w:b/>
                <w:bCs/>
              </w:rPr>
              <w:br/>
              <w:t>Rate</w:t>
            </w:r>
            <w:r w:rsidRPr="00656C63">
              <w:rPr>
                <w:rFonts w:ascii="Arial" w:hAnsi="Arial" w:cs="Arial"/>
                <w:b/>
                <w:bCs/>
              </w:rPr>
              <w:br/>
              <w:t>%</w:t>
            </w:r>
          </w:p>
        </w:tc>
      </w:tr>
      <w:tr w:rsidR="006D5927" w:rsidRPr="00656C63" w14:paraId="4BF52C7A" w14:textId="77777777" w:rsidTr="00AC502A">
        <w:trPr>
          <w:jc w:val="center"/>
        </w:trPr>
        <w:tc>
          <w:tcPr>
            <w:tcW w:w="3227" w:type="dxa"/>
            <w:tcBorders>
              <w:top w:val="single" w:sz="4" w:space="0" w:color="auto"/>
              <w:left w:val="single" w:sz="4" w:space="0" w:color="auto"/>
              <w:right w:val="single" w:sz="4" w:space="0" w:color="auto"/>
            </w:tcBorders>
            <w:shd w:val="clear" w:color="auto" w:fill="auto"/>
          </w:tcPr>
          <w:p w14:paraId="620F11D2" w14:textId="77777777" w:rsidR="006D5927" w:rsidRPr="00656C63" w:rsidRDefault="006D5927" w:rsidP="006D5927">
            <w:pPr>
              <w:pStyle w:val="ListParagraph"/>
              <w:keepNext/>
              <w:ind w:left="0"/>
              <w:rPr>
                <w:rFonts w:ascii="Arial" w:hAnsi="Arial" w:cs="Arial"/>
              </w:rPr>
            </w:pPr>
            <w:r w:rsidRPr="00656C63">
              <w:rPr>
                <w:rFonts w:ascii="Arial" w:hAnsi="Arial" w:cs="Arial"/>
              </w:rPr>
              <w:t>Long-term borrowing</w:t>
            </w:r>
          </w:p>
        </w:tc>
        <w:tc>
          <w:tcPr>
            <w:tcW w:w="1417" w:type="dxa"/>
            <w:tcBorders>
              <w:top w:val="single" w:sz="4" w:space="0" w:color="auto"/>
              <w:left w:val="single" w:sz="4" w:space="0" w:color="auto"/>
              <w:right w:val="single" w:sz="4" w:space="0" w:color="auto"/>
            </w:tcBorders>
            <w:vAlign w:val="center"/>
          </w:tcPr>
          <w:p w14:paraId="7722F70F" w14:textId="6C4C139B" w:rsidR="006D5927" w:rsidRPr="00656C63" w:rsidRDefault="006D5927" w:rsidP="006D5927">
            <w:pPr>
              <w:pStyle w:val="ListParagraph"/>
              <w:keepNext/>
              <w:ind w:left="0"/>
              <w:jc w:val="right"/>
              <w:rPr>
                <w:rFonts w:ascii="Arial" w:hAnsi="Arial" w:cs="Arial"/>
              </w:rPr>
            </w:pPr>
            <w:r>
              <w:rPr>
                <w:rFonts w:ascii="Arial" w:hAnsi="Arial" w:cs="Arial"/>
              </w:rPr>
              <w:t>(29.35)</w:t>
            </w:r>
          </w:p>
        </w:tc>
        <w:tc>
          <w:tcPr>
            <w:tcW w:w="1417" w:type="dxa"/>
            <w:tcBorders>
              <w:top w:val="single" w:sz="4" w:space="0" w:color="auto"/>
              <w:left w:val="single" w:sz="4" w:space="0" w:color="auto"/>
              <w:right w:val="single" w:sz="4" w:space="0" w:color="auto"/>
            </w:tcBorders>
            <w:shd w:val="clear" w:color="auto" w:fill="auto"/>
            <w:vAlign w:val="center"/>
          </w:tcPr>
          <w:p w14:paraId="5ECC57B7" w14:textId="1EB04DAD" w:rsidR="006D5927" w:rsidRPr="00656C63" w:rsidRDefault="006D5927" w:rsidP="006D5927">
            <w:pPr>
              <w:pStyle w:val="ListParagraph"/>
              <w:keepNext/>
              <w:ind w:left="0"/>
              <w:jc w:val="right"/>
              <w:rPr>
                <w:rFonts w:ascii="Arial" w:hAnsi="Arial" w:cs="Arial"/>
              </w:rPr>
            </w:pPr>
            <w:r>
              <w:rPr>
                <w:rFonts w:ascii="Arial" w:hAnsi="Arial" w:cs="Arial"/>
              </w:rPr>
              <w:t>10.35</w:t>
            </w:r>
          </w:p>
        </w:tc>
        <w:tc>
          <w:tcPr>
            <w:tcW w:w="1417" w:type="dxa"/>
            <w:tcBorders>
              <w:top w:val="single" w:sz="4" w:space="0" w:color="auto"/>
              <w:left w:val="single" w:sz="4" w:space="0" w:color="auto"/>
              <w:right w:val="single" w:sz="4" w:space="0" w:color="auto"/>
            </w:tcBorders>
            <w:shd w:val="clear" w:color="auto" w:fill="auto"/>
            <w:vAlign w:val="center"/>
          </w:tcPr>
          <w:p w14:paraId="604DE12B" w14:textId="14EA5D87" w:rsidR="006D5927" w:rsidRPr="00656C63" w:rsidRDefault="006D5927" w:rsidP="006D5927">
            <w:pPr>
              <w:pStyle w:val="ListParagraph"/>
              <w:keepNext/>
              <w:ind w:left="0"/>
              <w:jc w:val="right"/>
              <w:rPr>
                <w:rFonts w:ascii="Arial" w:hAnsi="Arial" w:cs="Arial"/>
              </w:rPr>
            </w:pPr>
            <w:r>
              <w:rPr>
                <w:rFonts w:ascii="Arial" w:hAnsi="Arial" w:cs="Arial"/>
              </w:rPr>
              <w:t>(19.00)</w:t>
            </w:r>
          </w:p>
        </w:tc>
        <w:tc>
          <w:tcPr>
            <w:tcW w:w="1417" w:type="dxa"/>
            <w:tcBorders>
              <w:top w:val="single" w:sz="4" w:space="0" w:color="auto"/>
              <w:left w:val="single" w:sz="4" w:space="0" w:color="auto"/>
              <w:right w:val="single" w:sz="4" w:space="0" w:color="auto"/>
            </w:tcBorders>
            <w:shd w:val="clear" w:color="auto" w:fill="auto"/>
            <w:vAlign w:val="center"/>
          </w:tcPr>
          <w:p w14:paraId="26C418B9" w14:textId="7E12B604" w:rsidR="006D5927" w:rsidRPr="00656C63" w:rsidRDefault="006D5927" w:rsidP="006D5927">
            <w:pPr>
              <w:pStyle w:val="ListParagraph"/>
              <w:keepNext/>
              <w:ind w:left="0"/>
              <w:jc w:val="right"/>
              <w:rPr>
                <w:rFonts w:ascii="Arial" w:hAnsi="Arial" w:cs="Arial"/>
              </w:rPr>
            </w:pPr>
            <w:r>
              <w:rPr>
                <w:rFonts w:ascii="Arial" w:hAnsi="Arial" w:cs="Arial"/>
              </w:rPr>
              <w:t>4.24</w:t>
            </w:r>
          </w:p>
        </w:tc>
      </w:tr>
      <w:tr w:rsidR="006D5927" w:rsidRPr="00656C63" w14:paraId="47EADD66" w14:textId="77777777" w:rsidTr="00AC502A">
        <w:trPr>
          <w:jc w:val="center"/>
        </w:trPr>
        <w:tc>
          <w:tcPr>
            <w:tcW w:w="3227" w:type="dxa"/>
            <w:tcBorders>
              <w:left w:val="single" w:sz="4" w:space="0" w:color="auto"/>
              <w:bottom w:val="single" w:sz="4" w:space="0" w:color="auto"/>
              <w:right w:val="single" w:sz="4" w:space="0" w:color="auto"/>
            </w:tcBorders>
            <w:shd w:val="clear" w:color="auto" w:fill="auto"/>
          </w:tcPr>
          <w:p w14:paraId="17B811CD" w14:textId="77777777" w:rsidR="006D5927" w:rsidRPr="00656C63" w:rsidRDefault="006D5927" w:rsidP="006D5927">
            <w:pPr>
              <w:pStyle w:val="ListParagraph"/>
              <w:keepNext/>
              <w:ind w:left="0"/>
              <w:rPr>
                <w:rFonts w:ascii="Arial" w:hAnsi="Arial" w:cs="Arial"/>
              </w:rPr>
            </w:pPr>
            <w:r w:rsidRPr="00656C63">
              <w:rPr>
                <w:rFonts w:ascii="Arial" w:hAnsi="Arial" w:cs="Arial"/>
              </w:rPr>
              <w:t>Short-term borrowing</w:t>
            </w:r>
          </w:p>
        </w:tc>
        <w:tc>
          <w:tcPr>
            <w:tcW w:w="1417" w:type="dxa"/>
            <w:tcBorders>
              <w:left w:val="single" w:sz="4" w:space="0" w:color="auto"/>
              <w:bottom w:val="single" w:sz="4" w:space="0" w:color="auto"/>
              <w:right w:val="single" w:sz="4" w:space="0" w:color="auto"/>
            </w:tcBorders>
            <w:vAlign w:val="center"/>
          </w:tcPr>
          <w:p w14:paraId="059F301A" w14:textId="1C0BCE4C" w:rsidR="006D5927" w:rsidRDefault="006D5927" w:rsidP="006D5927">
            <w:pPr>
              <w:pStyle w:val="ListParagraph"/>
              <w:keepNext/>
              <w:ind w:left="0"/>
              <w:jc w:val="right"/>
              <w:rPr>
                <w:rFonts w:ascii="Arial" w:hAnsi="Arial" w:cs="Arial"/>
              </w:rPr>
            </w:pPr>
            <w:r>
              <w:rPr>
                <w:rFonts w:ascii="Arial" w:hAnsi="Arial" w:cs="Arial"/>
              </w:rPr>
              <w:t>(0.</w:t>
            </w:r>
            <w:r w:rsidR="001F07B3">
              <w:rPr>
                <w:rFonts w:ascii="Arial" w:hAnsi="Arial" w:cs="Arial"/>
              </w:rPr>
              <w:t>35</w:t>
            </w:r>
            <w:r>
              <w:rPr>
                <w:rFonts w:ascii="Arial" w:hAnsi="Arial" w:cs="Arial"/>
              </w:rPr>
              <w:t>)</w:t>
            </w:r>
          </w:p>
        </w:tc>
        <w:tc>
          <w:tcPr>
            <w:tcW w:w="1417" w:type="dxa"/>
            <w:tcBorders>
              <w:left w:val="single" w:sz="4" w:space="0" w:color="auto"/>
              <w:bottom w:val="single" w:sz="4" w:space="0" w:color="auto"/>
              <w:right w:val="single" w:sz="4" w:space="0" w:color="auto"/>
            </w:tcBorders>
            <w:shd w:val="clear" w:color="auto" w:fill="auto"/>
            <w:vAlign w:val="center"/>
          </w:tcPr>
          <w:p w14:paraId="1DDD401C" w14:textId="2EDDBD93" w:rsidR="006D5927" w:rsidRPr="00656C63" w:rsidRDefault="001F07B3" w:rsidP="006D5927">
            <w:pPr>
              <w:pStyle w:val="ListParagraph"/>
              <w:keepNext/>
              <w:ind w:left="0"/>
              <w:jc w:val="right"/>
              <w:rPr>
                <w:rFonts w:ascii="Arial" w:hAnsi="Arial" w:cs="Arial"/>
              </w:rPr>
            </w:pPr>
            <w:r>
              <w:rPr>
                <w:rFonts w:ascii="Arial" w:hAnsi="Arial" w:cs="Arial"/>
              </w:rPr>
              <w:t>-</w:t>
            </w:r>
          </w:p>
        </w:tc>
        <w:tc>
          <w:tcPr>
            <w:tcW w:w="1417" w:type="dxa"/>
            <w:tcBorders>
              <w:left w:val="single" w:sz="4" w:space="0" w:color="auto"/>
              <w:bottom w:val="single" w:sz="4" w:space="0" w:color="auto"/>
              <w:right w:val="single" w:sz="4" w:space="0" w:color="auto"/>
            </w:tcBorders>
            <w:shd w:val="clear" w:color="auto" w:fill="auto"/>
            <w:vAlign w:val="center"/>
          </w:tcPr>
          <w:p w14:paraId="4BF128F2" w14:textId="0BBE8FA4" w:rsidR="006D5927" w:rsidRPr="00656C63" w:rsidRDefault="006D5927" w:rsidP="006D5927">
            <w:pPr>
              <w:pStyle w:val="ListParagraph"/>
              <w:keepNext/>
              <w:ind w:left="0"/>
              <w:jc w:val="right"/>
              <w:rPr>
                <w:rFonts w:ascii="Arial" w:hAnsi="Arial" w:cs="Arial"/>
              </w:rPr>
            </w:pPr>
            <w:r>
              <w:rPr>
                <w:rFonts w:ascii="Arial" w:hAnsi="Arial" w:cs="Arial"/>
              </w:rPr>
              <w:t>(0.35)</w:t>
            </w:r>
          </w:p>
        </w:tc>
        <w:tc>
          <w:tcPr>
            <w:tcW w:w="1417" w:type="dxa"/>
            <w:tcBorders>
              <w:left w:val="single" w:sz="4" w:space="0" w:color="auto"/>
              <w:bottom w:val="single" w:sz="4" w:space="0" w:color="auto"/>
              <w:right w:val="single" w:sz="4" w:space="0" w:color="auto"/>
            </w:tcBorders>
            <w:shd w:val="clear" w:color="auto" w:fill="auto"/>
            <w:vAlign w:val="center"/>
          </w:tcPr>
          <w:p w14:paraId="7DBC9D48" w14:textId="289934E3" w:rsidR="006D5927" w:rsidRPr="00656C63" w:rsidRDefault="006D5927" w:rsidP="006D5927">
            <w:pPr>
              <w:pStyle w:val="ListParagraph"/>
              <w:keepNext/>
              <w:ind w:left="0"/>
              <w:jc w:val="right"/>
              <w:rPr>
                <w:rFonts w:ascii="Arial" w:hAnsi="Arial" w:cs="Arial"/>
              </w:rPr>
            </w:pPr>
            <w:r>
              <w:rPr>
                <w:rFonts w:ascii="Arial" w:hAnsi="Arial" w:cs="Arial"/>
              </w:rPr>
              <w:t>4.88</w:t>
            </w:r>
          </w:p>
        </w:tc>
      </w:tr>
      <w:tr w:rsidR="006D5927" w:rsidRPr="00656C63" w14:paraId="518B43D5" w14:textId="77777777" w:rsidTr="00AC502A">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3C70D7" w14:textId="77777777" w:rsidR="006D5927" w:rsidRPr="00656C63" w:rsidRDefault="006D5927" w:rsidP="006D5927">
            <w:pPr>
              <w:pStyle w:val="ListParagraph"/>
              <w:keepNext/>
              <w:ind w:left="0"/>
              <w:rPr>
                <w:rFonts w:ascii="Arial" w:hAnsi="Arial" w:cs="Arial"/>
                <w:b/>
                <w:bCs/>
              </w:rPr>
            </w:pPr>
            <w:r w:rsidRPr="00656C63">
              <w:rPr>
                <w:rFonts w:ascii="Arial" w:hAnsi="Arial" w:cs="Arial"/>
                <w:b/>
                <w:bCs/>
              </w:rPr>
              <w:t>Total borrowing</w:t>
            </w:r>
          </w:p>
        </w:tc>
        <w:tc>
          <w:tcPr>
            <w:tcW w:w="1417" w:type="dxa"/>
            <w:tcBorders>
              <w:top w:val="single" w:sz="4" w:space="0" w:color="auto"/>
              <w:left w:val="single" w:sz="4" w:space="0" w:color="auto"/>
              <w:bottom w:val="single" w:sz="4" w:space="0" w:color="auto"/>
              <w:right w:val="single" w:sz="4" w:space="0" w:color="auto"/>
            </w:tcBorders>
            <w:vAlign w:val="center"/>
          </w:tcPr>
          <w:p w14:paraId="272CE156" w14:textId="35517D81" w:rsidR="006D5927" w:rsidRPr="007D7EFB" w:rsidRDefault="006D5927" w:rsidP="006D5927">
            <w:pPr>
              <w:pStyle w:val="ListParagraph"/>
              <w:keepNext/>
              <w:ind w:left="0"/>
              <w:jc w:val="right"/>
              <w:rPr>
                <w:rFonts w:ascii="Arial" w:hAnsi="Arial" w:cs="Arial"/>
                <w:b/>
                <w:bCs/>
              </w:rPr>
            </w:pPr>
            <w:r w:rsidRPr="00AC502A">
              <w:rPr>
                <w:rFonts w:ascii="Arial" w:hAnsi="Arial" w:cs="Arial"/>
                <w:b/>
                <w:bCs/>
              </w:rPr>
              <w:t>(29.</w:t>
            </w:r>
            <w:r w:rsidR="00D765C3">
              <w:rPr>
                <w:rFonts w:ascii="Arial" w:hAnsi="Arial" w:cs="Arial"/>
                <w:b/>
                <w:bCs/>
              </w:rPr>
              <w:t>70</w:t>
            </w:r>
            <w:r w:rsidRPr="00AC502A">
              <w:rPr>
                <w:rFonts w:ascii="Arial" w:hAnsi="Arial" w:cs="Arial"/>
                <w:b/>
                <w:bC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EFA175" w14:textId="188EA5AF" w:rsidR="006D5927" w:rsidRPr="00656C63" w:rsidRDefault="006D5927" w:rsidP="006D5927">
            <w:pPr>
              <w:pStyle w:val="ListParagraph"/>
              <w:keepNext/>
              <w:ind w:left="0"/>
              <w:jc w:val="right"/>
              <w:rPr>
                <w:rFonts w:ascii="Arial" w:hAnsi="Arial" w:cs="Arial"/>
                <w:b/>
                <w:bCs/>
              </w:rPr>
            </w:pPr>
            <w:r>
              <w:rPr>
                <w:rFonts w:ascii="Arial" w:hAnsi="Arial" w:cs="Arial"/>
                <w:b/>
                <w:bCs/>
              </w:rPr>
              <w:t>10.</w:t>
            </w:r>
            <w:r w:rsidR="001F07B3">
              <w:rPr>
                <w:rFonts w:ascii="Arial" w:hAnsi="Arial" w:cs="Arial"/>
                <w:b/>
                <w:bCs/>
              </w:rPr>
              <w:t>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11EC76" w14:textId="3376ED69" w:rsidR="006D5927" w:rsidRPr="00656C63" w:rsidRDefault="006D5927" w:rsidP="006D5927">
            <w:pPr>
              <w:pStyle w:val="ListParagraph"/>
              <w:keepNext/>
              <w:ind w:left="0"/>
              <w:jc w:val="right"/>
              <w:rPr>
                <w:rFonts w:ascii="Arial" w:hAnsi="Arial" w:cs="Arial"/>
                <w:b/>
                <w:bCs/>
              </w:rPr>
            </w:pPr>
            <w:r>
              <w:rPr>
                <w:rFonts w:ascii="Arial" w:hAnsi="Arial" w:cs="Arial"/>
                <w:b/>
                <w:bCs/>
              </w:rPr>
              <w:t>(19.35)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A90E02" w14:textId="747EAFE1" w:rsidR="006D5927" w:rsidRPr="00656C63" w:rsidRDefault="006D5927" w:rsidP="006D5927">
            <w:pPr>
              <w:pStyle w:val="ListParagraph"/>
              <w:keepNext/>
              <w:ind w:left="0"/>
              <w:jc w:val="right"/>
              <w:rPr>
                <w:rFonts w:ascii="Arial" w:hAnsi="Arial" w:cs="Arial"/>
                <w:b/>
                <w:bCs/>
              </w:rPr>
            </w:pPr>
            <w:r>
              <w:rPr>
                <w:rFonts w:ascii="Arial" w:hAnsi="Arial" w:cs="Arial"/>
                <w:b/>
                <w:bCs/>
              </w:rPr>
              <w:t>4.25</w:t>
            </w:r>
          </w:p>
        </w:tc>
      </w:tr>
      <w:tr w:rsidR="006D5927" w:rsidRPr="00656C63" w14:paraId="5819FB47" w14:textId="77777777" w:rsidTr="00AC502A">
        <w:trPr>
          <w:jc w:val="center"/>
        </w:trPr>
        <w:tc>
          <w:tcPr>
            <w:tcW w:w="3227" w:type="dxa"/>
            <w:tcBorders>
              <w:top w:val="single" w:sz="4" w:space="0" w:color="auto"/>
              <w:left w:val="single" w:sz="4" w:space="0" w:color="auto"/>
              <w:right w:val="single" w:sz="4" w:space="0" w:color="auto"/>
            </w:tcBorders>
            <w:shd w:val="clear" w:color="auto" w:fill="auto"/>
          </w:tcPr>
          <w:p w14:paraId="66B62BCD" w14:textId="77777777" w:rsidR="006D5927" w:rsidRPr="00656C63" w:rsidRDefault="006D5927" w:rsidP="006D5927">
            <w:pPr>
              <w:pStyle w:val="ListParagraph"/>
              <w:keepNext/>
              <w:ind w:left="0"/>
              <w:rPr>
                <w:rFonts w:ascii="Arial" w:hAnsi="Arial" w:cs="Arial"/>
              </w:rPr>
            </w:pPr>
            <w:r w:rsidRPr="00656C63">
              <w:rPr>
                <w:rFonts w:ascii="Arial" w:hAnsi="Arial" w:cs="Arial"/>
              </w:rPr>
              <w:t>Long-term investments</w:t>
            </w:r>
          </w:p>
        </w:tc>
        <w:tc>
          <w:tcPr>
            <w:tcW w:w="1417" w:type="dxa"/>
            <w:tcBorders>
              <w:top w:val="single" w:sz="4" w:space="0" w:color="auto"/>
              <w:left w:val="single" w:sz="4" w:space="0" w:color="auto"/>
              <w:right w:val="single" w:sz="4" w:space="0" w:color="auto"/>
            </w:tcBorders>
            <w:vAlign w:val="center"/>
          </w:tcPr>
          <w:p w14:paraId="32287282" w14:textId="040C5F22" w:rsidR="006D5927" w:rsidRDefault="006D5927" w:rsidP="006D5927">
            <w:pPr>
              <w:pStyle w:val="ListParagraph"/>
              <w:keepNext/>
              <w:ind w:left="0"/>
              <w:jc w:val="right"/>
              <w:rPr>
                <w:rFonts w:ascii="Arial" w:hAnsi="Arial" w:cs="Arial"/>
              </w:rPr>
            </w:pPr>
            <w:r>
              <w:rPr>
                <w:rFonts w:ascii="Arial" w:hAnsi="Arial" w:cs="Arial"/>
              </w:rPr>
              <w:t>15.09</w:t>
            </w:r>
          </w:p>
        </w:tc>
        <w:tc>
          <w:tcPr>
            <w:tcW w:w="1417" w:type="dxa"/>
            <w:tcBorders>
              <w:top w:val="single" w:sz="4" w:space="0" w:color="auto"/>
              <w:left w:val="single" w:sz="4" w:space="0" w:color="auto"/>
              <w:right w:val="single" w:sz="4" w:space="0" w:color="auto"/>
            </w:tcBorders>
            <w:shd w:val="clear" w:color="auto" w:fill="auto"/>
            <w:vAlign w:val="center"/>
          </w:tcPr>
          <w:p w14:paraId="2CA4161A" w14:textId="3B2E49AB" w:rsidR="006D5927" w:rsidRPr="00656C63" w:rsidRDefault="006D5927" w:rsidP="006D5927">
            <w:pPr>
              <w:pStyle w:val="ListParagraph"/>
              <w:keepNext/>
              <w:ind w:left="0"/>
              <w:jc w:val="right"/>
              <w:rPr>
                <w:rFonts w:ascii="Arial" w:hAnsi="Arial" w:cs="Arial"/>
              </w:rPr>
            </w:pPr>
            <w:r>
              <w:rPr>
                <w:rFonts w:ascii="Arial" w:hAnsi="Arial" w:cs="Arial"/>
              </w:rPr>
              <w:t>8.91</w:t>
            </w:r>
          </w:p>
        </w:tc>
        <w:tc>
          <w:tcPr>
            <w:tcW w:w="1417" w:type="dxa"/>
            <w:tcBorders>
              <w:top w:val="single" w:sz="4" w:space="0" w:color="auto"/>
              <w:left w:val="single" w:sz="4" w:space="0" w:color="auto"/>
              <w:right w:val="single" w:sz="4" w:space="0" w:color="auto"/>
            </w:tcBorders>
            <w:shd w:val="clear" w:color="auto" w:fill="auto"/>
            <w:vAlign w:val="center"/>
          </w:tcPr>
          <w:p w14:paraId="2DF0B2F2" w14:textId="79CCF391" w:rsidR="006D5927" w:rsidRPr="00656C63" w:rsidRDefault="006D5927" w:rsidP="006D5927">
            <w:pPr>
              <w:pStyle w:val="ListParagraph"/>
              <w:ind w:left="0"/>
              <w:jc w:val="right"/>
              <w:rPr>
                <w:rFonts w:ascii="Arial" w:hAnsi="Arial" w:cs="Arial"/>
              </w:rPr>
            </w:pPr>
            <w:r>
              <w:rPr>
                <w:rFonts w:ascii="Arial" w:hAnsi="Arial" w:cs="Arial"/>
              </w:rPr>
              <w:t>24.00</w:t>
            </w:r>
          </w:p>
        </w:tc>
        <w:tc>
          <w:tcPr>
            <w:tcW w:w="1417" w:type="dxa"/>
            <w:tcBorders>
              <w:top w:val="single" w:sz="4" w:space="0" w:color="auto"/>
              <w:left w:val="single" w:sz="4" w:space="0" w:color="auto"/>
              <w:right w:val="single" w:sz="4" w:space="0" w:color="auto"/>
            </w:tcBorders>
            <w:shd w:val="clear" w:color="auto" w:fill="auto"/>
            <w:vAlign w:val="center"/>
          </w:tcPr>
          <w:p w14:paraId="060DBD0B" w14:textId="46A908B2" w:rsidR="006D5927" w:rsidRPr="00656C63" w:rsidRDefault="006D5927" w:rsidP="006D5927">
            <w:pPr>
              <w:pStyle w:val="ListParagraph"/>
              <w:keepNext/>
              <w:ind w:left="0"/>
              <w:jc w:val="right"/>
              <w:rPr>
                <w:rFonts w:ascii="Arial" w:hAnsi="Arial" w:cs="Arial"/>
              </w:rPr>
            </w:pPr>
            <w:r>
              <w:rPr>
                <w:rFonts w:ascii="Arial" w:hAnsi="Arial" w:cs="Arial"/>
              </w:rPr>
              <w:t>5.40</w:t>
            </w:r>
          </w:p>
        </w:tc>
      </w:tr>
      <w:tr w:rsidR="006D5927" w:rsidRPr="00656C63" w14:paraId="78C0D782" w14:textId="77777777" w:rsidTr="00AC502A">
        <w:trPr>
          <w:jc w:val="center"/>
        </w:trPr>
        <w:tc>
          <w:tcPr>
            <w:tcW w:w="3227" w:type="dxa"/>
            <w:tcBorders>
              <w:left w:val="single" w:sz="4" w:space="0" w:color="auto"/>
              <w:right w:val="single" w:sz="4" w:space="0" w:color="auto"/>
            </w:tcBorders>
            <w:shd w:val="clear" w:color="auto" w:fill="auto"/>
          </w:tcPr>
          <w:p w14:paraId="77C9BA0B" w14:textId="77777777" w:rsidR="006D5927" w:rsidRPr="00656C63" w:rsidRDefault="006D5927" w:rsidP="006D5927">
            <w:pPr>
              <w:pStyle w:val="ListParagraph"/>
              <w:ind w:left="0"/>
              <w:rPr>
                <w:rFonts w:ascii="Arial" w:hAnsi="Arial" w:cs="Arial"/>
              </w:rPr>
            </w:pPr>
            <w:r w:rsidRPr="00656C63">
              <w:rPr>
                <w:rFonts w:ascii="Arial" w:hAnsi="Arial" w:cs="Arial"/>
              </w:rPr>
              <w:t>Short-term investments</w:t>
            </w:r>
          </w:p>
        </w:tc>
        <w:tc>
          <w:tcPr>
            <w:tcW w:w="1417" w:type="dxa"/>
            <w:tcBorders>
              <w:left w:val="single" w:sz="4" w:space="0" w:color="auto"/>
              <w:right w:val="single" w:sz="4" w:space="0" w:color="auto"/>
            </w:tcBorders>
            <w:vAlign w:val="center"/>
          </w:tcPr>
          <w:p w14:paraId="3302BA11" w14:textId="429F8636" w:rsidR="006D5927" w:rsidRDefault="006D5927" w:rsidP="006D5927">
            <w:pPr>
              <w:pStyle w:val="ListParagraph"/>
              <w:ind w:left="0"/>
              <w:jc w:val="right"/>
              <w:rPr>
                <w:rFonts w:ascii="Arial" w:hAnsi="Arial" w:cs="Arial"/>
              </w:rPr>
            </w:pPr>
            <w:r>
              <w:rPr>
                <w:rFonts w:ascii="Arial" w:hAnsi="Arial" w:cs="Arial"/>
              </w:rPr>
              <w:t>25.02</w:t>
            </w:r>
          </w:p>
        </w:tc>
        <w:tc>
          <w:tcPr>
            <w:tcW w:w="1417" w:type="dxa"/>
            <w:tcBorders>
              <w:left w:val="single" w:sz="4" w:space="0" w:color="auto"/>
              <w:right w:val="single" w:sz="4" w:space="0" w:color="auto"/>
            </w:tcBorders>
            <w:shd w:val="clear" w:color="auto" w:fill="auto"/>
            <w:vAlign w:val="center"/>
          </w:tcPr>
          <w:p w14:paraId="59BABC92" w14:textId="5DBF7ACA" w:rsidR="006D5927" w:rsidRPr="00656C63" w:rsidRDefault="006D5927" w:rsidP="006D5927">
            <w:pPr>
              <w:pStyle w:val="ListParagraph"/>
              <w:ind w:left="0"/>
              <w:jc w:val="right"/>
              <w:rPr>
                <w:rFonts w:ascii="Arial" w:hAnsi="Arial" w:cs="Arial"/>
              </w:rPr>
            </w:pPr>
            <w:r>
              <w:rPr>
                <w:rFonts w:ascii="Arial" w:hAnsi="Arial" w:cs="Arial"/>
              </w:rPr>
              <w:t>15.50</w:t>
            </w:r>
          </w:p>
        </w:tc>
        <w:tc>
          <w:tcPr>
            <w:tcW w:w="1417" w:type="dxa"/>
            <w:tcBorders>
              <w:left w:val="single" w:sz="4" w:space="0" w:color="auto"/>
              <w:right w:val="single" w:sz="4" w:space="0" w:color="auto"/>
            </w:tcBorders>
            <w:shd w:val="clear" w:color="auto" w:fill="auto"/>
            <w:vAlign w:val="center"/>
          </w:tcPr>
          <w:p w14:paraId="6BE11EED" w14:textId="15D68754" w:rsidR="006D5927" w:rsidRPr="00656C63" w:rsidRDefault="006D5927" w:rsidP="006D5927">
            <w:pPr>
              <w:pStyle w:val="ListParagraph"/>
              <w:ind w:left="0"/>
              <w:jc w:val="right"/>
              <w:rPr>
                <w:rFonts w:ascii="Arial" w:hAnsi="Arial" w:cs="Arial"/>
              </w:rPr>
            </w:pPr>
            <w:r>
              <w:rPr>
                <w:rFonts w:ascii="Arial" w:hAnsi="Arial" w:cs="Arial"/>
              </w:rPr>
              <w:t>40.52</w:t>
            </w:r>
          </w:p>
        </w:tc>
        <w:tc>
          <w:tcPr>
            <w:tcW w:w="1417" w:type="dxa"/>
            <w:tcBorders>
              <w:left w:val="single" w:sz="4" w:space="0" w:color="auto"/>
              <w:right w:val="single" w:sz="4" w:space="0" w:color="auto"/>
            </w:tcBorders>
            <w:shd w:val="clear" w:color="auto" w:fill="auto"/>
            <w:vAlign w:val="center"/>
          </w:tcPr>
          <w:p w14:paraId="366C6DE6" w14:textId="6212633A" w:rsidR="006D5927" w:rsidRPr="00656C63" w:rsidRDefault="006D5927" w:rsidP="006D5927">
            <w:pPr>
              <w:pStyle w:val="ListParagraph"/>
              <w:ind w:left="0"/>
              <w:jc w:val="right"/>
              <w:rPr>
                <w:rFonts w:ascii="Arial" w:hAnsi="Arial" w:cs="Arial"/>
              </w:rPr>
            </w:pPr>
            <w:r>
              <w:rPr>
                <w:rFonts w:ascii="Arial" w:hAnsi="Arial" w:cs="Arial"/>
              </w:rPr>
              <w:t>5.26</w:t>
            </w:r>
          </w:p>
        </w:tc>
      </w:tr>
      <w:tr w:rsidR="006D5927" w:rsidRPr="00656C63" w14:paraId="5C6983EC" w14:textId="77777777" w:rsidTr="00AC502A">
        <w:trPr>
          <w:jc w:val="center"/>
        </w:trPr>
        <w:tc>
          <w:tcPr>
            <w:tcW w:w="3227" w:type="dxa"/>
            <w:tcBorders>
              <w:left w:val="single" w:sz="4" w:space="0" w:color="auto"/>
              <w:bottom w:val="single" w:sz="4" w:space="0" w:color="auto"/>
              <w:right w:val="single" w:sz="4" w:space="0" w:color="auto"/>
            </w:tcBorders>
            <w:shd w:val="clear" w:color="auto" w:fill="auto"/>
          </w:tcPr>
          <w:p w14:paraId="191896F5" w14:textId="77777777" w:rsidR="006D5927" w:rsidRPr="00656C63" w:rsidRDefault="006D5927" w:rsidP="006D5927">
            <w:pPr>
              <w:pStyle w:val="ListParagraph"/>
              <w:ind w:left="0"/>
              <w:rPr>
                <w:rFonts w:ascii="Arial" w:hAnsi="Arial" w:cs="Arial"/>
              </w:rPr>
            </w:pPr>
            <w:r w:rsidRPr="00656C63">
              <w:rPr>
                <w:rFonts w:ascii="Arial" w:hAnsi="Arial" w:cs="Arial"/>
              </w:rPr>
              <w:t>Cash and cash equivalents</w:t>
            </w:r>
          </w:p>
        </w:tc>
        <w:tc>
          <w:tcPr>
            <w:tcW w:w="1417" w:type="dxa"/>
            <w:tcBorders>
              <w:left w:val="single" w:sz="4" w:space="0" w:color="auto"/>
              <w:bottom w:val="single" w:sz="4" w:space="0" w:color="auto"/>
              <w:right w:val="single" w:sz="4" w:space="0" w:color="auto"/>
            </w:tcBorders>
            <w:vAlign w:val="center"/>
          </w:tcPr>
          <w:p w14:paraId="32B760DD" w14:textId="1CE1DADA" w:rsidR="006D5927" w:rsidRDefault="006D5927" w:rsidP="006D5927">
            <w:pPr>
              <w:pStyle w:val="ListParagraph"/>
              <w:ind w:left="0"/>
              <w:jc w:val="right"/>
              <w:rPr>
                <w:rFonts w:ascii="Arial" w:hAnsi="Arial" w:cs="Arial"/>
              </w:rPr>
            </w:pPr>
            <w:r>
              <w:rPr>
                <w:rFonts w:ascii="Arial" w:hAnsi="Arial" w:cs="Arial"/>
              </w:rPr>
              <w:t>66.80</w:t>
            </w:r>
          </w:p>
        </w:tc>
        <w:tc>
          <w:tcPr>
            <w:tcW w:w="1417" w:type="dxa"/>
            <w:tcBorders>
              <w:left w:val="single" w:sz="4" w:space="0" w:color="auto"/>
              <w:bottom w:val="single" w:sz="4" w:space="0" w:color="auto"/>
              <w:right w:val="single" w:sz="4" w:space="0" w:color="auto"/>
            </w:tcBorders>
            <w:shd w:val="clear" w:color="auto" w:fill="auto"/>
            <w:vAlign w:val="center"/>
          </w:tcPr>
          <w:p w14:paraId="17368438" w14:textId="76758D5F" w:rsidR="006D5927" w:rsidRPr="00656C63" w:rsidRDefault="006D5927" w:rsidP="006D5927">
            <w:pPr>
              <w:pStyle w:val="ListParagraph"/>
              <w:ind w:left="0"/>
              <w:jc w:val="right"/>
              <w:rPr>
                <w:rFonts w:ascii="Arial" w:hAnsi="Arial" w:cs="Arial"/>
              </w:rPr>
            </w:pPr>
            <w:r>
              <w:rPr>
                <w:rFonts w:ascii="Arial" w:hAnsi="Arial" w:cs="Arial"/>
              </w:rPr>
              <w:t>(33.51)</w:t>
            </w:r>
          </w:p>
        </w:tc>
        <w:tc>
          <w:tcPr>
            <w:tcW w:w="1417" w:type="dxa"/>
            <w:tcBorders>
              <w:left w:val="single" w:sz="4" w:space="0" w:color="auto"/>
              <w:bottom w:val="single" w:sz="4" w:space="0" w:color="auto"/>
              <w:right w:val="single" w:sz="4" w:space="0" w:color="auto"/>
            </w:tcBorders>
            <w:shd w:val="clear" w:color="auto" w:fill="auto"/>
            <w:vAlign w:val="center"/>
          </w:tcPr>
          <w:p w14:paraId="217B20F4" w14:textId="16BD6588" w:rsidR="006D5927" w:rsidRPr="00656C63" w:rsidRDefault="006D5927" w:rsidP="006D5927">
            <w:pPr>
              <w:pStyle w:val="ListParagraph"/>
              <w:ind w:left="0"/>
              <w:jc w:val="right"/>
              <w:rPr>
                <w:rFonts w:ascii="Arial" w:hAnsi="Arial" w:cs="Arial"/>
              </w:rPr>
            </w:pPr>
            <w:r>
              <w:rPr>
                <w:rFonts w:ascii="Arial" w:hAnsi="Arial" w:cs="Arial"/>
              </w:rPr>
              <w:t>33.29</w:t>
            </w:r>
          </w:p>
        </w:tc>
        <w:tc>
          <w:tcPr>
            <w:tcW w:w="1417" w:type="dxa"/>
            <w:tcBorders>
              <w:left w:val="single" w:sz="4" w:space="0" w:color="auto"/>
              <w:bottom w:val="single" w:sz="4" w:space="0" w:color="auto"/>
              <w:right w:val="single" w:sz="4" w:space="0" w:color="auto"/>
            </w:tcBorders>
            <w:shd w:val="clear" w:color="auto" w:fill="auto"/>
            <w:vAlign w:val="center"/>
          </w:tcPr>
          <w:p w14:paraId="0BABE47F" w14:textId="7AECDB29" w:rsidR="006D5927" w:rsidRPr="00656C63" w:rsidRDefault="006D5927" w:rsidP="006D5927">
            <w:pPr>
              <w:pStyle w:val="ListParagraph"/>
              <w:ind w:left="0"/>
              <w:jc w:val="right"/>
              <w:rPr>
                <w:rFonts w:ascii="Arial" w:hAnsi="Arial" w:cs="Arial"/>
              </w:rPr>
            </w:pPr>
            <w:r>
              <w:rPr>
                <w:rFonts w:ascii="Arial" w:hAnsi="Arial" w:cs="Arial"/>
              </w:rPr>
              <w:t>5.1</w:t>
            </w:r>
            <w:r w:rsidR="003D1F59">
              <w:rPr>
                <w:rFonts w:ascii="Arial" w:hAnsi="Arial" w:cs="Arial"/>
              </w:rPr>
              <w:t>9</w:t>
            </w:r>
          </w:p>
        </w:tc>
      </w:tr>
      <w:tr w:rsidR="006D5927" w:rsidRPr="00656C63" w14:paraId="2EBD86A2" w14:textId="77777777" w:rsidTr="00AC502A">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6F6DFE1" w14:textId="77777777" w:rsidR="006D5927" w:rsidRPr="00656C63" w:rsidRDefault="006D5927" w:rsidP="006D5927">
            <w:pPr>
              <w:pStyle w:val="ListParagraph"/>
              <w:ind w:left="0"/>
              <w:rPr>
                <w:rFonts w:ascii="Arial" w:hAnsi="Arial" w:cs="Arial"/>
                <w:b/>
                <w:bCs/>
              </w:rPr>
            </w:pPr>
            <w:r w:rsidRPr="00656C63">
              <w:rPr>
                <w:rFonts w:ascii="Arial" w:hAnsi="Arial" w:cs="Arial"/>
                <w:b/>
                <w:bCs/>
              </w:rPr>
              <w:t>Total investments</w:t>
            </w:r>
          </w:p>
        </w:tc>
        <w:tc>
          <w:tcPr>
            <w:tcW w:w="1417" w:type="dxa"/>
            <w:tcBorders>
              <w:top w:val="single" w:sz="4" w:space="0" w:color="auto"/>
              <w:left w:val="single" w:sz="4" w:space="0" w:color="auto"/>
              <w:bottom w:val="single" w:sz="4" w:space="0" w:color="auto"/>
              <w:right w:val="single" w:sz="4" w:space="0" w:color="auto"/>
            </w:tcBorders>
            <w:vAlign w:val="center"/>
          </w:tcPr>
          <w:p w14:paraId="6E7C13CC" w14:textId="482C6489" w:rsidR="006D5927" w:rsidRDefault="006D5927" w:rsidP="006D5927">
            <w:pPr>
              <w:pStyle w:val="ListParagraph"/>
              <w:ind w:left="0"/>
              <w:jc w:val="right"/>
              <w:rPr>
                <w:rFonts w:ascii="Arial" w:hAnsi="Arial" w:cs="Arial"/>
                <w:b/>
                <w:bCs/>
              </w:rPr>
            </w:pPr>
            <w:r>
              <w:rPr>
                <w:rFonts w:ascii="Arial" w:hAnsi="Arial" w:cs="Arial"/>
                <w:b/>
                <w:bCs/>
              </w:rPr>
              <w:t>106.91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D209" w14:textId="6BA09C0B" w:rsidR="006D5927" w:rsidRPr="00656C63" w:rsidRDefault="006D5927" w:rsidP="006D5927">
            <w:pPr>
              <w:pStyle w:val="ListParagraph"/>
              <w:ind w:left="0"/>
              <w:jc w:val="right"/>
              <w:rPr>
                <w:rFonts w:ascii="Arial" w:hAnsi="Arial" w:cs="Arial"/>
                <w:b/>
                <w:bCs/>
              </w:rPr>
            </w:pPr>
            <w:r>
              <w:rPr>
                <w:rFonts w:ascii="Arial" w:hAnsi="Arial" w:cs="Arial"/>
                <w:b/>
                <w:bCs/>
              </w:rPr>
              <w:t>(9.10)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677B4F" w14:textId="0B8F3E6C" w:rsidR="006D5927" w:rsidRPr="00656C63" w:rsidRDefault="006D5927" w:rsidP="006D5927">
            <w:pPr>
              <w:pStyle w:val="ListParagraph"/>
              <w:ind w:left="0"/>
              <w:jc w:val="right"/>
              <w:rPr>
                <w:rFonts w:ascii="Arial" w:hAnsi="Arial" w:cs="Arial"/>
                <w:b/>
                <w:bCs/>
              </w:rPr>
            </w:pPr>
            <w:r>
              <w:rPr>
                <w:rFonts w:ascii="Arial" w:hAnsi="Arial" w:cs="Arial"/>
                <w:b/>
                <w:bCs/>
              </w:rPr>
              <w:t>97.81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F26FF2" w14:textId="115A626B" w:rsidR="006D5927" w:rsidRPr="00656C63" w:rsidRDefault="006D5927" w:rsidP="006D5927">
            <w:pPr>
              <w:pStyle w:val="ListParagraph"/>
              <w:ind w:left="0"/>
              <w:jc w:val="right"/>
              <w:rPr>
                <w:rFonts w:ascii="Arial" w:hAnsi="Arial" w:cs="Arial"/>
                <w:b/>
                <w:bCs/>
              </w:rPr>
            </w:pPr>
            <w:r>
              <w:rPr>
                <w:rFonts w:ascii="Arial" w:hAnsi="Arial" w:cs="Arial"/>
                <w:b/>
                <w:bCs/>
              </w:rPr>
              <w:t>5.27</w:t>
            </w:r>
          </w:p>
        </w:tc>
      </w:tr>
      <w:tr w:rsidR="006D5927" w:rsidRPr="00BA4271" w14:paraId="6BE2E810" w14:textId="77777777" w:rsidTr="00AC502A">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E2C806" w14:textId="6EAA4ED2" w:rsidR="006D5927" w:rsidRPr="00656C63" w:rsidRDefault="006D5927" w:rsidP="006D5927">
            <w:pPr>
              <w:pStyle w:val="ListParagraph"/>
              <w:ind w:left="0"/>
              <w:rPr>
                <w:rFonts w:ascii="Arial" w:hAnsi="Arial" w:cs="Arial"/>
                <w:b/>
                <w:bCs/>
              </w:rPr>
            </w:pPr>
            <w:r w:rsidRPr="00656C63">
              <w:rPr>
                <w:rFonts w:ascii="Arial" w:hAnsi="Arial" w:cs="Arial"/>
                <w:b/>
                <w:bCs/>
              </w:rPr>
              <w:t>Net treasury management investments</w:t>
            </w:r>
          </w:p>
        </w:tc>
        <w:tc>
          <w:tcPr>
            <w:tcW w:w="1417" w:type="dxa"/>
            <w:tcBorders>
              <w:top w:val="single" w:sz="4" w:space="0" w:color="auto"/>
              <w:left w:val="single" w:sz="4" w:space="0" w:color="auto"/>
              <w:bottom w:val="single" w:sz="4" w:space="0" w:color="auto"/>
              <w:right w:val="single" w:sz="4" w:space="0" w:color="auto"/>
            </w:tcBorders>
            <w:vAlign w:val="center"/>
          </w:tcPr>
          <w:p w14:paraId="0F31E532" w14:textId="020A87BF" w:rsidR="006D5927" w:rsidRPr="006D5927" w:rsidRDefault="006D5927" w:rsidP="006D5927">
            <w:pPr>
              <w:pStyle w:val="ListParagraph"/>
              <w:ind w:left="0"/>
              <w:jc w:val="right"/>
              <w:rPr>
                <w:rFonts w:ascii="Arial" w:hAnsi="Arial" w:cs="Arial"/>
                <w:b/>
                <w:bCs/>
              </w:rPr>
            </w:pPr>
            <w:r w:rsidRPr="00AC502A">
              <w:rPr>
                <w:rFonts w:ascii="Arial" w:hAnsi="Arial" w:cs="Arial"/>
                <w:b/>
                <w:bCs/>
              </w:rPr>
              <w:t>77.</w:t>
            </w:r>
            <w:r w:rsidR="00AB5A82">
              <w:rPr>
                <w:rFonts w:ascii="Arial" w:hAnsi="Arial" w:cs="Arial"/>
                <w:b/>
                <w:bCs/>
              </w:rPr>
              <w:t>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5B293" w14:textId="537E6AA7" w:rsidR="006D5927" w:rsidRPr="00656C63" w:rsidRDefault="00AB5A82" w:rsidP="006D5927">
            <w:pPr>
              <w:pStyle w:val="ListParagraph"/>
              <w:ind w:left="0"/>
              <w:jc w:val="right"/>
              <w:rPr>
                <w:rFonts w:ascii="Arial" w:hAnsi="Arial" w:cs="Arial"/>
                <w:b/>
                <w:bCs/>
              </w:rPr>
            </w:pPr>
            <w:r>
              <w:rPr>
                <w:rFonts w:ascii="Arial" w:hAnsi="Arial" w:cs="Arial"/>
                <w:b/>
                <w:bCs/>
              </w:rPr>
              <w:t>1.25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0AB03" w14:textId="33CE62F5" w:rsidR="006D5927" w:rsidRPr="00656C63" w:rsidRDefault="006D5927" w:rsidP="006D5927">
            <w:pPr>
              <w:pStyle w:val="ListParagraph"/>
              <w:ind w:left="0"/>
              <w:jc w:val="right"/>
              <w:rPr>
                <w:rFonts w:ascii="Arial" w:hAnsi="Arial" w:cs="Arial"/>
                <w:b/>
                <w:bCs/>
              </w:rPr>
            </w:pPr>
            <w:r>
              <w:rPr>
                <w:rFonts w:ascii="Arial" w:hAnsi="Arial" w:cs="Arial"/>
                <w:b/>
                <w:bCs/>
              </w:rPr>
              <w:t>78.46</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14:paraId="7A5D646F" w14:textId="408CDCAE" w:rsidR="006D5927" w:rsidRPr="00656C63" w:rsidRDefault="006D5927" w:rsidP="006D5927">
            <w:pPr>
              <w:pStyle w:val="ListParagraph"/>
              <w:ind w:left="0"/>
              <w:jc w:val="right"/>
              <w:rPr>
                <w:rFonts w:ascii="Arial" w:hAnsi="Arial" w:cs="Arial"/>
                <w:b/>
                <w:bCs/>
              </w:rPr>
            </w:pPr>
            <w:r>
              <w:rPr>
                <w:rFonts w:ascii="Arial" w:hAnsi="Arial" w:cs="Arial"/>
                <w:b/>
                <w:bCs/>
              </w:rPr>
              <w:t> </w:t>
            </w:r>
          </w:p>
        </w:tc>
      </w:tr>
    </w:tbl>
    <w:p w14:paraId="7AEDA3D2" w14:textId="100BA28C" w:rsidR="00F613B7" w:rsidRPr="00AC502A" w:rsidRDefault="00F613B7" w:rsidP="00F613B7">
      <w:pPr>
        <w:pStyle w:val="ListParagraph"/>
        <w:spacing w:after="240"/>
        <w:rPr>
          <w:rFonts w:ascii="Arial" w:hAnsi="Arial" w:cs="Arial"/>
        </w:rPr>
      </w:pPr>
      <w:r w:rsidRPr="00AC502A">
        <w:rPr>
          <w:rFonts w:ascii="Arial" w:hAnsi="Arial" w:cs="Arial"/>
        </w:rPr>
        <w:t>Note: the</w:t>
      </w:r>
      <w:r w:rsidR="00AA1EF1" w:rsidRPr="00AC502A">
        <w:rPr>
          <w:rFonts w:ascii="Arial" w:hAnsi="Arial" w:cs="Arial"/>
        </w:rPr>
        <w:t xml:space="preserve"> </w:t>
      </w:r>
      <w:r w:rsidR="00DB4437" w:rsidRPr="00AC502A">
        <w:rPr>
          <w:rFonts w:ascii="Arial" w:hAnsi="Arial" w:cs="Arial"/>
        </w:rPr>
        <w:t xml:space="preserve">figures </w:t>
      </w:r>
      <w:r w:rsidRPr="00AC502A">
        <w:rPr>
          <w:rFonts w:ascii="Arial" w:hAnsi="Arial" w:cs="Arial"/>
        </w:rPr>
        <w:t xml:space="preserve">in </w:t>
      </w:r>
      <w:r w:rsidR="00C657AA" w:rsidRPr="00AC502A">
        <w:rPr>
          <w:rFonts w:ascii="Arial" w:hAnsi="Arial" w:cs="Arial"/>
        </w:rPr>
        <w:t>T</w:t>
      </w:r>
      <w:r w:rsidRPr="00AC502A">
        <w:rPr>
          <w:rFonts w:ascii="Arial" w:hAnsi="Arial" w:cs="Arial"/>
        </w:rPr>
        <w:t>able</w:t>
      </w:r>
      <w:r w:rsidR="00C657AA" w:rsidRPr="00AC502A">
        <w:rPr>
          <w:rFonts w:ascii="Arial" w:hAnsi="Arial" w:cs="Arial"/>
        </w:rPr>
        <w:t xml:space="preserve"> 2</w:t>
      </w:r>
      <w:r w:rsidRPr="00AC502A">
        <w:rPr>
          <w:rFonts w:ascii="Arial" w:hAnsi="Arial" w:cs="Arial"/>
        </w:rPr>
        <w:t xml:space="preserve"> are</w:t>
      </w:r>
      <w:r w:rsidR="005904B3" w:rsidRPr="00AC502A">
        <w:rPr>
          <w:rFonts w:ascii="Arial" w:hAnsi="Arial" w:cs="Arial"/>
        </w:rPr>
        <w:t xml:space="preserve"> taken</w:t>
      </w:r>
      <w:r w:rsidRPr="00AC502A">
        <w:rPr>
          <w:rFonts w:ascii="Arial" w:hAnsi="Arial" w:cs="Arial"/>
        </w:rPr>
        <w:t xml:space="preserve"> from the balance sheet in the PCC’s statement of accounts, but adjusted to exclude operational cash, accrued interest and other accounting adjustments</w:t>
      </w:r>
      <w:r w:rsidR="009D7EAA" w:rsidRPr="00AC502A">
        <w:rPr>
          <w:rFonts w:ascii="Arial" w:hAnsi="Arial" w:cs="Arial"/>
        </w:rPr>
        <w:t>, and therefore differ from Table 1</w:t>
      </w:r>
      <w:r w:rsidRPr="00AC502A">
        <w:rPr>
          <w:rFonts w:ascii="Arial" w:hAnsi="Arial" w:cs="Arial"/>
        </w:rPr>
        <w:t>.</w:t>
      </w:r>
    </w:p>
    <w:p w14:paraId="29071664" w14:textId="289FEE5C" w:rsidR="00315C49" w:rsidRPr="00D165EC" w:rsidRDefault="002D57AA" w:rsidP="003C3808">
      <w:pPr>
        <w:pStyle w:val="ListParagraph"/>
        <w:numPr>
          <w:ilvl w:val="1"/>
          <w:numId w:val="2"/>
        </w:numPr>
        <w:spacing w:after="240"/>
        <w:ind w:left="720" w:hanging="720"/>
        <w:rPr>
          <w:rFonts w:ascii="Arial" w:hAnsi="Arial" w:cs="Arial"/>
        </w:rPr>
      </w:pPr>
      <w:r w:rsidRPr="00D165EC">
        <w:rPr>
          <w:rFonts w:ascii="Arial" w:hAnsi="Arial" w:cs="Arial"/>
        </w:rPr>
        <w:lastRenderedPageBreak/>
        <w:t>The increase in net investments of £</w:t>
      </w:r>
      <w:r w:rsidR="00AB6D24">
        <w:rPr>
          <w:rFonts w:ascii="Arial" w:hAnsi="Arial" w:cs="Arial"/>
        </w:rPr>
        <w:t>1</w:t>
      </w:r>
      <w:r w:rsidR="00D165EC">
        <w:rPr>
          <w:rFonts w:ascii="Arial" w:hAnsi="Arial" w:cs="Arial"/>
        </w:rPr>
        <w:t>.</w:t>
      </w:r>
      <w:r w:rsidR="00AB5A82">
        <w:rPr>
          <w:rFonts w:ascii="Arial" w:hAnsi="Arial" w:cs="Arial"/>
        </w:rPr>
        <w:t>25</w:t>
      </w:r>
      <w:r w:rsidRPr="00D165EC">
        <w:rPr>
          <w:rFonts w:ascii="Arial" w:hAnsi="Arial" w:cs="Arial"/>
        </w:rPr>
        <w:t xml:space="preserve">m shown in Table 2 </w:t>
      </w:r>
      <w:r w:rsidR="008D4164">
        <w:rPr>
          <w:rFonts w:ascii="Arial" w:hAnsi="Arial" w:cs="Arial"/>
        </w:rPr>
        <w:t>is as a result of</w:t>
      </w:r>
      <w:r w:rsidRPr="00D165EC">
        <w:rPr>
          <w:rFonts w:ascii="Arial" w:hAnsi="Arial" w:cs="Arial"/>
        </w:rPr>
        <w:t xml:space="preserve"> </w:t>
      </w:r>
      <w:r w:rsidR="00E56397">
        <w:rPr>
          <w:rFonts w:ascii="Arial" w:hAnsi="Arial" w:cs="Arial"/>
        </w:rPr>
        <w:t xml:space="preserve">can the </w:t>
      </w:r>
      <w:r w:rsidR="00073115">
        <w:rPr>
          <w:rFonts w:ascii="Arial" w:hAnsi="Arial" w:cs="Arial"/>
        </w:rPr>
        <w:t xml:space="preserve">early </w:t>
      </w:r>
      <w:r w:rsidR="00E56397">
        <w:rPr>
          <w:rFonts w:ascii="Arial" w:hAnsi="Arial" w:cs="Arial"/>
        </w:rPr>
        <w:t xml:space="preserve">repayment of £10m of borrowing </w:t>
      </w:r>
      <w:r w:rsidR="003E7C1F">
        <w:rPr>
          <w:rFonts w:ascii="Arial" w:hAnsi="Arial" w:cs="Arial"/>
        </w:rPr>
        <w:t>which was funded from cash balances</w:t>
      </w:r>
      <w:r w:rsidR="00E56397">
        <w:rPr>
          <w:rFonts w:ascii="Arial" w:hAnsi="Arial" w:cs="Arial"/>
        </w:rPr>
        <w:t xml:space="preserve"> during 2023/24</w:t>
      </w:r>
      <w:r w:rsidR="00E83B0C" w:rsidRPr="00725A62">
        <w:rPr>
          <w:rFonts w:ascii="Arial" w:hAnsi="Arial" w:cs="Arial"/>
        </w:rPr>
        <w:t>.</w:t>
      </w:r>
      <w:r w:rsidR="00E83B0C" w:rsidRPr="00D165EC">
        <w:rPr>
          <w:rFonts w:ascii="Arial" w:hAnsi="Arial" w:cs="Arial"/>
        </w:rPr>
        <w:t xml:space="preserve">  </w:t>
      </w:r>
      <w:r w:rsidR="000E23EC">
        <w:rPr>
          <w:rFonts w:ascii="Arial" w:hAnsi="Arial" w:cs="Arial"/>
        </w:rPr>
        <w:t>No new loans were secured in 2023/24.  Further details are provided in the Borrowing</w:t>
      </w:r>
      <w:r w:rsidR="00BD4E71">
        <w:rPr>
          <w:rFonts w:ascii="Arial" w:hAnsi="Arial" w:cs="Arial"/>
        </w:rPr>
        <w:t xml:space="preserve"> Strategy and </w:t>
      </w:r>
      <w:r w:rsidR="004F0445">
        <w:rPr>
          <w:rFonts w:ascii="Arial" w:hAnsi="Arial" w:cs="Arial"/>
        </w:rPr>
        <w:t>Activity</w:t>
      </w:r>
      <w:r w:rsidR="00BD4E71">
        <w:rPr>
          <w:rFonts w:ascii="Arial" w:hAnsi="Arial" w:cs="Arial"/>
        </w:rPr>
        <w:t xml:space="preserve"> and Treasury Investments Activity sections of this report.</w:t>
      </w:r>
    </w:p>
    <w:p w14:paraId="73AC55B5" w14:textId="48B4996A" w:rsidR="00357A26" w:rsidRPr="00D165EC" w:rsidRDefault="00357A26" w:rsidP="003C3808">
      <w:pPr>
        <w:pStyle w:val="ListParagraph"/>
        <w:numPr>
          <w:ilvl w:val="1"/>
          <w:numId w:val="2"/>
        </w:numPr>
        <w:spacing w:after="240"/>
        <w:ind w:left="720" w:hanging="720"/>
        <w:rPr>
          <w:rFonts w:ascii="Arial" w:hAnsi="Arial" w:cs="Arial"/>
        </w:rPr>
      </w:pPr>
      <w:r>
        <w:rPr>
          <w:rFonts w:ascii="Arial" w:hAnsi="Arial" w:cs="Arial"/>
        </w:rPr>
        <w:t xml:space="preserve">The overall level of investments </w:t>
      </w:r>
      <w:r w:rsidR="00AA724A">
        <w:rPr>
          <w:rFonts w:ascii="Arial" w:hAnsi="Arial" w:cs="Arial"/>
        </w:rPr>
        <w:t xml:space="preserve">provides </w:t>
      </w:r>
      <w:r w:rsidR="00E608A4">
        <w:rPr>
          <w:rFonts w:ascii="Arial" w:hAnsi="Arial" w:cs="Arial"/>
        </w:rPr>
        <w:t xml:space="preserve">significant </w:t>
      </w:r>
      <w:r w:rsidR="00AA724A">
        <w:rPr>
          <w:rFonts w:ascii="Arial" w:hAnsi="Arial" w:cs="Arial"/>
        </w:rPr>
        <w:t xml:space="preserve">financial resilience for the PCC, albeit that the majority of the reserves are ringfenced and set aside for specific purposes; the expectation is that reserves will be drawn down significantly over the next few years, particularly to support the capital programme, major equipment purchase, IT infrastructure </w:t>
      </w:r>
      <w:r w:rsidR="00456EBB">
        <w:rPr>
          <w:rFonts w:ascii="Arial" w:hAnsi="Arial" w:cs="Arial"/>
        </w:rPr>
        <w:t>and device replacement, Operation Magenta and to fund inflation pressures.</w:t>
      </w:r>
    </w:p>
    <w:p w14:paraId="5DF561B8" w14:textId="77777777" w:rsidR="00557178" w:rsidRPr="00F5079D" w:rsidRDefault="00557178" w:rsidP="00557178">
      <w:pPr>
        <w:keepNext/>
        <w:numPr>
          <w:ilvl w:val="0"/>
          <w:numId w:val="2"/>
        </w:numPr>
        <w:tabs>
          <w:tab w:val="num" w:pos="720"/>
        </w:tabs>
        <w:spacing w:after="240"/>
        <w:ind w:left="431" w:hanging="431"/>
        <w:outlineLvl w:val="0"/>
        <w:rPr>
          <w:rFonts w:ascii="Arial" w:hAnsi="Arial" w:cs="Arial"/>
          <w:b/>
        </w:rPr>
      </w:pPr>
      <w:r w:rsidRPr="00F5079D">
        <w:rPr>
          <w:rFonts w:ascii="Arial" w:hAnsi="Arial" w:cs="Arial"/>
          <w:b/>
        </w:rPr>
        <w:t>Borrowing Update</w:t>
      </w:r>
    </w:p>
    <w:p w14:paraId="022D3C2B" w14:textId="2D283FCC" w:rsidR="006F3B05" w:rsidRPr="006F3B05" w:rsidRDefault="006F3B05" w:rsidP="00AC502A">
      <w:pPr>
        <w:pStyle w:val="ListParagraph"/>
        <w:numPr>
          <w:ilvl w:val="1"/>
          <w:numId w:val="2"/>
        </w:numPr>
        <w:spacing w:after="240"/>
        <w:ind w:left="720" w:hanging="720"/>
        <w:rPr>
          <w:rFonts w:ascii="Arial" w:hAnsi="Arial" w:cs="Arial"/>
        </w:rPr>
      </w:pPr>
      <w:r w:rsidRPr="006F3B05">
        <w:rPr>
          <w:rFonts w:ascii="Arial" w:hAnsi="Arial" w:cs="Arial"/>
        </w:rPr>
        <w:t>CIPFA’s 2021 Prudential Code is clear that local authorities</w:t>
      </w:r>
      <w:r>
        <w:rPr>
          <w:rFonts w:ascii="Arial" w:hAnsi="Arial" w:cs="Arial"/>
        </w:rPr>
        <w:t xml:space="preserve"> (including police and crime commissioners)</w:t>
      </w:r>
      <w:r w:rsidRPr="006F3B05">
        <w:rPr>
          <w:rFonts w:ascii="Arial" w:hAnsi="Arial" w:cs="Arial"/>
        </w:rPr>
        <w:t xml:space="preserve"> must not borrow to invest primarily for financial return and that it is not prudent for </w:t>
      </w:r>
      <w:r w:rsidR="00132A58">
        <w:rPr>
          <w:rFonts w:ascii="Arial" w:hAnsi="Arial" w:cs="Arial"/>
        </w:rPr>
        <w:t>the</w:t>
      </w:r>
      <w:r w:rsidRPr="006F3B05">
        <w:rPr>
          <w:rFonts w:ascii="Arial" w:hAnsi="Arial" w:cs="Arial"/>
        </w:rPr>
        <w:t xml:space="preserve"> authorit</w:t>
      </w:r>
      <w:r w:rsidR="00132A58">
        <w:rPr>
          <w:rFonts w:ascii="Arial" w:hAnsi="Arial" w:cs="Arial"/>
        </w:rPr>
        <w:t>y</w:t>
      </w:r>
      <w:r w:rsidRPr="006F3B05">
        <w:rPr>
          <w:rFonts w:ascii="Arial" w:hAnsi="Arial" w:cs="Arial"/>
        </w:rPr>
        <w:t xml:space="preserve"> to make any investment or spending decision that will increase the capital financing requirement and so may lead to new borrowing, unless directly and primarily related to the functions of the </w:t>
      </w:r>
      <w:r w:rsidR="00132A58">
        <w:rPr>
          <w:rFonts w:ascii="Arial" w:hAnsi="Arial" w:cs="Arial"/>
        </w:rPr>
        <w:t>a</w:t>
      </w:r>
      <w:r w:rsidRPr="006F3B05">
        <w:rPr>
          <w:rFonts w:ascii="Arial" w:hAnsi="Arial" w:cs="Arial"/>
        </w:rPr>
        <w:t xml:space="preserve">uthority. PWLB loans are no longer available to local authorities planning to buy investment assets primarily for yield unless these loans are for refinancing purposes. </w:t>
      </w:r>
    </w:p>
    <w:p w14:paraId="0245BEB0" w14:textId="7BA91EBD" w:rsidR="00F5079D" w:rsidRPr="00F5079D" w:rsidRDefault="00F5079D" w:rsidP="00F5079D">
      <w:pPr>
        <w:pStyle w:val="ListParagraph"/>
        <w:numPr>
          <w:ilvl w:val="1"/>
          <w:numId w:val="2"/>
        </w:numPr>
        <w:spacing w:after="240"/>
        <w:ind w:left="720" w:hanging="720"/>
        <w:rPr>
          <w:rFonts w:ascii="Arial" w:hAnsi="Arial" w:cs="Arial"/>
        </w:rPr>
      </w:pPr>
      <w:r w:rsidRPr="00F5079D">
        <w:rPr>
          <w:rFonts w:ascii="Arial" w:hAnsi="Arial" w:cs="Arial"/>
        </w:rPr>
        <w:t xml:space="preserve">The </w:t>
      </w:r>
      <w:r>
        <w:rPr>
          <w:rFonts w:ascii="Arial" w:hAnsi="Arial" w:cs="Arial"/>
        </w:rPr>
        <w:t>PCC</w:t>
      </w:r>
      <w:r w:rsidRPr="00F5079D">
        <w:rPr>
          <w:rFonts w:ascii="Arial" w:hAnsi="Arial" w:cs="Arial"/>
        </w:rPr>
        <w:t xml:space="preserve"> has</w:t>
      </w:r>
      <w:r w:rsidR="00C6068C">
        <w:rPr>
          <w:rFonts w:ascii="Arial" w:hAnsi="Arial" w:cs="Arial"/>
        </w:rPr>
        <w:t xml:space="preserve"> not invested in assets primarily </w:t>
      </w:r>
      <w:r w:rsidR="00243B2B">
        <w:rPr>
          <w:rFonts w:ascii="Arial" w:hAnsi="Arial" w:cs="Arial"/>
        </w:rPr>
        <w:t>for financial return or that are not primaril</w:t>
      </w:r>
      <w:r w:rsidR="00932321">
        <w:rPr>
          <w:rFonts w:ascii="Arial" w:hAnsi="Arial" w:cs="Arial"/>
        </w:rPr>
        <w:t>y related to the functions of the PCC.  It has</w:t>
      </w:r>
      <w:r w:rsidRPr="00F5079D">
        <w:rPr>
          <w:rFonts w:ascii="Arial" w:hAnsi="Arial" w:cs="Arial"/>
        </w:rPr>
        <w:t xml:space="preserve"> no </w:t>
      </w:r>
      <w:r w:rsidR="00665F30">
        <w:rPr>
          <w:rFonts w:ascii="Arial" w:hAnsi="Arial" w:cs="Arial"/>
        </w:rPr>
        <w:t xml:space="preserve">current </w:t>
      </w:r>
      <w:r w:rsidRPr="00F5079D">
        <w:rPr>
          <w:rFonts w:ascii="Arial" w:hAnsi="Arial" w:cs="Arial"/>
        </w:rPr>
        <w:t xml:space="preserve">plans to borrow to invest primarily for commercial return </w:t>
      </w:r>
      <w:r w:rsidR="00050C91">
        <w:rPr>
          <w:rFonts w:ascii="Arial" w:hAnsi="Arial" w:cs="Arial"/>
        </w:rPr>
        <w:t xml:space="preserve">in </w:t>
      </w:r>
      <w:r w:rsidR="008E1B00">
        <w:rPr>
          <w:rFonts w:ascii="Arial" w:hAnsi="Arial" w:cs="Arial"/>
        </w:rPr>
        <w:t>2023/24</w:t>
      </w:r>
      <w:r w:rsidR="000F26F0">
        <w:rPr>
          <w:rFonts w:ascii="Arial" w:hAnsi="Arial" w:cs="Arial"/>
        </w:rPr>
        <w:t xml:space="preserve"> </w:t>
      </w:r>
      <w:r w:rsidRPr="00F5079D">
        <w:rPr>
          <w:rFonts w:ascii="Arial" w:hAnsi="Arial" w:cs="Arial"/>
        </w:rPr>
        <w:t xml:space="preserve">and so is </w:t>
      </w:r>
      <w:r w:rsidR="00050C91">
        <w:rPr>
          <w:rFonts w:ascii="Arial" w:hAnsi="Arial" w:cs="Arial"/>
        </w:rPr>
        <w:t xml:space="preserve">currently </w:t>
      </w:r>
      <w:r w:rsidRPr="00F5079D">
        <w:rPr>
          <w:rFonts w:ascii="Arial" w:hAnsi="Arial" w:cs="Arial"/>
        </w:rPr>
        <w:t xml:space="preserve">unaffected by the changes to the Prudential Code. </w:t>
      </w:r>
    </w:p>
    <w:p w14:paraId="33BD66F6" w14:textId="52208A8E" w:rsidR="00B62F62" w:rsidRPr="00F5079D" w:rsidRDefault="00F5079D" w:rsidP="00F5079D">
      <w:pPr>
        <w:pStyle w:val="ListParagraph"/>
        <w:numPr>
          <w:ilvl w:val="1"/>
          <w:numId w:val="2"/>
        </w:numPr>
        <w:spacing w:after="240"/>
        <w:ind w:left="720" w:hanging="720"/>
        <w:rPr>
          <w:rFonts w:ascii="Arial" w:hAnsi="Arial" w:cs="Arial"/>
        </w:rPr>
      </w:pPr>
      <w:r w:rsidRPr="00F5079D">
        <w:rPr>
          <w:rFonts w:ascii="Arial" w:hAnsi="Arial" w:cs="Arial"/>
        </w:rPr>
        <w:t xml:space="preserve">Further, the </w:t>
      </w:r>
      <w:r w:rsidR="00FD3498">
        <w:rPr>
          <w:rFonts w:ascii="Arial" w:hAnsi="Arial" w:cs="Arial"/>
        </w:rPr>
        <w:t>PCC</w:t>
      </w:r>
      <w:r w:rsidRPr="00F5079D">
        <w:rPr>
          <w:rFonts w:ascii="Arial" w:hAnsi="Arial" w:cs="Arial"/>
        </w:rPr>
        <w:t xml:space="preserve"> has and may continue to invest in pooled funds as part of its Treasury Management strategy.  This is not a policy to primarily generate yield but a part of the implementation of the wider Treasury Management strategy to invest the </w:t>
      </w:r>
      <w:r w:rsidR="00FD3498">
        <w:rPr>
          <w:rFonts w:ascii="Arial" w:hAnsi="Arial" w:cs="Arial"/>
        </w:rPr>
        <w:t>PCC</w:t>
      </w:r>
      <w:r w:rsidRPr="00F5079D">
        <w:rPr>
          <w:rFonts w:ascii="Arial" w:hAnsi="Arial" w:cs="Arial"/>
        </w:rPr>
        <w:t xml:space="preserve">’s surplus cash and reserves ensuring it is investing its funds prudently, having regard to the security and liquidity of its treasury investments before seeking the optimum rate of return, or yield.  By investing a diversified portfolio in respect of yield this meets the </w:t>
      </w:r>
      <w:r w:rsidR="008C30BA">
        <w:rPr>
          <w:rFonts w:ascii="Arial" w:hAnsi="Arial" w:cs="Arial"/>
        </w:rPr>
        <w:t>PCC</w:t>
      </w:r>
      <w:r w:rsidRPr="00F5079D">
        <w:rPr>
          <w:rFonts w:ascii="Arial" w:hAnsi="Arial" w:cs="Arial"/>
        </w:rPr>
        <w:t>’s aim of protecting reserves from high inflation</w:t>
      </w:r>
      <w:r w:rsidR="008D4041">
        <w:rPr>
          <w:rFonts w:ascii="Arial" w:hAnsi="Arial" w:cs="Arial"/>
        </w:rPr>
        <w:t>.</w:t>
      </w:r>
    </w:p>
    <w:p w14:paraId="21F38AF3" w14:textId="68156604" w:rsidR="00EB11CF" w:rsidRPr="00B62F62" w:rsidRDefault="00EB11CF" w:rsidP="00AC502A">
      <w:pPr>
        <w:pStyle w:val="ListParagraph"/>
        <w:numPr>
          <w:ilvl w:val="1"/>
          <w:numId w:val="2"/>
        </w:numPr>
        <w:spacing w:after="240"/>
        <w:ind w:left="720" w:hanging="720"/>
      </w:pPr>
      <w:r w:rsidRPr="005E3E41">
        <w:rPr>
          <w:rFonts w:ascii="Arial" w:hAnsi="Arial" w:cs="Arial"/>
        </w:rPr>
        <w:t xml:space="preserve">The PCC is a net investor and expects a negative liability benchmark up to and including 2026/27, meaning that there is not currently a requirement to undertake new borrowing either internally or externally. It is expected that a forecast reduction in balance sheet resources will result in a positive liability benchmark as at 31 March 2027, however the liability benchmarking will be at or below the current level of external borrowing (after the recent repayment), </w:t>
      </w:r>
      <w:r w:rsidRPr="005E3E41">
        <w:rPr>
          <w:rFonts w:ascii="Arial" w:hAnsi="Arial" w:cs="Arial"/>
        </w:rPr>
        <w:lastRenderedPageBreak/>
        <w:t xml:space="preserve">which indicates that no further borrowing will be necessary in the forecast period. </w:t>
      </w:r>
    </w:p>
    <w:p w14:paraId="1CBD089D" w14:textId="08EA69D8" w:rsidR="00F5079D" w:rsidRPr="00552B0C" w:rsidRDefault="00F5079D" w:rsidP="00AC502A"/>
    <w:p w14:paraId="2781C0D5" w14:textId="16F8DD05" w:rsidR="006A2DD0" w:rsidRPr="008C30BA" w:rsidRDefault="00F613B7" w:rsidP="003C3808">
      <w:pPr>
        <w:keepNext/>
        <w:numPr>
          <w:ilvl w:val="0"/>
          <w:numId w:val="2"/>
        </w:numPr>
        <w:tabs>
          <w:tab w:val="num" w:pos="720"/>
        </w:tabs>
        <w:spacing w:after="240"/>
        <w:ind w:left="431" w:hanging="431"/>
        <w:outlineLvl w:val="0"/>
        <w:rPr>
          <w:rFonts w:ascii="Arial" w:hAnsi="Arial" w:cs="Arial"/>
          <w:b/>
        </w:rPr>
      </w:pPr>
      <w:r w:rsidRPr="008C30BA">
        <w:rPr>
          <w:rFonts w:ascii="Arial" w:hAnsi="Arial" w:cs="Arial"/>
          <w:b/>
        </w:rPr>
        <w:t xml:space="preserve">Borrowing </w:t>
      </w:r>
      <w:r w:rsidR="008C30BA" w:rsidRPr="008C30BA">
        <w:rPr>
          <w:rFonts w:ascii="Arial" w:hAnsi="Arial" w:cs="Arial"/>
          <w:b/>
        </w:rPr>
        <w:t>Strategy</w:t>
      </w:r>
      <w:r w:rsidR="004F0445">
        <w:rPr>
          <w:rFonts w:ascii="Arial" w:hAnsi="Arial" w:cs="Arial"/>
          <w:b/>
        </w:rPr>
        <w:t xml:space="preserve"> and Activity</w:t>
      </w:r>
    </w:p>
    <w:p w14:paraId="6C37173F" w14:textId="2C2350CD" w:rsidR="00C92798" w:rsidRPr="00C92798" w:rsidRDefault="00C92798" w:rsidP="00AC502A">
      <w:pPr>
        <w:pStyle w:val="ListParagraph"/>
        <w:numPr>
          <w:ilvl w:val="1"/>
          <w:numId w:val="2"/>
        </w:numPr>
        <w:spacing w:after="240"/>
        <w:ind w:left="720" w:hanging="720"/>
        <w:rPr>
          <w:rFonts w:ascii="Arial" w:hAnsi="Arial" w:cs="Arial"/>
        </w:rPr>
      </w:pPr>
      <w:r w:rsidRPr="00C92798">
        <w:rPr>
          <w:rFonts w:ascii="Arial" w:hAnsi="Arial" w:cs="Arial"/>
        </w:rPr>
        <w:t xml:space="preserve">As outlined in the treasury strategy, the </w:t>
      </w:r>
      <w:r>
        <w:rPr>
          <w:rFonts w:ascii="Arial" w:hAnsi="Arial" w:cs="Arial"/>
        </w:rPr>
        <w:t>PCC</w:t>
      </w:r>
      <w:r w:rsidRPr="00C92798">
        <w:rPr>
          <w:rFonts w:ascii="Arial" w:hAnsi="Arial" w:cs="Arial"/>
        </w:rPr>
        <w:t xml:space="preserve">’s chief objective when borrowing has been to strike an appropriately low risk balance between securing lower interest costs and achieving cost certainty over the period for which funds are required, with flexibility to renegotiate loans should the </w:t>
      </w:r>
      <w:r>
        <w:rPr>
          <w:rFonts w:ascii="Arial" w:hAnsi="Arial" w:cs="Arial"/>
        </w:rPr>
        <w:t>PCC</w:t>
      </w:r>
      <w:r w:rsidRPr="00C92798">
        <w:rPr>
          <w:rFonts w:ascii="Arial" w:hAnsi="Arial" w:cs="Arial"/>
        </w:rPr>
        <w:t xml:space="preserve">’s long-term plans change being a secondary objective. The </w:t>
      </w:r>
      <w:r w:rsidR="00C83E3A">
        <w:rPr>
          <w:rFonts w:ascii="Arial" w:hAnsi="Arial" w:cs="Arial"/>
        </w:rPr>
        <w:t>PCC</w:t>
      </w:r>
      <w:r w:rsidR="00D642F7">
        <w:rPr>
          <w:rFonts w:ascii="Arial" w:hAnsi="Arial" w:cs="Arial"/>
        </w:rPr>
        <w:t>’</w:t>
      </w:r>
      <w:r w:rsidRPr="00C92798">
        <w:rPr>
          <w:rFonts w:ascii="Arial" w:hAnsi="Arial" w:cs="Arial"/>
        </w:rPr>
        <w:t>s borrowing strategy continues to address the key issue of affordability without compromising the longer-term stability of the debt portfolio.</w:t>
      </w:r>
    </w:p>
    <w:p w14:paraId="0FB88875" w14:textId="5332730D" w:rsidR="00C92798" w:rsidRPr="00686131" w:rsidRDefault="00C92798" w:rsidP="007F0670">
      <w:pPr>
        <w:pStyle w:val="ListParagraph"/>
        <w:numPr>
          <w:ilvl w:val="1"/>
          <w:numId w:val="2"/>
        </w:numPr>
        <w:spacing w:after="240"/>
        <w:ind w:left="720" w:hanging="720"/>
        <w:rPr>
          <w:rFonts w:ascii="Arial" w:hAnsi="Arial" w:cs="Arial"/>
        </w:rPr>
      </w:pPr>
      <w:r w:rsidRPr="00C92798">
        <w:rPr>
          <w:rFonts w:ascii="Arial" w:hAnsi="Arial" w:cs="Arial"/>
        </w:rPr>
        <w:t xml:space="preserve">Interest rates have seen substantial rises over the last two years, although these rises have now begun to plateau. Gilt yields fell in late 2023, </w:t>
      </w:r>
      <w:r w:rsidR="00EF20A9">
        <w:rPr>
          <w:rFonts w:ascii="Arial" w:hAnsi="Arial" w:cs="Arial"/>
        </w:rPr>
        <w:t xml:space="preserve">by </w:t>
      </w:r>
      <w:r w:rsidR="00ED1639">
        <w:rPr>
          <w:rFonts w:ascii="Arial" w:hAnsi="Arial" w:cs="Arial"/>
        </w:rPr>
        <w:t xml:space="preserve">December 2023 they had returned to the lows previously seen in </w:t>
      </w:r>
      <w:r w:rsidR="00430968">
        <w:rPr>
          <w:rFonts w:ascii="Arial" w:hAnsi="Arial" w:cs="Arial"/>
        </w:rPr>
        <w:t xml:space="preserve">April earlier that </w:t>
      </w:r>
      <w:proofErr w:type="gramStart"/>
      <w:r w:rsidR="00430968">
        <w:rPr>
          <w:rFonts w:ascii="Arial" w:hAnsi="Arial" w:cs="Arial"/>
        </w:rPr>
        <w:t>year</w:t>
      </w:r>
      <w:r w:rsidRPr="00C92798">
        <w:rPr>
          <w:rFonts w:ascii="Arial" w:hAnsi="Arial" w:cs="Arial"/>
        </w:rPr>
        <w:t xml:space="preserve"> </w:t>
      </w:r>
      <w:r w:rsidR="00430968">
        <w:rPr>
          <w:rFonts w:ascii="Arial" w:hAnsi="Arial" w:cs="Arial"/>
        </w:rPr>
        <w:t>,</w:t>
      </w:r>
      <w:proofErr w:type="gramEnd"/>
      <w:r w:rsidRPr="00C92798">
        <w:rPr>
          <w:rFonts w:ascii="Arial" w:hAnsi="Arial" w:cs="Arial"/>
        </w:rPr>
        <w:t xml:space="preserve"> before rebounding to an extent in the first three months of 2024. Gilt yields have remained volatile, seeing upward pressure from perceived sticker inflation at times and downward pressure from falling inflation and a struggling economy at other times.</w:t>
      </w:r>
    </w:p>
    <w:p w14:paraId="4E814BE8" w14:textId="5F8B7509" w:rsidR="00957A4E" w:rsidRPr="00496A0D" w:rsidRDefault="00514D86" w:rsidP="00C13431">
      <w:pPr>
        <w:pStyle w:val="ListParagraph"/>
        <w:numPr>
          <w:ilvl w:val="1"/>
          <w:numId w:val="2"/>
        </w:numPr>
        <w:spacing w:after="240"/>
        <w:ind w:left="720" w:hanging="720"/>
        <w:rPr>
          <w:rFonts w:ascii="Arial" w:hAnsi="Arial" w:cs="Arial"/>
        </w:rPr>
      </w:pPr>
      <w:r w:rsidRPr="00496A0D">
        <w:rPr>
          <w:rFonts w:ascii="Arial" w:hAnsi="Arial" w:cs="Arial"/>
        </w:rPr>
        <w:t>At 3</w:t>
      </w:r>
      <w:r w:rsidR="00D507B5" w:rsidRPr="00496A0D">
        <w:rPr>
          <w:rFonts w:ascii="Arial" w:hAnsi="Arial" w:cs="Arial"/>
        </w:rPr>
        <w:t>1</w:t>
      </w:r>
      <w:r w:rsidR="00F613B7" w:rsidRPr="00496A0D">
        <w:rPr>
          <w:rFonts w:ascii="Arial" w:hAnsi="Arial" w:cs="Arial"/>
        </w:rPr>
        <w:t xml:space="preserve"> March </w:t>
      </w:r>
      <w:r w:rsidRPr="00496A0D">
        <w:rPr>
          <w:rFonts w:ascii="Arial" w:hAnsi="Arial" w:cs="Arial"/>
        </w:rPr>
        <w:t>20</w:t>
      </w:r>
      <w:r w:rsidR="005C019B" w:rsidRPr="00496A0D">
        <w:rPr>
          <w:rFonts w:ascii="Arial" w:hAnsi="Arial" w:cs="Arial"/>
        </w:rPr>
        <w:t>2</w:t>
      </w:r>
      <w:r w:rsidR="00F67BBB">
        <w:rPr>
          <w:rFonts w:ascii="Arial" w:hAnsi="Arial" w:cs="Arial"/>
        </w:rPr>
        <w:t>4</w:t>
      </w:r>
      <w:r w:rsidRPr="00496A0D">
        <w:rPr>
          <w:rFonts w:ascii="Arial" w:hAnsi="Arial" w:cs="Arial"/>
        </w:rPr>
        <w:t xml:space="preserve"> the </w:t>
      </w:r>
      <w:r w:rsidR="00564BE3" w:rsidRPr="00496A0D">
        <w:rPr>
          <w:rFonts w:ascii="Arial" w:hAnsi="Arial" w:cs="Arial"/>
        </w:rPr>
        <w:t>PCC</w:t>
      </w:r>
      <w:r w:rsidRPr="00496A0D">
        <w:rPr>
          <w:rFonts w:ascii="Arial" w:hAnsi="Arial" w:cs="Arial"/>
        </w:rPr>
        <w:t xml:space="preserve"> held </w:t>
      </w:r>
      <w:r w:rsidR="00896CB5" w:rsidRPr="00496A0D">
        <w:rPr>
          <w:rFonts w:ascii="Arial" w:hAnsi="Arial" w:cs="Arial"/>
        </w:rPr>
        <w:t>£</w:t>
      </w:r>
      <w:r w:rsidR="009C51E8">
        <w:rPr>
          <w:rFonts w:ascii="Arial" w:hAnsi="Arial" w:cs="Arial"/>
        </w:rPr>
        <w:t>19.35</w:t>
      </w:r>
      <w:r w:rsidR="001544D3" w:rsidRPr="00496A0D">
        <w:rPr>
          <w:rFonts w:ascii="Arial" w:hAnsi="Arial" w:cs="Arial"/>
        </w:rPr>
        <w:t>m</w:t>
      </w:r>
      <w:r w:rsidRPr="00496A0D">
        <w:rPr>
          <w:rFonts w:ascii="Arial" w:hAnsi="Arial" w:cs="Arial"/>
        </w:rPr>
        <w:t xml:space="preserve"> of loans </w:t>
      </w:r>
      <w:r w:rsidR="003B4B0C">
        <w:rPr>
          <w:rFonts w:ascii="Arial" w:hAnsi="Arial" w:cs="Arial"/>
        </w:rPr>
        <w:t>(a decrease of £10</w:t>
      </w:r>
      <w:r w:rsidR="001F07B3">
        <w:rPr>
          <w:rFonts w:ascii="Arial" w:hAnsi="Arial" w:cs="Arial"/>
        </w:rPr>
        <w:t>.35</w:t>
      </w:r>
      <w:r w:rsidR="003B4B0C">
        <w:rPr>
          <w:rFonts w:ascii="Arial" w:hAnsi="Arial" w:cs="Arial"/>
        </w:rPr>
        <w:t>m</w:t>
      </w:r>
      <w:r w:rsidRPr="00496A0D">
        <w:rPr>
          <w:rFonts w:ascii="Arial" w:hAnsi="Arial" w:cs="Arial"/>
        </w:rPr>
        <w:t xml:space="preserve"> </w:t>
      </w:r>
      <w:r w:rsidR="0003728D">
        <w:rPr>
          <w:rFonts w:ascii="Arial" w:hAnsi="Arial" w:cs="Arial"/>
        </w:rPr>
        <w:t>from 31 March 2023)</w:t>
      </w:r>
      <w:r w:rsidRPr="00496A0D">
        <w:rPr>
          <w:rFonts w:ascii="Arial" w:hAnsi="Arial" w:cs="Arial"/>
        </w:rPr>
        <w:t xml:space="preserve"> </w:t>
      </w:r>
      <w:r w:rsidR="00F613B7" w:rsidRPr="00496A0D">
        <w:rPr>
          <w:rFonts w:ascii="Arial" w:hAnsi="Arial" w:cs="Arial"/>
        </w:rPr>
        <w:t>as</w:t>
      </w:r>
      <w:r w:rsidRPr="00496A0D">
        <w:rPr>
          <w:rFonts w:ascii="Arial" w:hAnsi="Arial" w:cs="Arial"/>
        </w:rPr>
        <w:t xml:space="preserve"> part of its strategy for funding previous years’ capital programmes.  </w:t>
      </w:r>
      <w:r w:rsidR="00F613B7" w:rsidRPr="00496A0D">
        <w:rPr>
          <w:rFonts w:ascii="Arial" w:hAnsi="Arial" w:cs="Arial"/>
        </w:rPr>
        <w:t xml:space="preserve">The year-end treasury management borrowing position and year-on-year change </w:t>
      </w:r>
      <w:r w:rsidR="00BA080F" w:rsidRPr="00496A0D">
        <w:rPr>
          <w:rFonts w:ascii="Arial" w:hAnsi="Arial" w:cs="Arial"/>
        </w:rPr>
        <w:t>are summarised</w:t>
      </w:r>
      <w:r w:rsidR="00F613B7" w:rsidRPr="00496A0D">
        <w:rPr>
          <w:rFonts w:ascii="Arial" w:hAnsi="Arial" w:cs="Arial"/>
        </w:rPr>
        <w:t xml:space="preserve"> in Table </w:t>
      </w:r>
      <w:r w:rsidR="00C13431" w:rsidRPr="00496A0D">
        <w:rPr>
          <w:rFonts w:ascii="Arial" w:hAnsi="Arial" w:cs="Arial"/>
        </w:rPr>
        <w:t>3.</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7"/>
        <w:gridCol w:w="1417"/>
        <w:gridCol w:w="1417"/>
        <w:gridCol w:w="1417"/>
        <w:gridCol w:w="1417"/>
      </w:tblGrid>
      <w:tr w:rsidR="001544D3" w:rsidRPr="00904CAF" w14:paraId="09565C8F" w14:textId="77777777" w:rsidTr="00AC502A">
        <w:trPr>
          <w:jc w:val="center"/>
        </w:trPr>
        <w:tc>
          <w:tcPr>
            <w:tcW w:w="2943" w:type="dxa"/>
            <w:tcBorders>
              <w:top w:val="single" w:sz="4" w:space="0" w:color="auto"/>
            </w:tcBorders>
            <w:shd w:val="clear" w:color="auto" w:fill="auto"/>
          </w:tcPr>
          <w:p w14:paraId="0B529EB3" w14:textId="348DF5C4" w:rsidR="001544D3" w:rsidRPr="00904CAF" w:rsidRDefault="001544D3" w:rsidP="001544D3">
            <w:pPr>
              <w:pStyle w:val="ListParagraph"/>
              <w:ind w:left="0"/>
              <w:rPr>
                <w:rFonts w:ascii="Arial" w:hAnsi="Arial" w:cs="Arial"/>
                <w:b/>
                <w:bCs/>
              </w:rPr>
            </w:pPr>
            <w:r w:rsidRPr="00904CAF">
              <w:rPr>
                <w:rFonts w:ascii="Arial" w:hAnsi="Arial" w:cs="Arial"/>
                <w:b/>
                <w:bCs/>
              </w:rPr>
              <w:t>Table 3: Borrowing position</w:t>
            </w:r>
          </w:p>
        </w:tc>
        <w:tc>
          <w:tcPr>
            <w:tcW w:w="1417" w:type="dxa"/>
            <w:tcBorders>
              <w:top w:val="single" w:sz="4" w:space="0" w:color="auto"/>
            </w:tcBorders>
            <w:vAlign w:val="bottom"/>
          </w:tcPr>
          <w:p w14:paraId="09CDA66F" w14:textId="0415C19A" w:rsidR="001544D3" w:rsidRPr="00904CAF" w:rsidRDefault="001544D3" w:rsidP="001544D3">
            <w:pPr>
              <w:pStyle w:val="ListParagraph"/>
              <w:ind w:left="0"/>
              <w:jc w:val="right"/>
              <w:rPr>
                <w:rFonts w:ascii="Arial" w:hAnsi="Arial" w:cs="Arial"/>
                <w:b/>
                <w:bCs/>
              </w:rPr>
            </w:pPr>
            <w:r w:rsidRPr="00904CAF">
              <w:rPr>
                <w:rFonts w:ascii="Arial" w:hAnsi="Arial" w:cs="Arial"/>
                <w:b/>
                <w:bCs/>
              </w:rPr>
              <w:t>31/03/2</w:t>
            </w:r>
            <w:r w:rsidR="009C51E8">
              <w:rPr>
                <w:rFonts w:ascii="Arial" w:hAnsi="Arial" w:cs="Arial"/>
                <w:b/>
                <w:bCs/>
              </w:rPr>
              <w:t>3</w:t>
            </w:r>
            <w:r w:rsidRPr="00904CAF">
              <w:rPr>
                <w:rFonts w:ascii="Arial" w:hAnsi="Arial" w:cs="Arial"/>
                <w:b/>
                <w:bCs/>
              </w:rPr>
              <w:br/>
              <w:t>Balance</w:t>
            </w:r>
            <w:r w:rsidRPr="00904CAF">
              <w:rPr>
                <w:rFonts w:ascii="Arial" w:hAnsi="Arial" w:cs="Arial"/>
                <w:b/>
                <w:bCs/>
              </w:rPr>
              <w:br/>
            </w:r>
            <w:r w:rsidRPr="00904CAF">
              <w:rPr>
                <w:rFonts w:ascii="Arial" w:hAnsi="Arial" w:cs="Arial"/>
                <w:b/>
                <w:bCs/>
              </w:rPr>
              <w:br/>
            </w:r>
            <w:r w:rsidRPr="00904CAF">
              <w:rPr>
                <w:rFonts w:ascii="Arial" w:hAnsi="Arial" w:cs="Arial"/>
                <w:b/>
                <w:bCs/>
              </w:rPr>
              <w:br/>
              <w:t>£m</w:t>
            </w:r>
          </w:p>
        </w:tc>
        <w:tc>
          <w:tcPr>
            <w:tcW w:w="1417" w:type="dxa"/>
            <w:tcBorders>
              <w:top w:val="single" w:sz="4" w:space="0" w:color="auto"/>
            </w:tcBorders>
            <w:shd w:val="clear" w:color="auto" w:fill="auto"/>
            <w:vAlign w:val="bottom"/>
          </w:tcPr>
          <w:p w14:paraId="1900F844" w14:textId="6BF2C2D7" w:rsidR="001544D3" w:rsidRPr="00904CAF" w:rsidRDefault="001544D3" w:rsidP="001544D3">
            <w:pPr>
              <w:pStyle w:val="ListParagraph"/>
              <w:ind w:left="0"/>
              <w:jc w:val="right"/>
              <w:rPr>
                <w:rFonts w:ascii="Arial" w:hAnsi="Arial" w:cs="Arial"/>
                <w:b/>
                <w:bCs/>
              </w:rPr>
            </w:pPr>
            <w:r w:rsidRPr="00904CAF">
              <w:rPr>
                <w:rFonts w:ascii="Arial" w:hAnsi="Arial" w:cs="Arial"/>
                <w:b/>
                <w:bCs/>
              </w:rPr>
              <w:t>Net movement</w:t>
            </w:r>
            <w:r w:rsidRPr="00904CAF">
              <w:rPr>
                <w:rFonts w:ascii="Arial" w:hAnsi="Arial" w:cs="Arial"/>
                <w:b/>
                <w:bCs/>
              </w:rPr>
              <w:br/>
            </w:r>
            <w:r w:rsidRPr="00904CAF">
              <w:rPr>
                <w:rFonts w:ascii="Arial" w:hAnsi="Arial" w:cs="Arial"/>
                <w:b/>
                <w:bCs/>
              </w:rPr>
              <w:br/>
            </w:r>
            <w:r w:rsidRPr="00904CAF">
              <w:rPr>
                <w:rFonts w:ascii="Arial" w:hAnsi="Arial" w:cs="Arial"/>
                <w:b/>
                <w:bCs/>
              </w:rPr>
              <w:br/>
              <w:t>£m</w:t>
            </w:r>
          </w:p>
        </w:tc>
        <w:tc>
          <w:tcPr>
            <w:tcW w:w="1417" w:type="dxa"/>
            <w:tcBorders>
              <w:top w:val="single" w:sz="4" w:space="0" w:color="auto"/>
            </w:tcBorders>
            <w:shd w:val="clear" w:color="auto" w:fill="auto"/>
            <w:vAlign w:val="bottom"/>
          </w:tcPr>
          <w:p w14:paraId="5540FDAD" w14:textId="51B0D090" w:rsidR="001544D3" w:rsidRPr="00904CAF" w:rsidRDefault="001544D3" w:rsidP="001544D3">
            <w:pPr>
              <w:pStyle w:val="ListParagraph"/>
              <w:ind w:left="0"/>
              <w:jc w:val="right"/>
              <w:rPr>
                <w:rFonts w:ascii="Arial" w:hAnsi="Arial" w:cs="Arial"/>
                <w:b/>
                <w:bCs/>
              </w:rPr>
            </w:pPr>
            <w:r w:rsidRPr="00904CAF">
              <w:rPr>
                <w:rFonts w:ascii="Arial" w:hAnsi="Arial" w:cs="Arial"/>
                <w:b/>
                <w:bCs/>
              </w:rPr>
              <w:t>31/03/2</w:t>
            </w:r>
            <w:r w:rsidR="009C51E8">
              <w:rPr>
                <w:rFonts w:ascii="Arial" w:hAnsi="Arial" w:cs="Arial"/>
                <w:b/>
                <w:bCs/>
              </w:rPr>
              <w:t>4</w:t>
            </w:r>
            <w:r w:rsidRPr="00904CAF">
              <w:rPr>
                <w:rFonts w:ascii="Arial" w:hAnsi="Arial" w:cs="Arial"/>
                <w:b/>
                <w:bCs/>
              </w:rPr>
              <w:br/>
              <w:t>Balance</w:t>
            </w:r>
            <w:r w:rsidRPr="00904CAF">
              <w:rPr>
                <w:rFonts w:ascii="Arial" w:hAnsi="Arial" w:cs="Arial"/>
                <w:b/>
                <w:bCs/>
              </w:rPr>
              <w:br/>
            </w:r>
            <w:r w:rsidRPr="00904CAF">
              <w:rPr>
                <w:rFonts w:ascii="Arial" w:hAnsi="Arial" w:cs="Arial"/>
                <w:b/>
                <w:bCs/>
              </w:rPr>
              <w:br/>
            </w:r>
            <w:r w:rsidRPr="00904CAF">
              <w:rPr>
                <w:rFonts w:ascii="Arial" w:hAnsi="Arial" w:cs="Arial"/>
                <w:b/>
                <w:bCs/>
              </w:rPr>
              <w:br/>
              <w:t>£m</w:t>
            </w:r>
          </w:p>
        </w:tc>
        <w:tc>
          <w:tcPr>
            <w:tcW w:w="1417" w:type="dxa"/>
            <w:tcBorders>
              <w:top w:val="single" w:sz="4" w:space="0" w:color="auto"/>
            </w:tcBorders>
            <w:shd w:val="clear" w:color="auto" w:fill="auto"/>
            <w:vAlign w:val="bottom"/>
          </w:tcPr>
          <w:p w14:paraId="3950BFCC" w14:textId="073E172E" w:rsidR="001544D3" w:rsidRPr="00904CAF" w:rsidRDefault="001544D3" w:rsidP="001544D3">
            <w:pPr>
              <w:pStyle w:val="ListParagraph"/>
              <w:ind w:left="0"/>
              <w:jc w:val="right"/>
              <w:rPr>
                <w:rFonts w:ascii="Arial" w:hAnsi="Arial" w:cs="Arial"/>
                <w:b/>
                <w:bCs/>
              </w:rPr>
            </w:pPr>
            <w:r w:rsidRPr="00904CAF">
              <w:rPr>
                <w:rFonts w:ascii="Arial" w:hAnsi="Arial" w:cs="Arial"/>
                <w:b/>
                <w:bCs/>
              </w:rPr>
              <w:t>31/03/2</w:t>
            </w:r>
            <w:r w:rsidR="009C51E8">
              <w:rPr>
                <w:rFonts w:ascii="Arial" w:hAnsi="Arial" w:cs="Arial"/>
                <w:b/>
                <w:bCs/>
              </w:rPr>
              <w:t>4</w:t>
            </w:r>
            <w:r w:rsidRPr="00904CAF">
              <w:rPr>
                <w:rFonts w:ascii="Arial" w:hAnsi="Arial" w:cs="Arial"/>
                <w:b/>
                <w:bCs/>
              </w:rPr>
              <w:br/>
              <w:t>Weighted average rate</w:t>
            </w:r>
            <w:r w:rsidRPr="00904CAF">
              <w:rPr>
                <w:rFonts w:ascii="Arial" w:hAnsi="Arial" w:cs="Arial"/>
                <w:b/>
                <w:bCs/>
              </w:rPr>
              <w:br/>
              <w:t>%</w:t>
            </w:r>
          </w:p>
        </w:tc>
        <w:tc>
          <w:tcPr>
            <w:tcW w:w="1417" w:type="dxa"/>
            <w:tcBorders>
              <w:top w:val="single" w:sz="4" w:space="0" w:color="auto"/>
            </w:tcBorders>
            <w:shd w:val="clear" w:color="auto" w:fill="auto"/>
            <w:vAlign w:val="bottom"/>
          </w:tcPr>
          <w:p w14:paraId="69DAC8CD" w14:textId="740C04A4" w:rsidR="001544D3" w:rsidRPr="00904CAF" w:rsidRDefault="001544D3" w:rsidP="001544D3">
            <w:pPr>
              <w:pStyle w:val="ListParagraph"/>
              <w:ind w:left="0"/>
              <w:jc w:val="right"/>
              <w:rPr>
                <w:rFonts w:ascii="Arial" w:hAnsi="Arial" w:cs="Arial"/>
                <w:b/>
                <w:bCs/>
              </w:rPr>
            </w:pPr>
            <w:r w:rsidRPr="00904CAF">
              <w:rPr>
                <w:rFonts w:ascii="Arial" w:hAnsi="Arial" w:cs="Arial"/>
                <w:b/>
                <w:bCs/>
              </w:rPr>
              <w:t>31/03/2</w:t>
            </w:r>
            <w:r w:rsidR="009C51E8">
              <w:rPr>
                <w:rFonts w:ascii="Arial" w:hAnsi="Arial" w:cs="Arial"/>
                <w:b/>
                <w:bCs/>
              </w:rPr>
              <w:t>4</w:t>
            </w:r>
            <w:r w:rsidRPr="00904CAF">
              <w:rPr>
                <w:rFonts w:ascii="Arial" w:hAnsi="Arial" w:cs="Arial"/>
                <w:b/>
                <w:bCs/>
              </w:rPr>
              <w:br/>
              <w:t>Weighted average maturity</w:t>
            </w:r>
            <w:r w:rsidRPr="00904CAF">
              <w:rPr>
                <w:rFonts w:ascii="Arial" w:hAnsi="Arial" w:cs="Arial"/>
                <w:b/>
                <w:bCs/>
              </w:rPr>
              <w:br/>
              <w:t>(years)</w:t>
            </w:r>
          </w:p>
        </w:tc>
      </w:tr>
      <w:tr w:rsidR="00440321" w:rsidRPr="00904CAF" w14:paraId="30FD57D4" w14:textId="77777777" w:rsidTr="00AC502A">
        <w:trPr>
          <w:jc w:val="center"/>
        </w:trPr>
        <w:tc>
          <w:tcPr>
            <w:tcW w:w="2943" w:type="dxa"/>
            <w:shd w:val="clear" w:color="auto" w:fill="auto"/>
          </w:tcPr>
          <w:p w14:paraId="512985A2" w14:textId="77777777" w:rsidR="00440321" w:rsidRPr="00904CAF" w:rsidRDefault="00440321" w:rsidP="00440321">
            <w:pPr>
              <w:pStyle w:val="ListParagraph"/>
              <w:ind w:left="0"/>
              <w:rPr>
                <w:rFonts w:ascii="Arial" w:hAnsi="Arial" w:cs="Arial"/>
              </w:rPr>
            </w:pPr>
            <w:r w:rsidRPr="00904CAF">
              <w:rPr>
                <w:rFonts w:ascii="Arial" w:hAnsi="Arial" w:cs="Arial"/>
              </w:rPr>
              <w:t>Public Works Loan Board</w:t>
            </w:r>
          </w:p>
        </w:tc>
        <w:tc>
          <w:tcPr>
            <w:tcW w:w="1417" w:type="dxa"/>
            <w:vAlign w:val="center"/>
          </w:tcPr>
          <w:p w14:paraId="2692F708" w14:textId="0C1B0BFB" w:rsidR="00440321" w:rsidRPr="00904CAF" w:rsidRDefault="00440321" w:rsidP="00440321">
            <w:pPr>
              <w:pStyle w:val="ListParagraph"/>
              <w:ind w:left="0"/>
              <w:jc w:val="right"/>
              <w:rPr>
                <w:rFonts w:ascii="Arial" w:hAnsi="Arial" w:cs="Arial"/>
              </w:rPr>
            </w:pPr>
            <w:r>
              <w:rPr>
                <w:rFonts w:ascii="Arial" w:hAnsi="Arial" w:cs="Arial"/>
              </w:rPr>
              <w:t>(29.</w:t>
            </w:r>
            <w:r w:rsidR="001F07B3">
              <w:rPr>
                <w:rFonts w:ascii="Arial" w:hAnsi="Arial" w:cs="Arial"/>
              </w:rPr>
              <w:t>70</w:t>
            </w:r>
            <w:r>
              <w:rPr>
                <w:rFonts w:ascii="Arial" w:hAnsi="Arial" w:cs="Arial"/>
              </w:rPr>
              <w:t>)</w:t>
            </w:r>
          </w:p>
        </w:tc>
        <w:tc>
          <w:tcPr>
            <w:tcW w:w="1417" w:type="dxa"/>
            <w:shd w:val="clear" w:color="auto" w:fill="auto"/>
            <w:vAlign w:val="center"/>
          </w:tcPr>
          <w:p w14:paraId="15960BD4" w14:textId="04A74E2A" w:rsidR="00440321" w:rsidRPr="00904CAF" w:rsidRDefault="00440321" w:rsidP="00440321">
            <w:pPr>
              <w:pStyle w:val="ListParagraph"/>
              <w:ind w:left="0"/>
              <w:jc w:val="right"/>
              <w:rPr>
                <w:rFonts w:ascii="Arial" w:hAnsi="Arial" w:cs="Arial"/>
              </w:rPr>
            </w:pPr>
            <w:r>
              <w:rPr>
                <w:rFonts w:ascii="Arial" w:hAnsi="Arial" w:cs="Arial"/>
              </w:rPr>
              <w:t>10.</w:t>
            </w:r>
            <w:r w:rsidR="001F07B3">
              <w:rPr>
                <w:rFonts w:ascii="Arial" w:hAnsi="Arial" w:cs="Arial"/>
              </w:rPr>
              <w:t>3</w:t>
            </w:r>
            <w:r>
              <w:rPr>
                <w:rFonts w:ascii="Arial" w:hAnsi="Arial" w:cs="Arial"/>
              </w:rPr>
              <w:t>5</w:t>
            </w:r>
          </w:p>
        </w:tc>
        <w:tc>
          <w:tcPr>
            <w:tcW w:w="1417" w:type="dxa"/>
            <w:shd w:val="clear" w:color="auto" w:fill="auto"/>
            <w:vAlign w:val="center"/>
          </w:tcPr>
          <w:p w14:paraId="385091A4" w14:textId="76028DD8" w:rsidR="00440321" w:rsidRPr="00904CAF" w:rsidRDefault="00440321" w:rsidP="00440321">
            <w:pPr>
              <w:pStyle w:val="ListParagraph"/>
              <w:ind w:left="0"/>
              <w:jc w:val="right"/>
              <w:rPr>
                <w:rFonts w:ascii="Arial" w:hAnsi="Arial" w:cs="Arial"/>
              </w:rPr>
            </w:pPr>
            <w:r>
              <w:rPr>
                <w:rFonts w:ascii="Arial" w:hAnsi="Arial" w:cs="Arial"/>
              </w:rPr>
              <w:t>(19.35)</w:t>
            </w:r>
          </w:p>
        </w:tc>
        <w:tc>
          <w:tcPr>
            <w:tcW w:w="1417" w:type="dxa"/>
            <w:shd w:val="clear" w:color="auto" w:fill="auto"/>
            <w:vAlign w:val="center"/>
          </w:tcPr>
          <w:p w14:paraId="05F02150" w14:textId="5B08834A" w:rsidR="00440321" w:rsidRPr="00904CAF" w:rsidRDefault="00440321" w:rsidP="00440321">
            <w:pPr>
              <w:pStyle w:val="ListParagraph"/>
              <w:ind w:left="0"/>
              <w:jc w:val="right"/>
              <w:rPr>
                <w:rFonts w:ascii="Arial" w:hAnsi="Arial" w:cs="Arial"/>
              </w:rPr>
            </w:pPr>
            <w:r>
              <w:rPr>
                <w:rFonts w:ascii="Arial" w:hAnsi="Arial" w:cs="Arial"/>
              </w:rPr>
              <w:t>4.25</w:t>
            </w:r>
          </w:p>
        </w:tc>
        <w:tc>
          <w:tcPr>
            <w:tcW w:w="1417" w:type="dxa"/>
            <w:shd w:val="clear" w:color="auto" w:fill="auto"/>
            <w:vAlign w:val="center"/>
          </w:tcPr>
          <w:p w14:paraId="683AC0A5" w14:textId="53CBC4D9" w:rsidR="00440321" w:rsidRPr="00904CAF" w:rsidRDefault="00440321" w:rsidP="00440321">
            <w:pPr>
              <w:pStyle w:val="ListParagraph"/>
              <w:ind w:left="0"/>
              <w:jc w:val="right"/>
              <w:rPr>
                <w:rFonts w:ascii="Arial" w:hAnsi="Arial" w:cs="Arial"/>
              </w:rPr>
            </w:pPr>
            <w:r>
              <w:rPr>
                <w:rFonts w:ascii="Arial" w:hAnsi="Arial" w:cs="Arial"/>
              </w:rPr>
              <w:t>9.31</w:t>
            </w:r>
          </w:p>
        </w:tc>
      </w:tr>
      <w:tr w:rsidR="00440321" w:rsidRPr="00904CAF" w14:paraId="5C6E2AC5" w14:textId="77777777" w:rsidTr="00AC502A">
        <w:trPr>
          <w:jc w:val="center"/>
        </w:trPr>
        <w:tc>
          <w:tcPr>
            <w:tcW w:w="2943" w:type="dxa"/>
            <w:shd w:val="clear" w:color="auto" w:fill="auto"/>
          </w:tcPr>
          <w:p w14:paraId="021F2A59" w14:textId="77777777" w:rsidR="00440321" w:rsidRPr="00904CAF" w:rsidRDefault="00440321" w:rsidP="00440321">
            <w:pPr>
              <w:pStyle w:val="ListParagraph"/>
              <w:ind w:left="0"/>
              <w:rPr>
                <w:rFonts w:ascii="Arial" w:hAnsi="Arial" w:cs="Arial"/>
                <w:b/>
                <w:bCs/>
              </w:rPr>
            </w:pPr>
            <w:r w:rsidRPr="00904CAF">
              <w:rPr>
                <w:rFonts w:ascii="Arial" w:hAnsi="Arial" w:cs="Arial"/>
                <w:b/>
                <w:bCs/>
              </w:rPr>
              <w:t>Total borrowing</w:t>
            </w:r>
          </w:p>
        </w:tc>
        <w:tc>
          <w:tcPr>
            <w:tcW w:w="1417" w:type="dxa"/>
            <w:vAlign w:val="center"/>
          </w:tcPr>
          <w:p w14:paraId="00B076DE" w14:textId="4B4B91B3" w:rsidR="00440321" w:rsidRPr="00904CAF" w:rsidRDefault="00440321" w:rsidP="00440321">
            <w:pPr>
              <w:pStyle w:val="ListParagraph"/>
              <w:ind w:left="0"/>
              <w:jc w:val="right"/>
              <w:rPr>
                <w:rFonts w:ascii="Arial" w:hAnsi="Arial" w:cs="Arial"/>
                <w:b/>
                <w:bCs/>
              </w:rPr>
            </w:pPr>
            <w:r>
              <w:rPr>
                <w:rFonts w:ascii="Arial" w:hAnsi="Arial" w:cs="Arial"/>
                <w:b/>
                <w:bCs/>
              </w:rPr>
              <w:t>(29.7</w:t>
            </w:r>
            <w:r w:rsidR="001F07B3">
              <w:rPr>
                <w:rFonts w:ascii="Arial" w:hAnsi="Arial" w:cs="Arial"/>
                <w:b/>
                <w:bCs/>
              </w:rPr>
              <w:t>0</w:t>
            </w:r>
            <w:r>
              <w:rPr>
                <w:rFonts w:ascii="Arial" w:hAnsi="Arial" w:cs="Arial"/>
                <w:b/>
                <w:bCs/>
              </w:rPr>
              <w:t>)</w:t>
            </w:r>
          </w:p>
        </w:tc>
        <w:tc>
          <w:tcPr>
            <w:tcW w:w="1417" w:type="dxa"/>
            <w:shd w:val="clear" w:color="auto" w:fill="auto"/>
            <w:vAlign w:val="center"/>
          </w:tcPr>
          <w:p w14:paraId="54850975" w14:textId="2D215AD8" w:rsidR="00440321" w:rsidRPr="00904CAF" w:rsidRDefault="00440321" w:rsidP="00440321">
            <w:pPr>
              <w:pStyle w:val="ListParagraph"/>
              <w:ind w:left="0"/>
              <w:jc w:val="right"/>
              <w:rPr>
                <w:rFonts w:ascii="Arial" w:hAnsi="Arial" w:cs="Arial"/>
                <w:b/>
                <w:bCs/>
              </w:rPr>
            </w:pPr>
            <w:r>
              <w:rPr>
                <w:rFonts w:ascii="Arial" w:hAnsi="Arial" w:cs="Arial"/>
                <w:b/>
                <w:bCs/>
              </w:rPr>
              <w:t>10.</w:t>
            </w:r>
            <w:r w:rsidR="001F07B3">
              <w:rPr>
                <w:rFonts w:ascii="Arial" w:hAnsi="Arial" w:cs="Arial"/>
                <w:b/>
                <w:bCs/>
              </w:rPr>
              <w:t>3</w:t>
            </w:r>
            <w:r>
              <w:rPr>
                <w:rFonts w:ascii="Arial" w:hAnsi="Arial" w:cs="Arial"/>
                <w:b/>
                <w:bCs/>
              </w:rPr>
              <w:t>5</w:t>
            </w:r>
          </w:p>
        </w:tc>
        <w:tc>
          <w:tcPr>
            <w:tcW w:w="1417" w:type="dxa"/>
            <w:shd w:val="clear" w:color="auto" w:fill="auto"/>
            <w:vAlign w:val="center"/>
          </w:tcPr>
          <w:p w14:paraId="0EC8B1E8" w14:textId="73A6C9A3" w:rsidR="00440321" w:rsidRPr="00904CAF" w:rsidRDefault="00440321" w:rsidP="00440321">
            <w:pPr>
              <w:pStyle w:val="ListParagraph"/>
              <w:ind w:left="0"/>
              <w:jc w:val="right"/>
              <w:rPr>
                <w:rFonts w:ascii="Arial" w:hAnsi="Arial" w:cs="Arial"/>
                <w:b/>
                <w:bCs/>
              </w:rPr>
            </w:pPr>
            <w:r>
              <w:rPr>
                <w:rFonts w:ascii="Arial" w:hAnsi="Arial" w:cs="Arial"/>
                <w:b/>
                <w:bCs/>
              </w:rPr>
              <w:t>(19.35)</w:t>
            </w:r>
          </w:p>
        </w:tc>
        <w:tc>
          <w:tcPr>
            <w:tcW w:w="1417" w:type="dxa"/>
            <w:shd w:val="clear" w:color="auto" w:fill="auto"/>
            <w:vAlign w:val="center"/>
          </w:tcPr>
          <w:p w14:paraId="445DC0F0" w14:textId="609262C1" w:rsidR="00440321" w:rsidRPr="00904CAF" w:rsidRDefault="00440321" w:rsidP="00440321">
            <w:pPr>
              <w:pStyle w:val="ListParagraph"/>
              <w:ind w:left="0"/>
              <w:jc w:val="right"/>
              <w:rPr>
                <w:rFonts w:ascii="Arial" w:hAnsi="Arial" w:cs="Arial"/>
                <w:b/>
                <w:bCs/>
              </w:rPr>
            </w:pPr>
            <w:r>
              <w:rPr>
                <w:rFonts w:ascii="Arial" w:hAnsi="Arial" w:cs="Arial"/>
                <w:b/>
                <w:bCs/>
              </w:rPr>
              <w:t>4.25</w:t>
            </w:r>
          </w:p>
        </w:tc>
        <w:tc>
          <w:tcPr>
            <w:tcW w:w="1417" w:type="dxa"/>
            <w:shd w:val="clear" w:color="auto" w:fill="auto"/>
            <w:vAlign w:val="center"/>
          </w:tcPr>
          <w:p w14:paraId="5BBF7EBE" w14:textId="1FDD693F" w:rsidR="00440321" w:rsidRPr="00904CAF" w:rsidRDefault="00440321" w:rsidP="00440321">
            <w:pPr>
              <w:pStyle w:val="ListParagraph"/>
              <w:ind w:left="0"/>
              <w:jc w:val="right"/>
              <w:rPr>
                <w:rFonts w:ascii="Arial" w:hAnsi="Arial" w:cs="Arial"/>
                <w:b/>
                <w:bCs/>
              </w:rPr>
            </w:pPr>
            <w:r>
              <w:rPr>
                <w:rFonts w:ascii="Arial" w:hAnsi="Arial" w:cs="Arial"/>
                <w:b/>
                <w:bCs/>
              </w:rPr>
              <w:t>9.31</w:t>
            </w:r>
          </w:p>
        </w:tc>
      </w:tr>
    </w:tbl>
    <w:p w14:paraId="02411744" w14:textId="57A4590F" w:rsidR="00AF2316" w:rsidRPr="00AC502A" w:rsidRDefault="00AF2316" w:rsidP="00AF2316">
      <w:pPr>
        <w:pStyle w:val="ListParagraph"/>
        <w:spacing w:after="240"/>
        <w:rPr>
          <w:rFonts w:ascii="Arial" w:hAnsi="Arial" w:cs="Arial"/>
        </w:rPr>
      </w:pPr>
      <w:r w:rsidRPr="00AC502A">
        <w:rPr>
          <w:rFonts w:ascii="Arial" w:hAnsi="Arial" w:cs="Arial"/>
        </w:rPr>
        <w:t xml:space="preserve">Note: the figures in </w:t>
      </w:r>
      <w:r w:rsidR="00E139C4" w:rsidRPr="00AC502A">
        <w:rPr>
          <w:rFonts w:ascii="Arial" w:hAnsi="Arial" w:cs="Arial"/>
        </w:rPr>
        <w:t>T</w:t>
      </w:r>
      <w:r w:rsidRPr="00AC502A">
        <w:rPr>
          <w:rFonts w:ascii="Arial" w:hAnsi="Arial" w:cs="Arial"/>
        </w:rPr>
        <w:t xml:space="preserve">able </w:t>
      </w:r>
      <w:r w:rsidR="00E139C4" w:rsidRPr="00AC502A">
        <w:rPr>
          <w:rFonts w:ascii="Arial" w:hAnsi="Arial" w:cs="Arial"/>
        </w:rPr>
        <w:t>3</w:t>
      </w:r>
      <w:r w:rsidRPr="00AC502A">
        <w:rPr>
          <w:rFonts w:ascii="Arial" w:hAnsi="Arial" w:cs="Arial"/>
        </w:rPr>
        <w:t xml:space="preserve"> are from the balance sheet in the PCC’s statement of accou</w:t>
      </w:r>
      <w:r w:rsidR="00E40338" w:rsidRPr="00AC502A">
        <w:rPr>
          <w:rFonts w:ascii="Arial" w:hAnsi="Arial" w:cs="Arial"/>
        </w:rPr>
        <w:t>nts but adjusted to exclude</w:t>
      </w:r>
      <w:r w:rsidRPr="00AC502A">
        <w:rPr>
          <w:rFonts w:ascii="Arial" w:hAnsi="Arial" w:cs="Arial"/>
        </w:rPr>
        <w:t xml:space="preserve"> accrued interest.</w:t>
      </w:r>
    </w:p>
    <w:p w14:paraId="29631D1C" w14:textId="0C1B5115" w:rsidR="00057EAA" w:rsidRDefault="00057EAA" w:rsidP="00057EAA">
      <w:pPr>
        <w:pStyle w:val="ListParagraph"/>
        <w:numPr>
          <w:ilvl w:val="1"/>
          <w:numId w:val="2"/>
        </w:numPr>
        <w:spacing w:after="240"/>
        <w:ind w:left="720" w:hanging="720"/>
        <w:rPr>
          <w:rFonts w:ascii="Arial" w:hAnsi="Arial" w:cs="Arial"/>
        </w:rPr>
      </w:pPr>
      <w:r w:rsidRPr="00CA58B3">
        <w:rPr>
          <w:rFonts w:ascii="Arial" w:hAnsi="Arial" w:cs="Arial"/>
        </w:rPr>
        <w:t xml:space="preserve">With the changing interest rate environment, </w:t>
      </w:r>
      <w:r>
        <w:rPr>
          <w:rFonts w:ascii="Arial" w:hAnsi="Arial" w:cs="Arial"/>
        </w:rPr>
        <w:t xml:space="preserve">the </w:t>
      </w:r>
      <w:r w:rsidRPr="00CA58B3">
        <w:rPr>
          <w:rFonts w:ascii="Arial" w:hAnsi="Arial" w:cs="Arial"/>
        </w:rPr>
        <w:t xml:space="preserve">potential to repay existing PWLB debt </w:t>
      </w:r>
      <w:r w:rsidR="00FF6DD2">
        <w:rPr>
          <w:rFonts w:ascii="Arial" w:hAnsi="Arial" w:cs="Arial"/>
        </w:rPr>
        <w:t>in line with</w:t>
      </w:r>
      <w:r w:rsidRPr="00CA58B3">
        <w:rPr>
          <w:rFonts w:ascii="Arial" w:hAnsi="Arial" w:cs="Arial"/>
        </w:rPr>
        <w:t xml:space="preserve"> </w:t>
      </w:r>
      <w:r w:rsidR="00FF6DD2">
        <w:rPr>
          <w:rFonts w:ascii="Arial" w:hAnsi="Arial" w:cs="Arial"/>
        </w:rPr>
        <w:t xml:space="preserve">the </w:t>
      </w:r>
      <w:r w:rsidRPr="00CA58B3">
        <w:rPr>
          <w:rFonts w:ascii="Arial" w:hAnsi="Arial" w:cs="Arial"/>
        </w:rPr>
        <w:t xml:space="preserve">treasury management </w:t>
      </w:r>
      <w:r w:rsidR="00FF6DD2">
        <w:rPr>
          <w:rFonts w:ascii="Arial" w:hAnsi="Arial" w:cs="Arial"/>
        </w:rPr>
        <w:t xml:space="preserve">strategy </w:t>
      </w:r>
      <w:r w:rsidRPr="00CA58B3">
        <w:rPr>
          <w:rFonts w:ascii="Arial" w:hAnsi="Arial" w:cs="Arial"/>
        </w:rPr>
        <w:t xml:space="preserve">(so switching between external PWLB debt and internal borrowing) </w:t>
      </w:r>
      <w:r>
        <w:rPr>
          <w:rFonts w:ascii="Arial" w:hAnsi="Arial" w:cs="Arial"/>
        </w:rPr>
        <w:t xml:space="preserve">to </w:t>
      </w:r>
      <w:r w:rsidRPr="00CA58B3">
        <w:rPr>
          <w:rFonts w:ascii="Arial" w:hAnsi="Arial" w:cs="Arial"/>
        </w:rPr>
        <w:t>provid</w:t>
      </w:r>
      <w:r>
        <w:rPr>
          <w:rFonts w:ascii="Arial" w:hAnsi="Arial" w:cs="Arial"/>
        </w:rPr>
        <w:t>e</w:t>
      </w:r>
      <w:r w:rsidRPr="00CA58B3">
        <w:rPr>
          <w:rFonts w:ascii="Arial" w:hAnsi="Arial" w:cs="Arial"/>
        </w:rPr>
        <w:t xml:space="preserve"> a long-term interest rate saving</w:t>
      </w:r>
      <w:r>
        <w:rPr>
          <w:rFonts w:ascii="Arial" w:hAnsi="Arial" w:cs="Arial"/>
        </w:rPr>
        <w:t xml:space="preserve"> has been reviewed</w:t>
      </w:r>
      <w:r w:rsidRPr="00CA58B3">
        <w:rPr>
          <w:rFonts w:ascii="Arial" w:hAnsi="Arial" w:cs="Arial"/>
        </w:rPr>
        <w:t xml:space="preserve">. </w:t>
      </w:r>
    </w:p>
    <w:p w14:paraId="5A6079F6" w14:textId="517494AF" w:rsidR="00057EAA" w:rsidRDefault="00057EAA" w:rsidP="00057EAA">
      <w:pPr>
        <w:pStyle w:val="ListParagraph"/>
        <w:numPr>
          <w:ilvl w:val="1"/>
          <w:numId w:val="2"/>
        </w:numPr>
        <w:spacing w:after="240"/>
        <w:ind w:left="720" w:hanging="720"/>
        <w:rPr>
          <w:rFonts w:ascii="Arial" w:hAnsi="Arial" w:cs="Arial"/>
        </w:rPr>
      </w:pPr>
      <w:r w:rsidRPr="00CA58B3">
        <w:rPr>
          <w:rFonts w:ascii="Arial" w:hAnsi="Arial" w:cs="Arial"/>
        </w:rPr>
        <w:t xml:space="preserve">The market environment and in particular PWLB loan repayment rates </w:t>
      </w:r>
      <w:r>
        <w:rPr>
          <w:rFonts w:ascii="Arial" w:hAnsi="Arial" w:cs="Arial"/>
        </w:rPr>
        <w:t xml:space="preserve">were such that in August 2023 the repayment of a portion of PWLB debt became a </w:t>
      </w:r>
      <w:r>
        <w:rPr>
          <w:rFonts w:ascii="Arial" w:hAnsi="Arial" w:cs="Arial"/>
        </w:rPr>
        <w:lastRenderedPageBreak/>
        <w:t>realistic option. £10m of PWLB</w:t>
      </w:r>
      <w:r w:rsidRPr="00CA58B3">
        <w:rPr>
          <w:rFonts w:ascii="Arial" w:hAnsi="Arial" w:cs="Arial"/>
        </w:rPr>
        <w:t xml:space="preserve"> debt</w:t>
      </w:r>
      <w:r>
        <w:rPr>
          <w:rFonts w:ascii="Arial" w:hAnsi="Arial" w:cs="Arial"/>
        </w:rPr>
        <w:t>, with an average date to redemption of 13.5 years,</w:t>
      </w:r>
      <w:r w:rsidRPr="00CA58B3">
        <w:rPr>
          <w:rFonts w:ascii="Arial" w:hAnsi="Arial" w:cs="Arial"/>
        </w:rPr>
        <w:t xml:space="preserve"> </w:t>
      </w:r>
      <w:r>
        <w:rPr>
          <w:rFonts w:ascii="Arial" w:hAnsi="Arial" w:cs="Arial"/>
        </w:rPr>
        <w:t xml:space="preserve">was repaid in Quarter 2 of 2023/24 to take advantage of favourable redemption rates in accordance with advice taken from Arlingclose, securing an interest rate saving of </w:t>
      </w:r>
      <w:r w:rsidRPr="00E96E08">
        <w:rPr>
          <w:rFonts w:ascii="Arial" w:hAnsi="Arial" w:cs="Arial"/>
        </w:rPr>
        <w:t>4.</w:t>
      </w:r>
      <w:r>
        <w:rPr>
          <w:rFonts w:ascii="Arial" w:hAnsi="Arial" w:cs="Arial"/>
        </w:rPr>
        <w:t>42</w:t>
      </w:r>
      <w:r w:rsidRPr="00E96E08">
        <w:rPr>
          <w:rFonts w:ascii="Arial" w:hAnsi="Arial" w:cs="Arial"/>
        </w:rPr>
        <w:t>%</w:t>
      </w:r>
      <w:r>
        <w:rPr>
          <w:rFonts w:ascii="Arial" w:hAnsi="Arial" w:cs="Arial"/>
        </w:rPr>
        <w:t xml:space="preserve"> for the 13.5 years. </w:t>
      </w:r>
    </w:p>
    <w:p w14:paraId="2B9C17FE" w14:textId="77777777" w:rsidR="00057EAA" w:rsidRDefault="00057EAA" w:rsidP="00057EAA">
      <w:pPr>
        <w:pStyle w:val="ListParagraph"/>
        <w:numPr>
          <w:ilvl w:val="1"/>
          <w:numId w:val="2"/>
        </w:numPr>
        <w:spacing w:after="240"/>
        <w:ind w:left="720" w:hanging="720"/>
        <w:rPr>
          <w:rFonts w:ascii="Arial" w:hAnsi="Arial" w:cs="Arial"/>
        </w:rPr>
      </w:pPr>
      <w:r>
        <w:rPr>
          <w:rFonts w:ascii="Arial" w:hAnsi="Arial" w:cs="Arial"/>
        </w:rPr>
        <w:t xml:space="preserve">It is important to note that the underlying need to borrow has not reduced, and that this is a treasury management decision to switch between external PWLB debt to ‘internal borrowing’ (in lieu of investing the £10m cash, external debt has been repaid to effectively secure a ‘risk free’ interest saving/return of 4.42% for 13.5 years). </w:t>
      </w:r>
    </w:p>
    <w:p w14:paraId="54809751" w14:textId="4C887FCF" w:rsidR="001F2834" w:rsidRPr="00496A0D" w:rsidRDefault="00F4215F" w:rsidP="00034B50">
      <w:pPr>
        <w:pStyle w:val="ListParagraph"/>
        <w:numPr>
          <w:ilvl w:val="1"/>
          <w:numId w:val="2"/>
        </w:numPr>
        <w:spacing w:after="240"/>
        <w:ind w:left="720" w:hanging="720"/>
        <w:rPr>
          <w:rFonts w:ascii="Arial" w:hAnsi="Arial" w:cs="Arial"/>
        </w:rPr>
      </w:pPr>
      <w:r w:rsidRPr="00496A0D">
        <w:rPr>
          <w:rFonts w:ascii="Arial" w:hAnsi="Arial" w:cs="Arial"/>
        </w:rPr>
        <w:t xml:space="preserve">The </w:t>
      </w:r>
      <w:r w:rsidR="00564BE3" w:rsidRPr="00496A0D">
        <w:rPr>
          <w:rFonts w:ascii="Arial" w:hAnsi="Arial" w:cs="Arial"/>
        </w:rPr>
        <w:t>PCC</w:t>
      </w:r>
      <w:r w:rsidRPr="00496A0D">
        <w:rPr>
          <w:rFonts w:ascii="Arial" w:hAnsi="Arial" w:cs="Arial"/>
        </w:rPr>
        <w:t>’s chief objective when</w:t>
      </w:r>
      <w:r w:rsidR="00AA1EF1" w:rsidRPr="00496A0D">
        <w:rPr>
          <w:rFonts w:ascii="Arial" w:hAnsi="Arial" w:cs="Arial"/>
        </w:rPr>
        <w:t xml:space="preserve"> </w:t>
      </w:r>
      <w:r w:rsidRPr="00496A0D">
        <w:rPr>
          <w:rFonts w:ascii="Arial" w:hAnsi="Arial" w:cs="Arial"/>
        </w:rPr>
        <w:t xml:space="preserve">borrowing </w:t>
      </w:r>
      <w:r w:rsidR="00D507B5" w:rsidRPr="00496A0D">
        <w:rPr>
          <w:rFonts w:ascii="Arial" w:hAnsi="Arial" w:cs="Arial"/>
        </w:rPr>
        <w:t>has been to</w:t>
      </w:r>
      <w:r w:rsidRPr="00496A0D">
        <w:rPr>
          <w:rFonts w:ascii="Arial" w:hAnsi="Arial" w:cs="Arial"/>
        </w:rPr>
        <w:t xml:space="preserve"> strik</w:t>
      </w:r>
      <w:r w:rsidR="00D507B5" w:rsidRPr="00496A0D">
        <w:rPr>
          <w:rFonts w:ascii="Arial" w:hAnsi="Arial" w:cs="Arial"/>
        </w:rPr>
        <w:t>e</w:t>
      </w:r>
      <w:r w:rsidRPr="00496A0D">
        <w:rPr>
          <w:rFonts w:ascii="Arial" w:hAnsi="Arial" w:cs="Arial"/>
        </w:rPr>
        <w:t xml:space="preserve"> an appropriately low risk balance between securing low interest costs and achieving cost certainty over the period for which funds are required</w:t>
      </w:r>
      <w:r w:rsidR="00DC15B7" w:rsidRPr="00496A0D">
        <w:rPr>
          <w:rFonts w:ascii="Arial" w:hAnsi="Arial" w:cs="Arial"/>
        </w:rPr>
        <w:t>. The</w:t>
      </w:r>
      <w:r w:rsidRPr="00496A0D">
        <w:rPr>
          <w:rFonts w:ascii="Arial" w:hAnsi="Arial" w:cs="Arial"/>
        </w:rPr>
        <w:t xml:space="preserve"> flexibility to renegotiate loans should the </w:t>
      </w:r>
      <w:r w:rsidR="00564BE3" w:rsidRPr="00496A0D">
        <w:rPr>
          <w:rFonts w:ascii="Arial" w:hAnsi="Arial" w:cs="Arial"/>
        </w:rPr>
        <w:t>PCC</w:t>
      </w:r>
      <w:r w:rsidRPr="00496A0D">
        <w:rPr>
          <w:rFonts w:ascii="Arial" w:hAnsi="Arial" w:cs="Arial"/>
        </w:rPr>
        <w:t xml:space="preserve">’s long-term plans change </w:t>
      </w:r>
      <w:r w:rsidR="00DC15B7" w:rsidRPr="00496A0D">
        <w:rPr>
          <w:rFonts w:ascii="Arial" w:hAnsi="Arial" w:cs="Arial"/>
        </w:rPr>
        <w:t>is</w:t>
      </w:r>
      <w:r w:rsidR="00E674A1" w:rsidRPr="00496A0D">
        <w:rPr>
          <w:rFonts w:ascii="Arial" w:hAnsi="Arial" w:cs="Arial"/>
        </w:rPr>
        <w:t xml:space="preserve"> </w:t>
      </w:r>
      <w:r w:rsidRPr="00496A0D">
        <w:rPr>
          <w:rFonts w:ascii="Arial" w:hAnsi="Arial" w:cs="Arial"/>
        </w:rPr>
        <w:t xml:space="preserve">a secondary objective. </w:t>
      </w:r>
    </w:p>
    <w:p w14:paraId="0E37D798" w14:textId="0017B26C" w:rsidR="00EE5D37" w:rsidRPr="007E4E54" w:rsidRDefault="004E2640" w:rsidP="003C3808">
      <w:pPr>
        <w:keepNext/>
        <w:numPr>
          <w:ilvl w:val="0"/>
          <w:numId w:val="2"/>
        </w:numPr>
        <w:tabs>
          <w:tab w:val="num" w:pos="720"/>
        </w:tabs>
        <w:spacing w:after="240"/>
        <w:ind w:left="431" w:hanging="431"/>
        <w:outlineLvl w:val="0"/>
        <w:rPr>
          <w:rFonts w:ascii="Arial" w:hAnsi="Arial" w:cs="Arial"/>
          <w:b/>
        </w:rPr>
      </w:pPr>
      <w:r w:rsidRPr="007E4E54">
        <w:rPr>
          <w:rFonts w:ascii="Arial" w:hAnsi="Arial" w:cs="Arial"/>
          <w:b/>
        </w:rPr>
        <w:t xml:space="preserve">Treasury </w:t>
      </w:r>
      <w:r w:rsidR="006A2DD0" w:rsidRPr="007E4E54">
        <w:rPr>
          <w:rFonts w:ascii="Arial" w:hAnsi="Arial" w:cs="Arial"/>
          <w:b/>
        </w:rPr>
        <w:t>Investment Activity</w:t>
      </w:r>
      <w:r w:rsidR="000B6FC0" w:rsidRPr="007E4E54">
        <w:rPr>
          <w:rFonts w:ascii="Arial" w:hAnsi="Arial" w:cs="Arial"/>
          <w:b/>
        </w:rPr>
        <w:t xml:space="preserve"> </w:t>
      </w:r>
    </w:p>
    <w:p w14:paraId="4B7DB67E" w14:textId="0A9F781E" w:rsidR="00E2324A" w:rsidRPr="00E2324A" w:rsidRDefault="00977220" w:rsidP="00E2324A">
      <w:pPr>
        <w:pStyle w:val="ListParagraph"/>
        <w:numPr>
          <w:ilvl w:val="1"/>
          <w:numId w:val="2"/>
        </w:numPr>
        <w:spacing w:after="240"/>
        <w:ind w:left="720" w:hanging="720"/>
        <w:rPr>
          <w:rFonts w:ascii="Arial" w:hAnsi="Arial" w:cs="Arial"/>
        </w:rPr>
      </w:pPr>
      <w:r>
        <w:rPr>
          <w:rFonts w:ascii="Arial" w:hAnsi="Arial" w:cs="Arial"/>
        </w:rPr>
        <w:t xml:space="preserve">The </w:t>
      </w:r>
      <w:r w:rsidR="00E2324A" w:rsidRPr="00E2324A">
        <w:rPr>
          <w:rFonts w:ascii="Arial" w:hAnsi="Arial" w:cs="Arial"/>
        </w:rPr>
        <w:t xml:space="preserve">CIPFA Treasury Management Code </w:t>
      </w:r>
      <w:r>
        <w:rPr>
          <w:rFonts w:ascii="Arial" w:hAnsi="Arial" w:cs="Arial"/>
        </w:rPr>
        <w:t xml:space="preserve">now </w:t>
      </w:r>
      <w:r w:rsidR="00E2324A" w:rsidRPr="00E2324A">
        <w:rPr>
          <w:rFonts w:ascii="Arial" w:hAnsi="Arial" w:cs="Arial"/>
        </w:rPr>
        <w:t>define</w:t>
      </w:r>
      <w:r>
        <w:rPr>
          <w:rFonts w:ascii="Arial" w:hAnsi="Arial" w:cs="Arial"/>
        </w:rPr>
        <w:t>s</w:t>
      </w:r>
      <w:r w:rsidR="00E2324A" w:rsidRPr="00E2324A">
        <w:rPr>
          <w:rFonts w:ascii="Arial" w:hAnsi="Arial" w:cs="Arial"/>
        </w:rPr>
        <w:t xml:space="preserve"> treasury management investments as investments that arise from the organisation’s cash flows or treasury risk management activity that ultimately represents balances that need to be invested until the cash is required for use in the course of business.</w:t>
      </w:r>
    </w:p>
    <w:p w14:paraId="0F569759" w14:textId="1A2EA40E" w:rsidR="00BF6A81" w:rsidRPr="006C5C57" w:rsidRDefault="00BF6A81" w:rsidP="00977971">
      <w:pPr>
        <w:pStyle w:val="ListParagraph"/>
        <w:numPr>
          <w:ilvl w:val="1"/>
          <w:numId w:val="2"/>
        </w:numPr>
        <w:spacing w:after="240"/>
        <w:ind w:left="720" w:hanging="720"/>
        <w:rPr>
          <w:rFonts w:ascii="Arial" w:hAnsi="Arial" w:cs="Arial"/>
        </w:rPr>
      </w:pPr>
      <w:r w:rsidRPr="006C5C57">
        <w:rPr>
          <w:rFonts w:ascii="Arial" w:hAnsi="Arial" w:cs="Arial"/>
        </w:rPr>
        <w:t xml:space="preserve">The </w:t>
      </w:r>
      <w:r w:rsidR="003E22AA" w:rsidRPr="006C5C57">
        <w:rPr>
          <w:rFonts w:ascii="Arial" w:hAnsi="Arial" w:cs="Arial"/>
        </w:rPr>
        <w:t>PCC</w:t>
      </w:r>
      <w:r w:rsidRPr="006C5C57">
        <w:rPr>
          <w:rFonts w:ascii="Arial" w:hAnsi="Arial" w:cs="Arial"/>
        </w:rPr>
        <w:t xml:space="preserve"> </w:t>
      </w:r>
      <w:r w:rsidR="00147C76" w:rsidRPr="006C5C57">
        <w:rPr>
          <w:rFonts w:ascii="Arial" w:hAnsi="Arial" w:cs="Arial"/>
        </w:rPr>
        <w:t>h</w:t>
      </w:r>
      <w:r w:rsidR="00AF2316" w:rsidRPr="006C5C57">
        <w:rPr>
          <w:rFonts w:ascii="Arial" w:hAnsi="Arial" w:cs="Arial"/>
        </w:rPr>
        <w:t>o</w:t>
      </w:r>
      <w:r w:rsidR="00147C76" w:rsidRPr="006C5C57">
        <w:rPr>
          <w:rFonts w:ascii="Arial" w:hAnsi="Arial" w:cs="Arial"/>
        </w:rPr>
        <w:t>ld</w:t>
      </w:r>
      <w:r w:rsidR="00AF2316" w:rsidRPr="006C5C57">
        <w:rPr>
          <w:rFonts w:ascii="Arial" w:hAnsi="Arial" w:cs="Arial"/>
        </w:rPr>
        <w:t>s</w:t>
      </w:r>
      <w:r w:rsidR="00147C76" w:rsidRPr="006C5C57">
        <w:rPr>
          <w:rFonts w:ascii="Arial" w:hAnsi="Arial" w:cs="Arial"/>
        </w:rPr>
        <w:t xml:space="preserve"> </w:t>
      </w:r>
      <w:r w:rsidRPr="006C5C57">
        <w:rPr>
          <w:rFonts w:ascii="Arial" w:hAnsi="Arial" w:cs="Arial"/>
        </w:rPr>
        <w:t xml:space="preserve">invested funds representing income received in advance of expenditure plus balances and reserves held.  </w:t>
      </w:r>
      <w:r w:rsidR="00147C76" w:rsidRPr="006C5C57">
        <w:rPr>
          <w:rFonts w:ascii="Arial" w:hAnsi="Arial" w:cs="Arial"/>
        </w:rPr>
        <w:t>D</w:t>
      </w:r>
      <w:r w:rsidRPr="006C5C57">
        <w:rPr>
          <w:rFonts w:ascii="Arial" w:hAnsi="Arial" w:cs="Arial"/>
        </w:rPr>
        <w:t xml:space="preserve">uring </w:t>
      </w:r>
      <w:r w:rsidR="001E27FC" w:rsidRPr="006C5C57">
        <w:rPr>
          <w:rFonts w:ascii="Arial" w:hAnsi="Arial" w:cs="Arial"/>
        </w:rPr>
        <w:t>the year,</w:t>
      </w:r>
      <w:r w:rsidRPr="006C5C57">
        <w:rPr>
          <w:rFonts w:ascii="Arial" w:hAnsi="Arial" w:cs="Arial"/>
        </w:rPr>
        <w:t xml:space="preserve"> the </w:t>
      </w:r>
      <w:r w:rsidR="003E22AA" w:rsidRPr="006C5C57">
        <w:rPr>
          <w:rFonts w:ascii="Arial" w:hAnsi="Arial" w:cs="Arial"/>
        </w:rPr>
        <w:t>PCC</w:t>
      </w:r>
      <w:r w:rsidRPr="006C5C57">
        <w:rPr>
          <w:rFonts w:ascii="Arial" w:hAnsi="Arial" w:cs="Arial"/>
        </w:rPr>
        <w:t xml:space="preserve">’s investment balances </w:t>
      </w:r>
      <w:r w:rsidR="00147C76" w:rsidRPr="006C5C57">
        <w:rPr>
          <w:rFonts w:ascii="Arial" w:hAnsi="Arial" w:cs="Arial"/>
        </w:rPr>
        <w:t>have</w:t>
      </w:r>
      <w:r w:rsidRPr="006C5C57">
        <w:rPr>
          <w:rFonts w:ascii="Arial" w:hAnsi="Arial" w:cs="Arial"/>
        </w:rPr>
        <w:t xml:space="preserve"> range</w:t>
      </w:r>
      <w:r w:rsidR="00147C76" w:rsidRPr="006C5C57">
        <w:rPr>
          <w:rFonts w:ascii="Arial" w:hAnsi="Arial" w:cs="Arial"/>
        </w:rPr>
        <w:t>d</w:t>
      </w:r>
      <w:r w:rsidRPr="006C5C57">
        <w:rPr>
          <w:rFonts w:ascii="Arial" w:hAnsi="Arial" w:cs="Arial"/>
        </w:rPr>
        <w:t xml:space="preserve"> between £</w:t>
      </w:r>
      <w:r w:rsidR="004A5F57">
        <w:rPr>
          <w:rFonts w:ascii="Arial" w:hAnsi="Arial" w:cs="Arial"/>
        </w:rPr>
        <w:t>62.6</w:t>
      </w:r>
      <w:r w:rsidR="00280CF9" w:rsidRPr="006C5C57">
        <w:rPr>
          <w:rFonts w:ascii="Arial" w:hAnsi="Arial" w:cs="Arial"/>
        </w:rPr>
        <w:t>m</w:t>
      </w:r>
      <w:r w:rsidRPr="006C5C57">
        <w:rPr>
          <w:rFonts w:ascii="Arial" w:hAnsi="Arial" w:cs="Arial"/>
        </w:rPr>
        <w:t xml:space="preserve"> and </w:t>
      </w:r>
      <w:r w:rsidR="00C55FD3" w:rsidRPr="006C5C57">
        <w:rPr>
          <w:rFonts w:ascii="Arial" w:hAnsi="Arial" w:cs="Arial"/>
        </w:rPr>
        <w:t>£</w:t>
      </w:r>
      <w:r w:rsidR="00B60248">
        <w:rPr>
          <w:rFonts w:ascii="Arial" w:hAnsi="Arial" w:cs="Arial"/>
        </w:rPr>
        <w:t>157.0</w:t>
      </w:r>
      <w:r w:rsidR="006C5C57" w:rsidRPr="006C5C57">
        <w:rPr>
          <w:rFonts w:ascii="Arial" w:hAnsi="Arial" w:cs="Arial"/>
        </w:rPr>
        <w:t>m</w:t>
      </w:r>
      <w:r w:rsidR="00AF2316" w:rsidRPr="006C5C57">
        <w:rPr>
          <w:rFonts w:ascii="Arial" w:hAnsi="Arial" w:cs="Arial"/>
        </w:rPr>
        <w:t xml:space="preserve"> due to timing differences between income and expenditure. </w:t>
      </w:r>
      <w:r w:rsidR="00977971" w:rsidRPr="006C5C57">
        <w:rPr>
          <w:rFonts w:ascii="Arial" w:hAnsi="Arial" w:cs="Arial"/>
        </w:rPr>
        <w:t xml:space="preserve"> </w:t>
      </w:r>
      <w:r w:rsidR="00AF2316" w:rsidRPr="006C5C57">
        <w:rPr>
          <w:rFonts w:ascii="Arial" w:hAnsi="Arial" w:cs="Arial"/>
        </w:rPr>
        <w:t>The year-end investment positio</w:t>
      </w:r>
      <w:r w:rsidR="00564821" w:rsidRPr="006C5C57">
        <w:rPr>
          <w:rFonts w:ascii="Arial" w:hAnsi="Arial" w:cs="Arial"/>
        </w:rPr>
        <w:t>n and the year-on-year change are</w:t>
      </w:r>
      <w:r w:rsidR="00AF2316" w:rsidRPr="006C5C57">
        <w:rPr>
          <w:rFonts w:ascii="Arial" w:hAnsi="Arial" w:cs="Arial"/>
        </w:rPr>
        <w:t xml:space="preserve"> shown in Table 4.</w:t>
      </w:r>
      <w:r w:rsidR="006C0E5D" w:rsidRPr="006C5C57">
        <w:rPr>
          <w:rFonts w:ascii="Arial" w:hAnsi="Arial" w:cs="Arial"/>
        </w:rPr>
        <w:t xml:space="preserve">  </w:t>
      </w:r>
    </w:p>
    <w:tbl>
      <w:tblPr>
        <w:tblW w:w="10491" w:type="dxa"/>
        <w:jc w:val="center"/>
        <w:tblLayout w:type="fixed"/>
        <w:tblLook w:val="0000" w:firstRow="0" w:lastRow="0" w:firstColumn="0" w:lastColumn="0" w:noHBand="0" w:noVBand="0"/>
      </w:tblPr>
      <w:tblGrid>
        <w:gridCol w:w="3402"/>
        <w:gridCol w:w="1417"/>
        <w:gridCol w:w="1417"/>
        <w:gridCol w:w="1417"/>
        <w:gridCol w:w="1417"/>
        <w:gridCol w:w="1421"/>
      </w:tblGrid>
      <w:tr w:rsidR="00D14B6D" w:rsidRPr="00384864" w14:paraId="4B81CD4A" w14:textId="77777777" w:rsidTr="00AC502A">
        <w:trPr>
          <w:cantSplit/>
          <w:trHeight w:val="254"/>
          <w:jc w:val="center"/>
        </w:trPr>
        <w:tc>
          <w:tcPr>
            <w:tcW w:w="3402" w:type="dxa"/>
            <w:tcBorders>
              <w:top w:val="single" w:sz="4" w:space="0" w:color="auto"/>
              <w:left w:val="single" w:sz="4" w:space="0" w:color="auto"/>
              <w:right w:val="single" w:sz="4" w:space="0" w:color="auto"/>
            </w:tcBorders>
            <w:shd w:val="clear" w:color="auto" w:fill="auto"/>
            <w:noWrap/>
          </w:tcPr>
          <w:p w14:paraId="4A161C8A" w14:textId="47376A98" w:rsidR="00D14B6D" w:rsidRPr="00AC502A" w:rsidRDefault="00D14B6D" w:rsidP="007E4E54">
            <w:pPr>
              <w:keepNext/>
              <w:spacing w:line="280" w:lineRule="atLeast"/>
              <w:rPr>
                <w:rFonts w:ascii="Arial" w:hAnsi="Arial" w:cs="Arial"/>
                <w:b/>
              </w:rPr>
            </w:pPr>
            <w:r w:rsidRPr="000D48C6">
              <w:rPr>
                <w:rFonts w:ascii="Arial" w:hAnsi="Arial" w:cs="Arial"/>
                <w:b/>
              </w:rPr>
              <w:lastRenderedPageBreak/>
              <w:t>Table 4: Treasury investment position</w:t>
            </w:r>
          </w:p>
        </w:tc>
        <w:tc>
          <w:tcPr>
            <w:tcW w:w="1417" w:type="dxa"/>
            <w:tcBorders>
              <w:top w:val="single" w:sz="4" w:space="0" w:color="auto"/>
              <w:left w:val="single" w:sz="4" w:space="0" w:color="auto"/>
              <w:right w:val="single" w:sz="4" w:space="0" w:color="auto"/>
            </w:tcBorders>
          </w:tcPr>
          <w:p w14:paraId="0FD3C39E" w14:textId="7F17FC78" w:rsidR="00D14B6D" w:rsidRPr="00AC502A" w:rsidRDefault="00D14B6D" w:rsidP="007E4E54">
            <w:pPr>
              <w:keepNext/>
              <w:jc w:val="right"/>
              <w:rPr>
                <w:rFonts w:ascii="Arial" w:hAnsi="Arial" w:cs="Arial"/>
                <w:b/>
              </w:rPr>
            </w:pPr>
            <w:r w:rsidRPr="00AC502A">
              <w:rPr>
                <w:rFonts w:ascii="Arial" w:hAnsi="Arial" w:cs="Arial"/>
                <w:b/>
              </w:rPr>
              <w:t>31/03/2</w:t>
            </w:r>
            <w:r w:rsidR="00D0173F" w:rsidRPr="00AC502A">
              <w:rPr>
                <w:rFonts w:ascii="Arial" w:hAnsi="Arial" w:cs="Arial"/>
                <w:b/>
              </w:rPr>
              <w:t>3</w:t>
            </w:r>
            <w:r w:rsidRPr="00AC502A">
              <w:rPr>
                <w:rFonts w:ascii="Arial" w:hAnsi="Arial" w:cs="Arial"/>
                <w:b/>
              </w:rPr>
              <w:t xml:space="preserve">  </w:t>
            </w:r>
            <w:r w:rsidRPr="00AC502A">
              <w:rPr>
                <w:rFonts w:ascii="Arial" w:hAnsi="Arial" w:cs="Arial"/>
                <w:b/>
              </w:rPr>
              <w:br/>
              <w:t>Balance</w:t>
            </w:r>
          </w:p>
        </w:tc>
        <w:tc>
          <w:tcPr>
            <w:tcW w:w="1417" w:type="dxa"/>
            <w:tcBorders>
              <w:top w:val="single" w:sz="4" w:space="0" w:color="auto"/>
              <w:left w:val="single" w:sz="4" w:space="0" w:color="auto"/>
              <w:right w:val="single" w:sz="4" w:space="0" w:color="auto"/>
            </w:tcBorders>
            <w:shd w:val="clear" w:color="auto" w:fill="auto"/>
          </w:tcPr>
          <w:p w14:paraId="503EC27A" w14:textId="5040953C" w:rsidR="00D14B6D" w:rsidRPr="00AC502A" w:rsidRDefault="00D14B6D" w:rsidP="007E4E54">
            <w:pPr>
              <w:keepNext/>
              <w:jc w:val="right"/>
              <w:rPr>
                <w:rFonts w:ascii="Arial" w:hAnsi="Arial" w:cs="Arial"/>
                <w:b/>
              </w:rPr>
            </w:pPr>
            <w:r w:rsidRPr="00AC502A">
              <w:rPr>
                <w:rFonts w:ascii="Arial" w:hAnsi="Arial" w:cs="Arial"/>
                <w:b/>
              </w:rPr>
              <w:t>Net movement</w:t>
            </w:r>
          </w:p>
        </w:tc>
        <w:tc>
          <w:tcPr>
            <w:tcW w:w="1417" w:type="dxa"/>
            <w:tcBorders>
              <w:top w:val="single" w:sz="4" w:space="0" w:color="auto"/>
              <w:left w:val="single" w:sz="4" w:space="0" w:color="auto"/>
              <w:right w:val="single" w:sz="4" w:space="0" w:color="auto"/>
            </w:tcBorders>
          </w:tcPr>
          <w:p w14:paraId="7DF22C49" w14:textId="0EB82FA7" w:rsidR="00D14B6D" w:rsidRPr="00AC502A" w:rsidRDefault="00D14B6D" w:rsidP="007E4E54">
            <w:pPr>
              <w:keepNext/>
              <w:jc w:val="right"/>
              <w:rPr>
                <w:rFonts w:ascii="Arial" w:hAnsi="Arial" w:cs="Arial"/>
                <w:b/>
              </w:rPr>
            </w:pPr>
            <w:r w:rsidRPr="00AC502A">
              <w:rPr>
                <w:rFonts w:ascii="Arial" w:hAnsi="Arial" w:cs="Arial"/>
                <w:b/>
              </w:rPr>
              <w:t>31/03/2</w:t>
            </w:r>
            <w:r w:rsidR="00D0173F" w:rsidRPr="00AC502A">
              <w:rPr>
                <w:rFonts w:ascii="Arial" w:hAnsi="Arial" w:cs="Arial"/>
                <w:b/>
              </w:rPr>
              <w:t>4</w:t>
            </w:r>
          </w:p>
          <w:p w14:paraId="57F88AE0" w14:textId="08464562" w:rsidR="00D14B6D" w:rsidRPr="00AC502A" w:rsidRDefault="00D14B6D" w:rsidP="007E4E54">
            <w:pPr>
              <w:keepNext/>
              <w:jc w:val="right"/>
              <w:rPr>
                <w:rFonts w:ascii="Arial" w:hAnsi="Arial" w:cs="Arial"/>
                <w:b/>
              </w:rPr>
            </w:pPr>
            <w:r w:rsidRPr="00AC502A">
              <w:rPr>
                <w:rFonts w:ascii="Arial" w:hAnsi="Arial" w:cs="Arial"/>
                <w:b/>
              </w:rPr>
              <w:t>Balance</w:t>
            </w:r>
          </w:p>
        </w:tc>
        <w:tc>
          <w:tcPr>
            <w:tcW w:w="1417" w:type="dxa"/>
            <w:tcBorders>
              <w:top w:val="single" w:sz="4" w:space="0" w:color="auto"/>
              <w:left w:val="single" w:sz="4" w:space="0" w:color="auto"/>
              <w:right w:val="single" w:sz="4" w:space="0" w:color="auto"/>
            </w:tcBorders>
            <w:shd w:val="clear" w:color="auto" w:fill="auto"/>
          </w:tcPr>
          <w:p w14:paraId="292DDFB9" w14:textId="4B08E173" w:rsidR="00D14B6D" w:rsidRPr="00AC502A" w:rsidRDefault="00D14B6D" w:rsidP="007E4E54">
            <w:pPr>
              <w:keepNext/>
              <w:jc w:val="right"/>
              <w:rPr>
                <w:rFonts w:ascii="Arial" w:hAnsi="Arial" w:cs="Arial"/>
                <w:b/>
              </w:rPr>
            </w:pPr>
            <w:r w:rsidRPr="00AC502A">
              <w:rPr>
                <w:rFonts w:ascii="Arial" w:hAnsi="Arial" w:cs="Arial"/>
                <w:b/>
              </w:rPr>
              <w:t>31/03</w:t>
            </w:r>
            <w:r w:rsidR="004B5BE1" w:rsidRPr="00AC502A">
              <w:rPr>
                <w:rFonts w:ascii="Arial" w:hAnsi="Arial" w:cs="Arial"/>
                <w:b/>
              </w:rPr>
              <w:t>/</w:t>
            </w:r>
            <w:r w:rsidRPr="00AC502A">
              <w:rPr>
                <w:rFonts w:ascii="Arial" w:hAnsi="Arial" w:cs="Arial"/>
                <w:b/>
              </w:rPr>
              <w:t>2</w:t>
            </w:r>
            <w:r w:rsidR="00502534" w:rsidRPr="00AC502A">
              <w:rPr>
                <w:rFonts w:ascii="Arial" w:hAnsi="Arial" w:cs="Arial"/>
                <w:b/>
              </w:rPr>
              <w:t>4</w:t>
            </w:r>
            <w:r w:rsidRPr="00AC502A">
              <w:rPr>
                <w:rFonts w:ascii="Arial" w:hAnsi="Arial" w:cs="Arial"/>
                <w:b/>
              </w:rPr>
              <w:br/>
              <w:t>Income return</w:t>
            </w:r>
          </w:p>
        </w:tc>
        <w:tc>
          <w:tcPr>
            <w:tcW w:w="1421" w:type="dxa"/>
            <w:tcBorders>
              <w:top w:val="single" w:sz="4" w:space="0" w:color="auto"/>
              <w:left w:val="single" w:sz="4" w:space="0" w:color="auto"/>
              <w:right w:val="single" w:sz="4" w:space="0" w:color="auto"/>
            </w:tcBorders>
            <w:shd w:val="clear" w:color="auto" w:fill="auto"/>
          </w:tcPr>
          <w:p w14:paraId="101D34DD" w14:textId="2EBDD311" w:rsidR="00D14B6D" w:rsidRPr="00AC502A" w:rsidRDefault="00D14B6D" w:rsidP="007E4E54">
            <w:pPr>
              <w:keepNext/>
              <w:jc w:val="right"/>
              <w:rPr>
                <w:rFonts w:ascii="Arial" w:hAnsi="Arial" w:cs="Arial"/>
                <w:b/>
              </w:rPr>
            </w:pPr>
            <w:r w:rsidRPr="00AC502A">
              <w:rPr>
                <w:rFonts w:ascii="Arial" w:hAnsi="Arial" w:cs="Arial"/>
                <w:b/>
              </w:rPr>
              <w:t>31/03/2</w:t>
            </w:r>
            <w:r w:rsidR="00502534" w:rsidRPr="00AC502A">
              <w:rPr>
                <w:rFonts w:ascii="Arial" w:hAnsi="Arial" w:cs="Arial"/>
                <w:b/>
              </w:rPr>
              <w:t>4</w:t>
            </w:r>
            <w:r w:rsidRPr="00AC502A">
              <w:rPr>
                <w:rFonts w:ascii="Arial" w:hAnsi="Arial" w:cs="Arial"/>
                <w:b/>
              </w:rPr>
              <w:br/>
              <w:t>Weighted average maturity</w:t>
            </w:r>
          </w:p>
        </w:tc>
      </w:tr>
      <w:tr w:rsidR="00D14B6D" w:rsidRPr="00384864" w14:paraId="229E2AA9" w14:textId="77777777" w:rsidTr="00AC502A">
        <w:trPr>
          <w:cantSplit/>
          <w:trHeight w:val="254"/>
          <w:jc w:val="center"/>
        </w:trPr>
        <w:tc>
          <w:tcPr>
            <w:tcW w:w="3402" w:type="dxa"/>
            <w:tcBorders>
              <w:left w:val="single" w:sz="4" w:space="0" w:color="auto"/>
              <w:bottom w:val="single" w:sz="4" w:space="0" w:color="auto"/>
              <w:right w:val="single" w:sz="4" w:space="0" w:color="auto"/>
            </w:tcBorders>
            <w:shd w:val="clear" w:color="auto" w:fill="auto"/>
            <w:noWrap/>
            <w:vAlign w:val="bottom"/>
          </w:tcPr>
          <w:p w14:paraId="6E648EEA" w14:textId="77777777" w:rsidR="00D14B6D" w:rsidRPr="00AC502A" w:rsidRDefault="00D14B6D" w:rsidP="007E4E54">
            <w:pPr>
              <w:keepNext/>
              <w:spacing w:line="280" w:lineRule="atLeast"/>
              <w:jc w:val="both"/>
              <w:rPr>
                <w:rFonts w:ascii="Arial" w:hAnsi="Arial" w:cs="Arial"/>
                <w:b/>
              </w:rPr>
            </w:pPr>
          </w:p>
        </w:tc>
        <w:tc>
          <w:tcPr>
            <w:tcW w:w="1417" w:type="dxa"/>
            <w:tcBorders>
              <w:left w:val="single" w:sz="4" w:space="0" w:color="auto"/>
              <w:bottom w:val="single" w:sz="4" w:space="0" w:color="auto"/>
              <w:right w:val="single" w:sz="4" w:space="0" w:color="auto"/>
            </w:tcBorders>
          </w:tcPr>
          <w:p w14:paraId="473C6DAF" w14:textId="67A1B5C3" w:rsidR="00D14B6D" w:rsidRPr="00AC502A" w:rsidRDefault="00D14B6D" w:rsidP="007E4E54">
            <w:pPr>
              <w:keepNext/>
              <w:jc w:val="right"/>
              <w:rPr>
                <w:rFonts w:ascii="Arial" w:hAnsi="Arial" w:cs="Arial"/>
                <w:b/>
              </w:rPr>
            </w:pPr>
            <w:r w:rsidRPr="00AC502A">
              <w:rPr>
                <w:rFonts w:ascii="Arial" w:hAnsi="Arial" w:cs="Arial"/>
                <w:b/>
              </w:rPr>
              <w:t>£m</w:t>
            </w:r>
          </w:p>
        </w:tc>
        <w:tc>
          <w:tcPr>
            <w:tcW w:w="1417" w:type="dxa"/>
            <w:tcBorders>
              <w:left w:val="single" w:sz="4" w:space="0" w:color="auto"/>
              <w:bottom w:val="single" w:sz="4" w:space="0" w:color="auto"/>
              <w:right w:val="single" w:sz="4" w:space="0" w:color="auto"/>
            </w:tcBorders>
            <w:shd w:val="clear" w:color="auto" w:fill="auto"/>
          </w:tcPr>
          <w:p w14:paraId="756567C7" w14:textId="75D18950" w:rsidR="00D14B6D" w:rsidRPr="00AC502A" w:rsidRDefault="00D14B6D" w:rsidP="007E4E54">
            <w:pPr>
              <w:keepNext/>
              <w:jc w:val="right"/>
              <w:rPr>
                <w:rFonts w:ascii="Arial" w:hAnsi="Arial" w:cs="Arial"/>
                <w:b/>
              </w:rPr>
            </w:pPr>
            <w:r w:rsidRPr="00AC502A">
              <w:rPr>
                <w:rFonts w:ascii="Arial" w:hAnsi="Arial" w:cs="Arial"/>
                <w:b/>
              </w:rPr>
              <w:t>£m</w:t>
            </w:r>
          </w:p>
        </w:tc>
        <w:tc>
          <w:tcPr>
            <w:tcW w:w="1417" w:type="dxa"/>
            <w:tcBorders>
              <w:left w:val="single" w:sz="4" w:space="0" w:color="auto"/>
              <w:bottom w:val="single" w:sz="4" w:space="0" w:color="auto"/>
              <w:right w:val="single" w:sz="4" w:space="0" w:color="auto"/>
            </w:tcBorders>
          </w:tcPr>
          <w:p w14:paraId="3553D5DC" w14:textId="5F05DE1E" w:rsidR="00D14B6D" w:rsidRPr="00AC502A" w:rsidRDefault="00D14B6D" w:rsidP="007E4E54">
            <w:pPr>
              <w:keepNext/>
              <w:jc w:val="right"/>
              <w:rPr>
                <w:rFonts w:ascii="Arial" w:hAnsi="Arial" w:cs="Arial"/>
                <w:b/>
              </w:rPr>
            </w:pPr>
            <w:r w:rsidRPr="00AC502A">
              <w:rPr>
                <w:rFonts w:ascii="Arial" w:hAnsi="Arial" w:cs="Arial"/>
                <w:b/>
              </w:rPr>
              <w:t>£m</w:t>
            </w:r>
          </w:p>
        </w:tc>
        <w:tc>
          <w:tcPr>
            <w:tcW w:w="1417" w:type="dxa"/>
            <w:tcBorders>
              <w:left w:val="single" w:sz="4" w:space="0" w:color="auto"/>
              <w:bottom w:val="single" w:sz="4" w:space="0" w:color="auto"/>
              <w:right w:val="single" w:sz="4" w:space="0" w:color="auto"/>
            </w:tcBorders>
            <w:shd w:val="clear" w:color="auto" w:fill="auto"/>
          </w:tcPr>
          <w:p w14:paraId="37802317" w14:textId="112436B7" w:rsidR="00D14B6D" w:rsidRPr="00AC502A" w:rsidRDefault="00D14B6D" w:rsidP="007E4E54">
            <w:pPr>
              <w:keepNext/>
              <w:jc w:val="right"/>
              <w:rPr>
                <w:rFonts w:ascii="Arial" w:hAnsi="Arial" w:cs="Arial"/>
                <w:b/>
              </w:rPr>
            </w:pPr>
            <w:r w:rsidRPr="00AC502A">
              <w:rPr>
                <w:rFonts w:ascii="Arial" w:hAnsi="Arial" w:cs="Arial"/>
                <w:b/>
              </w:rPr>
              <w:t>%</w:t>
            </w:r>
          </w:p>
        </w:tc>
        <w:tc>
          <w:tcPr>
            <w:tcW w:w="1421" w:type="dxa"/>
            <w:tcBorders>
              <w:left w:val="single" w:sz="4" w:space="0" w:color="auto"/>
              <w:bottom w:val="single" w:sz="4" w:space="0" w:color="auto"/>
              <w:right w:val="single" w:sz="4" w:space="0" w:color="auto"/>
            </w:tcBorders>
            <w:shd w:val="clear" w:color="auto" w:fill="auto"/>
          </w:tcPr>
          <w:p w14:paraId="49CEEE70" w14:textId="3502C5DC" w:rsidR="00D14B6D" w:rsidRPr="00AC502A" w:rsidRDefault="00D14B6D" w:rsidP="007E4E54">
            <w:pPr>
              <w:keepNext/>
              <w:jc w:val="right"/>
              <w:rPr>
                <w:rFonts w:ascii="Arial" w:hAnsi="Arial" w:cs="Arial"/>
                <w:b/>
              </w:rPr>
            </w:pPr>
            <w:r w:rsidRPr="00AC502A">
              <w:rPr>
                <w:rFonts w:ascii="Arial" w:hAnsi="Arial" w:cs="Arial"/>
                <w:b/>
              </w:rPr>
              <w:t>(years)</w:t>
            </w:r>
          </w:p>
        </w:tc>
      </w:tr>
      <w:tr w:rsidR="00D14B6D" w:rsidRPr="00384864" w14:paraId="40655D42" w14:textId="77777777" w:rsidTr="00AC502A">
        <w:trPr>
          <w:cantSplit/>
          <w:trHeight w:val="255"/>
          <w:jc w:val="center"/>
        </w:trPr>
        <w:tc>
          <w:tcPr>
            <w:tcW w:w="3402" w:type="dxa"/>
            <w:tcBorders>
              <w:top w:val="single" w:sz="4" w:space="0" w:color="auto"/>
              <w:left w:val="single" w:sz="4" w:space="0" w:color="auto"/>
              <w:right w:val="single" w:sz="4" w:space="0" w:color="auto"/>
            </w:tcBorders>
            <w:shd w:val="clear" w:color="auto" w:fill="auto"/>
            <w:noWrap/>
            <w:vAlign w:val="bottom"/>
          </w:tcPr>
          <w:p w14:paraId="4DAD62E7" w14:textId="77777777" w:rsidR="00D14B6D" w:rsidRPr="00AC502A" w:rsidRDefault="00D14B6D" w:rsidP="007E4E54">
            <w:pPr>
              <w:keepNext/>
              <w:rPr>
                <w:rFonts w:ascii="Arial" w:hAnsi="Arial" w:cs="Arial"/>
                <w:b/>
                <w:color w:val="C00000"/>
              </w:rPr>
            </w:pPr>
            <w:r w:rsidRPr="00AC502A">
              <w:rPr>
                <w:rFonts w:ascii="Arial" w:hAnsi="Arial" w:cs="Arial"/>
                <w:b/>
              </w:rPr>
              <w:t xml:space="preserve">Short term investments </w:t>
            </w:r>
          </w:p>
        </w:tc>
        <w:tc>
          <w:tcPr>
            <w:tcW w:w="1417" w:type="dxa"/>
            <w:tcBorders>
              <w:top w:val="single" w:sz="4" w:space="0" w:color="auto"/>
              <w:left w:val="single" w:sz="4" w:space="0" w:color="auto"/>
              <w:right w:val="single" w:sz="4" w:space="0" w:color="auto"/>
            </w:tcBorders>
            <w:vAlign w:val="center"/>
          </w:tcPr>
          <w:p w14:paraId="401BD5BA" w14:textId="77777777" w:rsidR="00D14B6D" w:rsidRPr="00AC502A" w:rsidRDefault="00D14B6D" w:rsidP="007E4E54">
            <w:pPr>
              <w:keepNext/>
              <w:jc w:val="right"/>
              <w:rPr>
                <w:rFonts w:ascii="Arial" w:hAnsi="Arial" w:cs="Arial"/>
              </w:rPr>
            </w:pPr>
          </w:p>
        </w:tc>
        <w:tc>
          <w:tcPr>
            <w:tcW w:w="1417" w:type="dxa"/>
            <w:tcBorders>
              <w:top w:val="single" w:sz="4" w:space="0" w:color="auto"/>
              <w:left w:val="single" w:sz="4" w:space="0" w:color="auto"/>
              <w:right w:val="single" w:sz="4" w:space="0" w:color="auto"/>
            </w:tcBorders>
            <w:shd w:val="clear" w:color="auto" w:fill="auto"/>
            <w:vAlign w:val="center"/>
          </w:tcPr>
          <w:p w14:paraId="25098014" w14:textId="77777777" w:rsidR="00D14B6D" w:rsidRPr="00AC502A" w:rsidRDefault="00D14B6D" w:rsidP="007E4E54">
            <w:pPr>
              <w:keepNext/>
              <w:jc w:val="right"/>
              <w:rPr>
                <w:rFonts w:ascii="Arial" w:hAnsi="Arial" w:cs="Arial"/>
              </w:rPr>
            </w:pPr>
          </w:p>
        </w:tc>
        <w:tc>
          <w:tcPr>
            <w:tcW w:w="1417" w:type="dxa"/>
            <w:tcBorders>
              <w:top w:val="single" w:sz="4" w:space="0" w:color="auto"/>
              <w:left w:val="single" w:sz="4" w:space="0" w:color="auto"/>
              <w:right w:val="single" w:sz="4" w:space="0" w:color="auto"/>
            </w:tcBorders>
          </w:tcPr>
          <w:p w14:paraId="4EAC5580" w14:textId="77777777" w:rsidR="00D14B6D" w:rsidRPr="00AC502A" w:rsidRDefault="00D14B6D" w:rsidP="00AC502A">
            <w:pPr>
              <w:keepNext/>
              <w:jc w:val="center"/>
              <w:rPr>
                <w:rFonts w:ascii="Arial" w:hAnsi="Arial" w:cs="Arial"/>
              </w:rPr>
            </w:pPr>
          </w:p>
        </w:tc>
        <w:tc>
          <w:tcPr>
            <w:tcW w:w="1417" w:type="dxa"/>
            <w:tcBorders>
              <w:top w:val="single" w:sz="4" w:space="0" w:color="auto"/>
              <w:left w:val="single" w:sz="4" w:space="0" w:color="auto"/>
              <w:right w:val="single" w:sz="4" w:space="0" w:color="auto"/>
            </w:tcBorders>
            <w:shd w:val="clear" w:color="auto" w:fill="auto"/>
            <w:vAlign w:val="center"/>
          </w:tcPr>
          <w:p w14:paraId="60E47F27" w14:textId="763E4A11" w:rsidR="00D14B6D" w:rsidRPr="00AC502A" w:rsidRDefault="00D14B6D" w:rsidP="007E4E54">
            <w:pPr>
              <w:keepNext/>
              <w:jc w:val="right"/>
              <w:rPr>
                <w:rFonts w:ascii="Arial" w:hAnsi="Arial" w:cs="Arial"/>
              </w:rPr>
            </w:pPr>
          </w:p>
        </w:tc>
        <w:tc>
          <w:tcPr>
            <w:tcW w:w="1421" w:type="dxa"/>
            <w:tcBorders>
              <w:top w:val="single" w:sz="4" w:space="0" w:color="auto"/>
              <w:left w:val="single" w:sz="4" w:space="0" w:color="auto"/>
              <w:right w:val="single" w:sz="4" w:space="0" w:color="auto"/>
            </w:tcBorders>
            <w:shd w:val="clear" w:color="auto" w:fill="auto"/>
            <w:vAlign w:val="center"/>
          </w:tcPr>
          <w:p w14:paraId="38EEE8CA" w14:textId="77777777" w:rsidR="00D14B6D" w:rsidRPr="00AC502A" w:rsidRDefault="00D14B6D" w:rsidP="007E4E54">
            <w:pPr>
              <w:keepNext/>
              <w:jc w:val="right"/>
              <w:rPr>
                <w:rFonts w:ascii="Arial" w:hAnsi="Arial" w:cs="Arial"/>
              </w:rPr>
            </w:pPr>
          </w:p>
        </w:tc>
      </w:tr>
      <w:tr w:rsidR="00D14B6D" w:rsidRPr="00384864" w14:paraId="2B77654F" w14:textId="77777777" w:rsidTr="00AC502A">
        <w:trPr>
          <w:cantSplit/>
          <w:trHeight w:val="255"/>
          <w:jc w:val="center"/>
        </w:trPr>
        <w:tc>
          <w:tcPr>
            <w:tcW w:w="3402" w:type="dxa"/>
            <w:tcBorders>
              <w:left w:val="single" w:sz="4" w:space="0" w:color="auto"/>
              <w:right w:val="single" w:sz="4" w:space="0" w:color="auto"/>
            </w:tcBorders>
            <w:shd w:val="clear" w:color="auto" w:fill="auto"/>
            <w:noWrap/>
            <w:vAlign w:val="bottom"/>
          </w:tcPr>
          <w:p w14:paraId="0BB77895" w14:textId="017AC461" w:rsidR="00D14B6D" w:rsidRPr="00AC502A" w:rsidRDefault="00D14B6D" w:rsidP="00A577A4">
            <w:pPr>
              <w:keepNext/>
              <w:tabs>
                <w:tab w:val="left" w:pos="288"/>
              </w:tabs>
              <w:rPr>
                <w:rFonts w:ascii="Arial" w:hAnsi="Arial" w:cs="Arial"/>
              </w:rPr>
            </w:pPr>
            <w:r w:rsidRPr="00AC502A">
              <w:rPr>
                <w:rFonts w:ascii="Arial" w:hAnsi="Arial" w:cs="Arial"/>
              </w:rPr>
              <w:t>Banks and building societies</w:t>
            </w:r>
            <w:r w:rsidR="00A577A4" w:rsidRPr="00AC502A">
              <w:rPr>
                <w:rFonts w:ascii="Arial" w:hAnsi="Arial" w:cs="Arial"/>
              </w:rPr>
              <w:t>:</w:t>
            </w:r>
          </w:p>
        </w:tc>
        <w:tc>
          <w:tcPr>
            <w:tcW w:w="1417" w:type="dxa"/>
            <w:tcBorders>
              <w:left w:val="single" w:sz="4" w:space="0" w:color="auto"/>
              <w:right w:val="single" w:sz="4" w:space="0" w:color="auto"/>
            </w:tcBorders>
            <w:vAlign w:val="center"/>
          </w:tcPr>
          <w:p w14:paraId="0A042F53" w14:textId="77777777" w:rsidR="00D14B6D" w:rsidRPr="00AC502A" w:rsidRDefault="00D14B6D" w:rsidP="007E4E54">
            <w:pPr>
              <w:keepNext/>
              <w:jc w:val="right"/>
              <w:rPr>
                <w:rFonts w:ascii="Arial" w:hAnsi="Arial" w:cs="Arial"/>
              </w:rPr>
            </w:pPr>
          </w:p>
        </w:tc>
        <w:tc>
          <w:tcPr>
            <w:tcW w:w="1417" w:type="dxa"/>
            <w:tcBorders>
              <w:left w:val="single" w:sz="4" w:space="0" w:color="auto"/>
              <w:right w:val="single" w:sz="4" w:space="0" w:color="auto"/>
            </w:tcBorders>
            <w:shd w:val="clear" w:color="auto" w:fill="auto"/>
            <w:vAlign w:val="center"/>
          </w:tcPr>
          <w:p w14:paraId="5A221CBF" w14:textId="77777777" w:rsidR="00D14B6D" w:rsidRPr="00AC502A" w:rsidRDefault="00D14B6D" w:rsidP="007E4E54">
            <w:pPr>
              <w:keepNext/>
              <w:jc w:val="right"/>
              <w:rPr>
                <w:rFonts w:ascii="Arial" w:hAnsi="Arial" w:cs="Arial"/>
              </w:rPr>
            </w:pPr>
          </w:p>
        </w:tc>
        <w:tc>
          <w:tcPr>
            <w:tcW w:w="1417" w:type="dxa"/>
            <w:tcBorders>
              <w:left w:val="single" w:sz="4" w:space="0" w:color="auto"/>
              <w:right w:val="single" w:sz="4" w:space="0" w:color="auto"/>
            </w:tcBorders>
          </w:tcPr>
          <w:p w14:paraId="3AD87496" w14:textId="77777777" w:rsidR="00D14B6D" w:rsidRPr="00AC502A" w:rsidRDefault="00D14B6D" w:rsidP="007E4E54">
            <w:pPr>
              <w:keepNext/>
              <w:jc w:val="right"/>
              <w:rPr>
                <w:rFonts w:ascii="Arial" w:hAnsi="Arial" w:cs="Arial"/>
              </w:rPr>
            </w:pPr>
          </w:p>
        </w:tc>
        <w:tc>
          <w:tcPr>
            <w:tcW w:w="1417" w:type="dxa"/>
            <w:tcBorders>
              <w:left w:val="single" w:sz="4" w:space="0" w:color="auto"/>
              <w:right w:val="single" w:sz="4" w:space="0" w:color="auto"/>
            </w:tcBorders>
            <w:shd w:val="clear" w:color="auto" w:fill="auto"/>
            <w:vAlign w:val="center"/>
          </w:tcPr>
          <w:p w14:paraId="77A79E37" w14:textId="43089211" w:rsidR="00D14B6D" w:rsidRPr="00AC502A" w:rsidRDefault="00D14B6D" w:rsidP="007E4E54">
            <w:pPr>
              <w:keepNext/>
              <w:jc w:val="right"/>
              <w:rPr>
                <w:rFonts w:ascii="Arial" w:hAnsi="Arial" w:cs="Arial"/>
              </w:rPr>
            </w:pPr>
          </w:p>
        </w:tc>
        <w:tc>
          <w:tcPr>
            <w:tcW w:w="1421" w:type="dxa"/>
            <w:tcBorders>
              <w:left w:val="single" w:sz="4" w:space="0" w:color="auto"/>
              <w:right w:val="single" w:sz="4" w:space="0" w:color="auto"/>
            </w:tcBorders>
            <w:shd w:val="clear" w:color="auto" w:fill="auto"/>
            <w:vAlign w:val="center"/>
          </w:tcPr>
          <w:p w14:paraId="746D9844" w14:textId="77777777" w:rsidR="00D14B6D" w:rsidRPr="00AC502A" w:rsidRDefault="00D14B6D" w:rsidP="007E4E54">
            <w:pPr>
              <w:keepNext/>
              <w:jc w:val="right"/>
              <w:rPr>
                <w:rFonts w:ascii="Arial" w:hAnsi="Arial" w:cs="Arial"/>
              </w:rPr>
            </w:pPr>
          </w:p>
        </w:tc>
      </w:tr>
      <w:tr w:rsidR="00A847BF" w:rsidRPr="00384864" w14:paraId="483FB46F" w14:textId="77777777" w:rsidTr="00AC502A">
        <w:trPr>
          <w:cantSplit/>
          <w:trHeight w:val="255"/>
          <w:jc w:val="center"/>
        </w:trPr>
        <w:tc>
          <w:tcPr>
            <w:tcW w:w="3402" w:type="dxa"/>
            <w:tcBorders>
              <w:left w:val="single" w:sz="4" w:space="0" w:color="auto"/>
              <w:right w:val="single" w:sz="4" w:space="0" w:color="auto"/>
            </w:tcBorders>
            <w:shd w:val="clear" w:color="auto" w:fill="auto"/>
            <w:noWrap/>
            <w:vAlign w:val="bottom"/>
          </w:tcPr>
          <w:p w14:paraId="1E76643D" w14:textId="77777777" w:rsidR="00A847BF" w:rsidRPr="00AC502A" w:rsidRDefault="00A847BF" w:rsidP="00A847BF">
            <w:pPr>
              <w:keepNext/>
              <w:numPr>
                <w:ilvl w:val="0"/>
                <w:numId w:val="1"/>
              </w:numPr>
              <w:ind w:left="318" w:hanging="284"/>
              <w:rPr>
                <w:rFonts w:ascii="Arial" w:hAnsi="Arial" w:cs="Arial"/>
              </w:rPr>
            </w:pPr>
            <w:r w:rsidRPr="00AC502A">
              <w:rPr>
                <w:rFonts w:ascii="Arial" w:hAnsi="Arial" w:cs="Arial"/>
              </w:rPr>
              <w:t>Unsecured</w:t>
            </w:r>
          </w:p>
        </w:tc>
        <w:tc>
          <w:tcPr>
            <w:tcW w:w="1417" w:type="dxa"/>
            <w:tcBorders>
              <w:left w:val="single" w:sz="4" w:space="0" w:color="auto"/>
              <w:right w:val="single" w:sz="4" w:space="0" w:color="auto"/>
            </w:tcBorders>
          </w:tcPr>
          <w:p w14:paraId="55DEB03F" w14:textId="4357084B" w:rsidR="00A847BF" w:rsidRPr="00AC502A" w:rsidRDefault="00A847BF" w:rsidP="00A847BF">
            <w:pPr>
              <w:keepNext/>
              <w:jc w:val="right"/>
              <w:rPr>
                <w:rFonts w:ascii="Arial" w:hAnsi="Arial" w:cs="Arial"/>
              </w:rPr>
            </w:pPr>
            <w:r w:rsidRPr="00AC502A">
              <w:rPr>
                <w:rFonts w:ascii="Arial" w:hAnsi="Arial" w:cs="Arial"/>
              </w:rPr>
              <w:t>6.34</w:t>
            </w:r>
          </w:p>
        </w:tc>
        <w:tc>
          <w:tcPr>
            <w:tcW w:w="1417" w:type="dxa"/>
            <w:tcBorders>
              <w:left w:val="single" w:sz="4" w:space="0" w:color="auto"/>
              <w:right w:val="single" w:sz="4" w:space="0" w:color="auto"/>
            </w:tcBorders>
            <w:shd w:val="clear" w:color="auto" w:fill="auto"/>
            <w:vAlign w:val="center"/>
          </w:tcPr>
          <w:p w14:paraId="20A6E84B" w14:textId="7CE60C45" w:rsidR="00A847BF" w:rsidRPr="00AC502A" w:rsidRDefault="00A847BF" w:rsidP="00A847BF">
            <w:pPr>
              <w:keepNext/>
              <w:jc w:val="right"/>
              <w:rPr>
                <w:rFonts w:ascii="Arial" w:hAnsi="Arial" w:cs="Arial"/>
              </w:rPr>
            </w:pPr>
            <w:r w:rsidRPr="00AC502A">
              <w:rPr>
                <w:rFonts w:ascii="Arial" w:hAnsi="Arial" w:cs="Arial"/>
              </w:rPr>
              <w:t>1.94</w:t>
            </w:r>
          </w:p>
        </w:tc>
        <w:tc>
          <w:tcPr>
            <w:tcW w:w="1417" w:type="dxa"/>
            <w:tcBorders>
              <w:left w:val="single" w:sz="4" w:space="0" w:color="auto"/>
              <w:right w:val="single" w:sz="4" w:space="0" w:color="auto"/>
            </w:tcBorders>
            <w:vAlign w:val="center"/>
          </w:tcPr>
          <w:p w14:paraId="36ECAF79" w14:textId="2071A9E8" w:rsidR="00A847BF" w:rsidRPr="00AC502A" w:rsidRDefault="00A847BF" w:rsidP="00A847BF">
            <w:pPr>
              <w:keepNext/>
              <w:jc w:val="right"/>
              <w:rPr>
                <w:rFonts w:ascii="Arial" w:hAnsi="Arial" w:cs="Arial"/>
              </w:rPr>
            </w:pPr>
            <w:r w:rsidRPr="00AC502A">
              <w:rPr>
                <w:rFonts w:ascii="Arial" w:hAnsi="Arial" w:cs="Arial"/>
              </w:rPr>
              <w:t>8.28</w:t>
            </w:r>
          </w:p>
        </w:tc>
        <w:tc>
          <w:tcPr>
            <w:tcW w:w="1417" w:type="dxa"/>
            <w:tcBorders>
              <w:left w:val="single" w:sz="4" w:space="0" w:color="auto"/>
              <w:right w:val="single" w:sz="4" w:space="0" w:color="auto"/>
            </w:tcBorders>
            <w:shd w:val="clear" w:color="auto" w:fill="auto"/>
            <w:vAlign w:val="center"/>
          </w:tcPr>
          <w:p w14:paraId="7516BFA5" w14:textId="438FE00E" w:rsidR="00A847BF" w:rsidRPr="00AC502A" w:rsidRDefault="006D40D6" w:rsidP="00A847BF">
            <w:pPr>
              <w:keepNext/>
              <w:jc w:val="right"/>
              <w:rPr>
                <w:rFonts w:ascii="Arial" w:hAnsi="Arial" w:cs="Arial"/>
              </w:rPr>
            </w:pPr>
            <w:r w:rsidRPr="00AC502A">
              <w:rPr>
                <w:rFonts w:ascii="Arial" w:hAnsi="Arial" w:cs="Arial"/>
              </w:rPr>
              <w:t>4.90</w:t>
            </w:r>
          </w:p>
        </w:tc>
        <w:tc>
          <w:tcPr>
            <w:tcW w:w="1421" w:type="dxa"/>
            <w:tcBorders>
              <w:left w:val="single" w:sz="4" w:space="0" w:color="auto"/>
              <w:right w:val="single" w:sz="4" w:space="0" w:color="auto"/>
            </w:tcBorders>
            <w:shd w:val="clear" w:color="auto" w:fill="auto"/>
            <w:vAlign w:val="center"/>
          </w:tcPr>
          <w:p w14:paraId="04C30266" w14:textId="01934A76" w:rsidR="00A847BF" w:rsidRPr="00AC502A" w:rsidRDefault="006D40D6" w:rsidP="00A847BF">
            <w:pPr>
              <w:keepNext/>
              <w:jc w:val="right"/>
              <w:rPr>
                <w:rFonts w:ascii="Arial" w:hAnsi="Arial" w:cs="Arial"/>
              </w:rPr>
            </w:pPr>
            <w:r w:rsidRPr="00AC502A">
              <w:rPr>
                <w:rFonts w:ascii="Arial" w:hAnsi="Arial" w:cs="Arial"/>
              </w:rPr>
              <w:t>0.09</w:t>
            </w:r>
          </w:p>
        </w:tc>
      </w:tr>
      <w:tr w:rsidR="00A847BF" w:rsidRPr="00384864" w14:paraId="350D9E9B" w14:textId="77777777" w:rsidTr="00AC502A">
        <w:trPr>
          <w:cantSplit/>
          <w:trHeight w:val="255"/>
          <w:jc w:val="center"/>
        </w:trPr>
        <w:tc>
          <w:tcPr>
            <w:tcW w:w="3402" w:type="dxa"/>
            <w:tcBorders>
              <w:left w:val="single" w:sz="4" w:space="0" w:color="auto"/>
              <w:right w:val="single" w:sz="4" w:space="0" w:color="auto"/>
            </w:tcBorders>
            <w:shd w:val="clear" w:color="auto" w:fill="auto"/>
            <w:noWrap/>
            <w:vAlign w:val="center"/>
          </w:tcPr>
          <w:p w14:paraId="4EF9D4B3" w14:textId="77777777" w:rsidR="00A847BF" w:rsidRPr="00AC502A" w:rsidRDefault="00A847BF" w:rsidP="00A847BF">
            <w:pPr>
              <w:keepNext/>
              <w:numPr>
                <w:ilvl w:val="0"/>
                <w:numId w:val="1"/>
              </w:numPr>
              <w:ind w:left="318" w:hanging="284"/>
              <w:rPr>
                <w:rFonts w:ascii="Arial" w:hAnsi="Arial" w:cs="Arial"/>
              </w:rPr>
            </w:pPr>
            <w:r w:rsidRPr="00AC502A">
              <w:rPr>
                <w:rFonts w:ascii="Arial" w:hAnsi="Arial" w:cs="Arial"/>
              </w:rPr>
              <w:t>Secured</w:t>
            </w:r>
          </w:p>
        </w:tc>
        <w:tc>
          <w:tcPr>
            <w:tcW w:w="1417" w:type="dxa"/>
            <w:tcBorders>
              <w:left w:val="single" w:sz="4" w:space="0" w:color="auto"/>
              <w:right w:val="single" w:sz="4" w:space="0" w:color="auto"/>
            </w:tcBorders>
          </w:tcPr>
          <w:p w14:paraId="52C2C174" w14:textId="0A9C4E63" w:rsidR="00A847BF" w:rsidRPr="00AC502A" w:rsidRDefault="00A847BF" w:rsidP="00A847BF">
            <w:pPr>
              <w:keepNext/>
              <w:jc w:val="right"/>
              <w:rPr>
                <w:rFonts w:ascii="Arial" w:hAnsi="Arial" w:cs="Arial"/>
              </w:rPr>
            </w:pPr>
            <w:r w:rsidRPr="00AC502A">
              <w:rPr>
                <w:rFonts w:ascii="Arial" w:hAnsi="Arial" w:cs="Arial"/>
              </w:rPr>
              <w:t>-</w:t>
            </w:r>
          </w:p>
        </w:tc>
        <w:tc>
          <w:tcPr>
            <w:tcW w:w="1417" w:type="dxa"/>
            <w:tcBorders>
              <w:left w:val="single" w:sz="4" w:space="0" w:color="auto"/>
              <w:right w:val="single" w:sz="4" w:space="0" w:color="auto"/>
            </w:tcBorders>
            <w:shd w:val="clear" w:color="auto" w:fill="auto"/>
            <w:vAlign w:val="center"/>
          </w:tcPr>
          <w:p w14:paraId="7BC54693" w14:textId="2977E450" w:rsidR="00A847BF" w:rsidRPr="00AC502A" w:rsidRDefault="00A847BF" w:rsidP="00A847BF">
            <w:pPr>
              <w:keepNext/>
              <w:jc w:val="right"/>
              <w:rPr>
                <w:rFonts w:ascii="Arial" w:hAnsi="Arial" w:cs="Arial"/>
              </w:rPr>
            </w:pPr>
            <w:r w:rsidRPr="00AC502A">
              <w:rPr>
                <w:rFonts w:ascii="Arial" w:hAnsi="Arial" w:cs="Arial"/>
              </w:rPr>
              <w:t>5.00</w:t>
            </w:r>
          </w:p>
        </w:tc>
        <w:tc>
          <w:tcPr>
            <w:tcW w:w="1417" w:type="dxa"/>
            <w:tcBorders>
              <w:left w:val="single" w:sz="4" w:space="0" w:color="auto"/>
              <w:right w:val="single" w:sz="4" w:space="0" w:color="auto"/>
            </w:tcBorders>
            <w:vAlign w:val="center"/>
          </w:tcPr>
          <w:p w14:paraId="4A3358AF" w14:textId="777EA6D1" w:rsidR="00A847BF" w:rsidRPr="00AC502A" w:rsidRDefault="00A847BF" w:rsidP="00A847BF">
            <w:pPr>
              <w:keepNext/>
              <w:jc w:val="right"/>
              <w:rPr>
                <w:rFonts w:ascii="Arial" w:hAnsi="Arial" w:cs="Arial"/>
              </w:rPr>
            </w:pPr>
            <w:r w:rsidRPr="00AC502A">
              <w:rPr>
                <w:rFonts w:ascii="Arial" w:hAnsi="Arial" w:cs="Arial"/>
              </w:rPr>
              <w:t>5.00</w:t>
            </w:r>
          </w:p>
        </w:tc>
        <w:tc>
          <w:tcPr>
            <w:tcW w:w="1417" w:type="dxa"/>
            <w:tcBorders>
              <w:left w:val="single" w:sz="4" w:space="0" w:color="auto"/>
              <w:right w:val="single" w:sz="4" w:space="0" w:color="auto"/>
            </w:tcBorders>
            <w:shd w:val="clear" w:color="auto" w:fill="auto"/>
            <w:vAlign w:val="center"/>
          </w:tcPr>
          <w:p w14:paraId="37A47F9B" w14:textId="50D288A3" w:rsidR="00A847BF" w:rsidRPr="00AC502A" w:rsidRDefault="006D40D6" w:rsidP="00A847BF">
            <w:pPr>
              <w:keepNext/>
              <w:jc w:val="right"/>
              <w:rPr>
                <w:rFonts w:ascii="Arial" w:hAnsi="Arial" w:cs="Arial"/>
              </w:rPr>
            </w:pPr>
            <w:r w:rsidRPr="00AC502A">
              <w:rPr>
                <w:rFonts w:ascii="Arial" w:hAnsi="Arial" w:cs="Arial"/>
              </w:rPr>
              <w:t>4.31</w:t>
            </w:r>
          </w:p>
        </w:tc>
        <w:tc>
          <w:tcPr>
            <w:tcW w:w="1421" w:type="dxa"/>
            <w:tcBorders>
              <w:left w:val="single" w:sz="4" w:space="0" w:color="auto"/>
              <w:right w:val="single" w:sz="4" w:space="0" w:color="auto"/>
            </w:tcBorders>
            <w:shd w:val="clear" w:color="auto" w:fill="auto"/>
            <w:vAlign w:val="center"/>
          </w:tcPr>
          <w:p w14:paraId="3CC03713" w14:textId="37D0BC3E" w:rsidR="00A847BF" w:rsidRPr="00AC502A" w:rsidRDefault="006D40D6" w:rsidP="00A847BF">
            <w:pPr>
              <w:keepNext/>
              <w:jc w:val="right"/>
              <w:rPr>
                <w:rFonts w:ascii="Arial" w:hAnsi="Arial" w:cs="Arial"/>
              </w:rPr>
            </w:pPr>
            <w:r w:rsidRPr="00AC502A">
              <w:rPr>
                <w:rFonts w:ascii="Arial" w:hAnsi="Arial" w:cs="Arial"/>
              </w:rPr>
              <w:t>0.94</w:t>
            </w:r>
          </w:p>
        </w:tc>
      </w:tr>
      <w:tr w:rsidR="00A847BF" w:rsidRPr="00384864" w14:paraId="546127A9" w14:textId="77777777" w:rsidTr="00AC502A">
        <w:trPr>
          <w:cantSplit/>
          <w:trHeight w:val="255"/>
          <w:jc w:val="center"/>
        </w:trPr>
        <w:tc>
          <w:tcPr>
            <w:tcW w:w="3402" w:type="dxa"/>
            <w:tcBorders>
              <w:left w:val="single" w:sz="4" w:space="0" w:color="auto"/>
              <w:right w:val="single" w:sz="4" w:space="0" w:color="auto"/>
            </w:tcBorders>
            <w:shd w:val="clear" w:color="auto" w:fill="auto"/>
            <w:noWrap/>
            <w:vAlign w:val="center"/>
          </w:tcPr>
          <w:p w14:paraId="63A80DCF" w14:textId="7AC5504D" w:rsidR="00A847BF" w:rsidRPr="00AC502A" w:rsidRDefault="00A847BF" w:rsidP="00AC502A">
            <w:pPr>
              <w:keepNext/>
              <w:numPr>
                <w:ilvl w:val="0"/>
                <w:numId w:val="1"/>
              </w:numPr>
              <w:ind w:left="318" w:hanging="284"/>
              <w:rPr>
                <w:rFonts w:ascii="Arial" w:hAnsi="Arial" w:cs="Arial"/>
              </w:rPr>
            </w:pPr>
            <w:r w:rsidRPr="00AC502A">
              <w:rPr>
                <w:rFonts w:ascii="Arial" w:hAnsi="Arial" w:cs="Arial"/>
              </w:rPr>
              <w:t>High quality bonds</w:t>
            </w:r>
          </w:p>
        </w:tc>
        <w:tc>
          <w:tcPr>
            <w:tcW w:w="1417" w:type="dxa"/>
            <w:tcBorders>
              <w:left w:val="single" w:sz="4" w:space="0" w:color="auto"/>
              <w:right w:val="single" w:sz="4" w:space="0" w:color="auto"/>
            </w:tcBorders>
          </w:tcPr>
          <w:p w14:paraId="4126AE24" w14:textId="0D0144B7" w:rsidR="00A847BF" w:rsidRPr="00AC502A" w:rsidRDefault="00A847BF" w:rsidP="00A847BF">
            <w:pPr>
              <w:keepNext/>
              <w:jc w:val="right"/>
              <w:rPr>
                <w:rFonts w:ascii="Arial" w:hAnsi="Arial" w:cs="Arial"/>
              </w:rPr>
            </w:pPr>
            <w:r w:rsidRPr="00AC502A">
              <w:rPr>
                <w:rFonts w:ascii="Arial" w:hAnsi="Arial" w:cs="Arial"/>
              </w:rPr>
              <w:t>-</w:t>
            </w:r>
          </w:p>
        </w:tc>
        <w:tc>
          <w:tcPr>
            <w:tcW w:w="1417" w:type="dxa"/>
            <w:tcBorders>
              <w:left w:val="single" w:sz="4" w:space="0" w:color="auto"/>
              <w:right w:val="single" w:sz="4" w:space="0" w:color="auto"/>
            </w:tcBorders>
            <w:shd w:val="clear" w:color="auto" w:fill="auto"/>
            <w:vAlign w:val="center"/>
          </w:tcPr>
          <w:p w14:paraId="03F38328" w14:textId="04256F99" w:rsidR="00A847BF" w:rsidRPr="00AC502A" w:rsidRDefault="00A847BF" w:rsidP="00A847BF">
            <w:pPr>
              <w:keepNext/>
              <w:jc w:val="right"/>
              <w:rPr>
                <w:rFonts w:ascii="Arial" w:hAnsi="Arial" w:cs="Arial"/>
              </w:rPr>
            </w:pPr>
            <w:r w:rsidRPr="00AC502A">
              <w:rPr>
                <w:rFonts w:ascii="Arial" w:hAnsi="Arial" w:cs="Arial"/>
              </w:rPr>
              <w:t>5.00</w:t>
            </w:r>
          </w:p>
        </w:tc>
        <w:tc>
          <w:tcPr>
            <w:tcW w:w="1417" w:type="dxa"/>
            <w:tcBorders>
              <w:left w:val="single" w:sz="4" w:space="0" w:color="auto"/>
              <w:right w:val="single" w:sz="4" w:space="0" w:color="auto"/>
            </w:tcBorders>
            <w:vAlign w:val="center"/>
          </w:tcPr>
          <w:p w14:paraId="2FFB5479" w14:textId="0E868E6A" w:rsidR="00A847BF" w:rsidRPr="00AC502A" w:rsidRDefault="00A847BF" w:rsidP="00A847BF">
            <w:pPr>
              <w:keepNext/>
              <w:jc w:val="right"/>
              <w:rPr>
                <w:rFonts w:ascii="Arial" w:hAnsi="Arial" w:cs="Arial"/>
              </w:rPr>
            </w:pPr>
            <w:r w:rsidRPr="00AC502A">
              <w:rPr>
                <w:rFonts w:ascii="Arial" w:hAnsi="Arial" w:cs="Arial"/>
              </w:rPr>
              <w:t>5.00</w:t>
            </w:r>
          </w:p>
        </w:tc>
        <w:tc>
          <w:tcPr>
            <w:tcW w:w="1417" w:type="dxa"/>
            <w:tcBorders>
              <w:left w:val="single" w:sz="4" w:space="0" w:color="auto"/>
              <w:right w:val="single" w:sz="4" w:space="0" w:color="auto"/>
            </w:tcBorders>
            <w:shd w:val="clear" w:color="auto" w:fill="auto"/>
            <w:vAlign w:val="center"/>
          </w:tcPr>
          <w:p w14:paraId="57E46F9C" w14:textId="7EC610CD" w:rsidR="00A847BF" w:rsidRPr="00AC502A" w:rsidRDefault="006D40D6" w:rsidP="00A847BF">
            <w:pPr>
              <w:keepNext/>
              <w:jc w:val="right"/>
              <w:rPr>
                <w:rFonts w:ascii="Arial" w:hAnsi="Arial" w:cs="Arial"/>
              </w:rPr>
            </w:pPr>
            <w:r w:rsidRPr="00AC502A">
              <w:rPr>
                <w:rFonts w:ascii="Arial" w:hAnsi="Arial" w:cs="Arial"/>
              </w:rPr>
              <w:t>5.03</w:t>
            </w:r>
          </w:p>
        </w:tc>
        <w:tc>
          <w:tcPr>
            <w:tcW w:w="1421" w:type="dxa"/>
            <w:tcBorders>
              <w:left w:val="single" w:sz="4" w:space="0" w:color="auto"/>
              <w:right w:val="single" w:sz="4" w:space="0" w:color="auto"/>
            </w:tcBorders>
            <w:shd w:val="clear" w:color="auto" w:fill="auto"/>
            <w:vAlign w:val="center"/>
          </w:tcPr>
          <w:p w14:paraId="719AA2B7" w14:textId="76FE1EE9" w:rsidR="00A847BF" w:rsidRPr="00AC502A" w:rsidRDefault="006D40D6" w:rsidP="00A847BF">
            <w:pPr>
              <w:keepNext/>
              <w:jc w:val="right"/>
              <w:rPr>
                <w:rFonts w:ascii="Arial" w:hAnsi="Arial" w:cs="Arial"/>
              </w:rPr>
            </w:pPr>
            <w:r w:rsidRPr="00AC502A">
              <w:rPr>
                <w:rFonts w:ascii="Arial" w:hAnsi="Arial" w:cs="Arial"/>
              </w:rPr>
              <w:t>0.70</w:t>
            </w:r>
          </w:p>
        </w:tc>
      </w:tr>
      <w:tr w:rsidR="00A847BF" w:rsidRPr="00384864" w14:paraId="7F4E9D85" w14:textId="77777777" w:rsidTr="00AC502A">
        <w:trPr>
          <w:cantSplit/>
          <w:trHeight w:val="255"/>
          <w:jc w:val="center"/>
        </w:trPr>
        <w:tc>
          <w:tcPr>
            <w:tcW w:w="3402" w:type="dxa"/>
            <w:tcBorders>
              <w:left w:val="single" w:sz="4" w:space="0" w:color="auto"/>
              <w:right w:val="single" w:sz="4" w:space="0" w:color="auto"/>
            </w:tcBorders>
            <w:shd w:val="clear" w:color="auto" w:fill="auto"/>
            <w:noWrap/>
            <w:vAlign w:val="center"/>
          </w:tcPr>
          <w:p w14:paraId="668A7DD1" w14:textId="03ABBB55" w:rsidR="00A847BF" w:rsidRPr="00AC502A" w:rsidRDefault="00A847BF" w:rsidP="00A847BF">
            <w:pPr>
              <w:keepNext/>
              <w:rPr>
                <w:rFonts w:ascii="Arial" w:hAnsi="Arial" w:cs="Arial"/>
              </w:rPr>
            </w:pPr>
            <w:r w:rsidRPr="00AC502A">
              <w:rPr>
                <w:rFonts w:ascii="Arial" w:hAnsi="Arial" w:cs="Arial"/>
              </w:rPr>
              <w:t>Money market funds</w:t>
            </w:r>
          </w:p>
        </w:tc>
        <w:tc>
          <w:tcPr>
            <w:tcW w:w="1417" w:type="dxa"/>
            <w:tcBorders>
              <w:left w:val="single" w:sz="4" w:space="0" w:color="auto"/>
              <w:right w:val="single" w:sz="4" w:space="0" w:color="auto"/>
            </w:tcBorders>
          </w:tcPr>
          <w:p w14:paraId="25466E84" w14:textId="5DD266FF" w:rsidR="00A847BF" w:rsidRPr="00AC502A" w:rsidRDefault="00A847BF" w:rsidP="00A847BF">
            <w:pPr>
              <w:keepNext/>
              <w:jc w:val="right"/>
              <w:rPr>
                <w:rFonts w:ascii="Arial" w:hAnsi="Arial" w:cs="Arial"/>
              </w:rPr>
            </w:pPr>
            <w:r w:rsidRPr="00AC502A">
              <w:rPr>
                <w:rFonts w:ascii="Arial" w:hAnsi="Arial" w:cs="Arial"/>
              </w:rPr>
              <w:t>65.48</w:t>
            </w:r>
          </w:p>
        </w:tc>
        <w:tc>
          <w:tcPr>
            <w:tcW w:w="1417" w:type="dxa"/>
            <w:tcBorders>
              <w:left w:val="single" w:sz="4" w:space="0" w:color="auto"/>
              <w:right w:val="single" w:sz="4" w:space="0" w:color="auto"/>
            </w:tcBorders>
            <w:shd w:val="clear" w:color="auto" w:fill="auto"/>
            <w:vAlign w:val="center"/>
          </w:tcPr>
          <w:p w14:paraId="1090C75B" w14:textId="6BC6219F" w:rsidR="00A847BF" w:rsidRPr="00AC502A" w:rsidRDefault="00A847BF" w:rsidP="00A847BF">
            <w:pPr>
              <w:keepNext/>
              <w:jc w:val="right"/>
              <w:rPr>
                <w:rFonts w:ascii="Arial" w:hAnsi="Arial" w:cs="Arial"/>
              </w:rPr>
            </w:pPr>
            <w:r w:rsidRPr="00AC502A">
              <w:rPr>
                <w:rFonts w:ascii="Arial" w:hAnsi="Arial" w:cs="Arial"/>
              </w:rPr>
              <w:t>(40.45)</w:t>
            </w:r>
          </w:p>
        </w:tc>
        <w:tc>
          <w:tcPr>
            <w:tcW w:w="1417" w:type="dxa"/>
            <w:tcBorders>
              <w:left w:val="single" w:sz="4" w:space="0" w:color="auto"/>
              <w:right w:val="single" w:sz="4" w:space="0" w:color="auto"/>
            </w:tcBorders>
            <w:vAlign w:val="center"/>
          </w:tcPr>
          <w:p w14:paraId="757BBDB3" w14:textId="2B04BA90" w:rsidR="00A847BF" w:rsidRPr="00AC502A" w:rsidRDefault="00A847BF" w:rsidP="00A847BF">
            <w:pPr>
              <w:keepNext/>
              <w:jc w:val="right"/>
              <w:rPr>
                <w:rFonts w:ascii="Arial" w:hAnsi="Arial" w:cs="Arial"/>
              </w:rPr>
            </w:pPr>
            <w:r w:rsidRPr="00AC502A">
              <w:rPr>
                <w:rFonts w:ascii="Arial" w:hAnsi="Arial" w:cs="Arial"/>
              </w:rPr>
              <w:t>25.03</w:t>
            </w:r>
          </w:p>
        </w:tc>
        <w:tc>
          <w:tcPr>
            <w:tcW w:w="1417" w:type="dxa"/>
            <w:tcBorders>
              <w:left w:val="single" w:sz="4" w:space="0" w:color="auto"/>
              <w:right w:val="single" w:sz="4" w:space="0" w:color="auto"/>
            </w:tcBorders>
            <w:shd w:val="clear" w:color="auto" w:fill="auto"/>
            <w:vAlign w:val="center"/>
          </w:tcPr>
          <w:p w14:paraId="3B108ACD" w14:textId="6F75EC11" w:rsidR="00A847BF" w:rsidRPr="00AC502A" w:rsidRDefault="006D40D6" w:rsidP="00A847BF">
            <w:pPr>
              <w:keepNext/>
              <w:jc w:val="right"/>
              <w:rPr>
                <w:rFonts w:ascii="Arial" w:hAnsi="Arial" w:cs="Arial"/>
              </w:rPr>
            </w:pPr>
            <w:r w:rsidRPr="00AC502A">
              <w:rPr>
                <w:rFonts w:ascii="Arial" w:hAnsi="Arial" w:cs="Arial"/>
              </w:rPr>
              <w:t>5.2</w:t>
            </w:r>
            <w:r w:rsidR="00F32E78">
              <w:rPr>
                <w:rFonts w:ascii="Arial" w:hAnsi="Arial" w:cs="Arial"/>
              </w:rPr>
              <w:t>4</w:t>
            </w:r>
          </w:p>
        </w:tc>
        <w:tc>
          <w:tcPr>
            <w:tcW w:w="1421" w:type="dxa"/>
            <w:tcBorders>
              <w:left w:val="single" w:sz="4" w:space="0" w:color="auto"/>
              <w:right w:val="single" w:sz="4" w:space="0" w:color="auto"/>
            </w:tcBorders>
            <w:shd w:val="clear" w:color="auto" w:fill="auto"/>
            <w:vAlign w:val="center"/>
          </w:tcPr>
          <w:p w14:paraId="04A9C09B" w14:textId="19EE4C80" w:rsidR="00A847BF" w:rsidRPr="00AC502A" w:rsidRDefault="006D40D6" w:rsidP="00A847BF">
            <w:pPr>
              <w:keepNext/>
              <w:jc w:val="right"/>
              <w:rPr>
                <w:rFonts w:ascii="Arial" w:hAnsi="Arial" w:cs="Arial"/>
              </w:rPr>
            </w:pPr>
            <w:r w:rsidRPr="00AC502A">
              <w:rPr>
                <w:rFonts w:ascii="Arial" w:hAnsi="Arial" w:cs="Arial"/>
              </w:rPr>
              <w:t>0.0</w:t>
            </w:r>
            <w:r w:rsidR="00724283">
              <w:rPr>
                <w:rFonts w:ascii="Arial" w:hAnsi="Arial" w:cs="Arial"/>
              </w:rPr>
              <w:t>1</w:t>
            </w:r>
          </w:p>
        </w:tc>
      </w:tr>
      <w:tr w:rsidR="00A847BF" w:rsidRPr="00384864" w14:paraId="4E7C6917" w14:textId="77777777" w:rsidTr="00AC502A">
        <w:trPr>
          <w:cantSplit/>
          <w:trHeight w:val="255"/>
          <w:jc w:val="center"/>
        </w:trPr>
        <w:tc>
          <w:tcPr>
            <w:tcW w:w="3402" w:type="dxa"/>
            <w:tcBorders>
              <w:left w:val="single" w:sz="4" w:space="0" w:color="auto"/>
              <w:right w:val="single" w:sz="4" w:space="0" w:color="auto"/>
            </w:tcBorders>
            <w:shd w:val="clear" w:color="auto" w:fill="auto"/>
            <w:noWrap/>
            <w:vAlign w:val="center"/>
          </w:tcPr>
          <w:p w14:paraId="3D377B89" w14:textId="5B3A34A8" w:rsidR="00A847BF" w:rsidRPr="00AC502A" w:rsidRDefault="00A847BF" w:rsidP="00A847BF">
            <w:pPr>
              <w:keepNext/>
              <w:rPr>
                <w:rFonts w:ascii="Arial" w:hAnsi="Arial" w:cs="Arial"/>
              </w:rPr>
            </w:pPr>
            <w:r w:rsidRPr="00AC502A">
              <w:rPr>
                <w:rFonts w:ascii="Arial" w:hAnsi="Arial" w:cs="Arial"/>
              </w:rPr>
              <w:t>Government:</w:t>
            </w:r>
          </w:p>
        </w:tc>
        <w:tc>
          <w:tcPr>
            <w:tcW w:w="1417" w:type="dxa"/>
            <w:tcBorders>
              <w:left w:val="single" w:sz="4" w:space="0" w:color="auto"/>
              <w:right w:val="single" w:sz="4" w:space="0" w:color="auto"/>
            </w:tcBorders>
          </w:tcPr>
          <w:p w14:paraId="148AFB42" w14:textId="77777777" w:rsidR="00A847BF" w:rsidRPr="00AC502A" w:rsidRDefault="00A847BF" w:rsidP="00A847BF">
            <w:pPr>
              <w:keepNext/>
              <w:jc w:val="right"/>
              <w:rPr>
                <w:rFonts w:ascii="Arial" w:hAnsi="Arial" w:cs="Arial"/>
              </w:rPr>
            </w:pPr>
          </w:p>
        </w:tc>
        <w:tc>
          <w:tcPr>
            <w:tcW w:w="1417" w:type="dxa"/>
            <w:tcBorders>
              <w:left w:val="single" w:sz="4" w:space="0" w:color="auto"/>
              <w:right w:val="single" w:sz="4" w:space="0" w:color="auto"/>
            </w:tcBorders>
            <w:shd w:val="clear" w:color="auto" w:fill="auto"/>
            <w:vAlign w:val="center"/>
          </w:tcPr>
          <w:p w14:paraId="32D5C734" w14:textId="74F0441F" w:rsidR="00A847BF" w:rsidRPr="00AC502A" w:rsidRDefault="00A847BF" w:rsidP="00A847BF">
            <w:pPr>
              <w:keepNext/>
              <w:jc w:val="right"/>
              <w:rPr>
                <w:rFonts w:ascii="Arial" w:hAnsi="Arial" w:cs="Arial"/>
              </w:rPr>
            </w:pPr>
            <w:r w:rsidRPr="00AC502A">
              <w:rPr>
                <w:rFonts w:ascii="Arial" w:hAnsi="Arial" w:cs="Arial"/>
              </w:rPr>
              <w:t> </w:t>
            </w:r>
          </w:p>
        </w:tc>
        <w:tc>
          <w:tcPr>
            <w:tcW w:w="1417" w:type="dxa"/>
            <w:tcBorders>
              <w:left w:val="single" w:sz="4" w:space="0" w:color="auto"/>
              <w:right w:val="single" w:sz="4" w:space="0" w:color="auto"/>
            </w:tcBorders>
            <w:vAlign w:val="center"/>
          </w:tcPr>
          <w:p w14:paraId="4E47E085" w14:textId="62569DEB" w:rsidR="00A847BF" w:rsidRPr="00AC502A" w:rsidRDefault="00A847BF" w:rsidP="00A847BF">
            <w:pPr>
              <w:keepNext/>
              <w:jc w:val="right"/>
              <w:rPr>
                <w:rFonts w:ascii="Arial" w:hAnsi="Arial" w:cs="Arial"/>
              </w:rPr>
            </w:pPr>
            <w:r w:rsidRPr="00AC502A">
              <w:rPr>
                <w:rFonts w:ascii="Arial" w:hAnsi="Arial" w:cs="Arial"/>
              </w:rPr>
              <w:t> </w:t>
            </w:r>
          </w:p>
        </w:tc>
        <w:tc>
          <w:tcPr>
            <w:tcW w:w="1417" w:type="dxa"/>
            <w:tcBorders>
              <w:left w:val="single" w:sz="4" w:space="0" w:color="auto"/>
              <w:right w:val="single" w:sz="4" w:space="0" w:color="auto"/>
            </w:tcBorders>
            <w:shd w:val="clear" w:color="auto" w:fill="auto"/>
            <w:vAlign w:val="center"/>
          </w:tcPr>
          <w:p w14:paraId="367D24DC" w14:textId="77777777" w:rsidR="00A847BF" w:rsidRPr="00AC502A" w:rsidRDefault="00A847BF" w:rsidP="00A847BF">
            <w:pPr>
              <w:keepNext/>
              <w:jc w:val="right"/>
              <w:rPr>
                <w:rFonts w:ascii="Arial" w:hAnsi="Arial" w:cs="Arial"/>
              </w:rPr>
            </w:pPr>
          </w:p>
        </w:tc>
        <w:tc>
          <w:tcPr>
            <w:tcW w:w="1421" w:type="dxa"/>
            <w:tcBorders>
              <w:left w:val="single" w:sz="4" w:space="0" w:color="auto"/>
              <w:right w:val="single" w:sz="4" w:space="0" w:color="auto"/>
            </w:tcBorders>
            <w:shd w:val="clear" w:color="auto" w:fill="auto"/>
            <w:vAlign w:val="center"/>
          </w:tcPr>
          <w:p w14:paraId="79FBDDE4" w14:textId="77777777" w:rsidR="00A847BF" w:rsidRPr="00AC502A" w:rsidRDefault="00A847BF" w:rsidP="00A847BF">
            <w:pPr>
              <w:keepNext/>
              <w:jc w:val="right"/>
              <w:rPr>
                <w:rFonts w:ascii="Arial" w:hAnsi="Arial" w:cs="Arial"/>
              </w:rPr>
            </w:pPr>
          </w:p>
        </w:tc>
      </w:tr>
      <w:tr w:rsidR="00A847BF" w:rsidRPr="00384864" w14:paraId="50A7E43A" w14:textId="77777777" w:rsidTr="00AC502A">
        <w:trPr>
          <w:cantSplit/>
          <w:trHeight w:val="255"/>
          <w:jc w:val="center"/>
        </w:trPr>
        <w:tc>
          <w:tcPr>
            <w:tcW w:w="3402" w:type="dxa"/>
            <w:tcBorders>
              <w:left w:val="single" w:sz="4" w:space="0" w:color="auto"/>
              <w:right w:val="single" w:sz="4" w:space="0" w:color="auto"/>
            </w:tcBorders>
            <w:shd w:val="clear" w:color="auto" w:fill="auto"/>
            <w:noWrap/>
            <w:vAlign w:val="bottom"/>
          </w:tcPr>
          <w:p w14:paraId="05FE05C2" w14:textId="6C66B17E" w:rsidR="00A847BF" w:rsidRPr="00AC502A" w:rsidRDefault="00A847BF" w:rsidP="00A847BF">
            <w:pPr>
              <w:keepNext/>
              <w:numPr>
                <w:ilvl w:val="0"/>
                <w:numId w:val="1"/>
              </w:numPr>
              <w:ind w:left="318" w:hanging="284"/>
              <w:rPr>
                <w:rFonts w:ascii="Arial" w:hAnsi="Arial" w:cs="Arial"/>
              </w:rPr>
            </w:pPr>
            <w:r w:rsidRPr="00AC502A">
              <w:rPr>
                <w:rFonts w:ascii="Arial" w:hAnsi="Arial" w:cs="Arial"/>
              </w:rPr>
              <w:t>Local authorities</w:t>
            </w:r>
          </w:p>
        </w:tc>
        <w:tc>
          <w:tcPr>
            <w:tcW w:w="1417" w:type="dxa"/>
            <w:tcBorders>
              <w:left w:val="single" w:sz="4" w:space="0" w:color="auto"/>
              <w:right w:val="single" w:sz="4" w:space="0" w:color="auto"/>
            </w:tcBorders>
            <w:vAlign w:val="center"/>
          </w:tcPr>
          <w:p w14:paraId="75D0E79D" w14:textId="65F99BF2" w:rsidR="00A847BF" w:rsidRPr="00AC502A" w:rsidRDefault="00A847BF" w:rsidP="00A847BF">
            <w:pPr>
              <w:keepNext/>
              <w:jc w:val="right"/>
              <w:rPr>
                <w:rFonts w:ascii="Arial" w:hAnsi="Arial" w:cs="Arial"/>
              </w:rPr>
            </w:pPr>
            <w:r w:rsidRPr="00AC502A">
              <w:rPr>
                <w:rFonts w:ascii="Arial" w:hAnsi="Arial" w:cs="Arial"/>
              </w:rPr>
              <w:t>7.00</w:t>
            </w:r>
          </w:p>
        </w:tc>
        <w:tc>
          <w:tcPr>
            <w:tcW w:w="1417" w:type="dxa"/>
            <w:tcBorders>
              <w:left w:val="single" w:sz="4" w:space="0" w:color="auto"/>
              <w:right w:val="single" w:sz="4" w:space="0" w:color="auto"/>
            </w:tcBorders>
            <w:shd w:val="clear" w:color="auto" w:fill="auto"/>
            <w:vAlign w:val="center"/>
          </w:tcPr>
          <w:p w14:paraId="27798C66" w14:textId="33E07DC3" w:rsidR="00A847BF" w:rsidRPr="00AC502A" w:rsidRDefault="00A847BF" w:rsidP="00A847BF">
            <w:pPr>
              <w:keepNext/>
              <w:jc w:val="right"/>
              <w:rPr>
                <w:rFonts w:ascii="Arial" w:hAnsi="Arial" w:cs="Arial"/>
              </w:rPr>
            </w:pPr>
            <w:r w:rsidRPr="00AC502A">
              <w:rPr>
                <w:rFonts w:ascii="Arial" w:hAnsi="Arial" w:cs="Arial"/>
              </w:rPr>
              <w:t>18.50</w:t>
            </w:r>
          </w:p>
        </w:tc>
        <w:tc>
          <w:tcPr>
            <w:tcW w:w="1417" w:type="dxa"/>
            <w:tcBorders>
              <w:left w:val="single" w:sz="4" w:space="0" w:color="auto"/>
              <w:right w:val="single" w:sz="4" w:space="0" w:color="auto"/>
            </w:tcBorders>
            <w:vAlign w:val="center"/>
          </w:tcPr>
          <w:p w14:paraId="459DADDA" w14:textId="46457C6E" w:rsidR="00A847BF" w:rsidRPr="00AC502A" w:rsidRDefault="00A847BF" w:rsidP="00A847BF">
            <w:pPr>
              <w:keepNext/>
              <w:jc w:val="right"/>
              <w:rPr>
                <w:rFonts w:ascii="Arial" w:hAnsi="Arial" w:cs="Arial"/>
              </w:rPr>
            </w:pPr>
            <w:r w:rsidRPr="00AC502A">
              <w:rPr>
                <w:rFonts w:ascii="Arial" w:hAnsi="Arial" w:cs="Arial"/>
              </w:rPr>
              <w:t>25.50</w:t>
            </w:r>
          </w:p>
        </w:tc>
        <w:tc>
          <w:tcPr>
            <w:tcW w:w="1417" w:type="dxa"/>
            <w:tcBorders>
              <w:left w:val="single" w:sz="4" w:space="0" w:color="auto"/>
              <w:right w:val="single" w:sz="4" w:space="0" w:color="auto"/>
            </w:tcBorders>
            <w:shd w:val="clear" w:color="auto" w:fill="auto"/>
            <w:vAlign w:val="center"/>
          </w:tcPr>
          <w:p w14:paraId="4D0E0D97" w14:textId="72C35296" w:rsidR="00A847BF" w:rsidRPr="00AC502A" w:rsidRDefault="006D40D6" w:rsidP="00A847BF">
            <w:pPr>
              <w:keepNext/>
              <w:jc w:val="right"/>
              <w:rPr>
                <w:rFonts w:ascii="Arial" w:hAnsi="Arial" w:cs="Arial"/>
              </w:rPr>
            </w:pPr>
            <w:r w:rsidRPr="00AC502A">
              <w:rPr>
                <w:rFonts w:ascii="Arial" w:hAnsi="Arial" w:cs="Arial"/>
              </w:rPr>
              <w:t>5.50</w:t>
            </w:r>
          </w:p>
        </w:tc>
        <w:tc>
          <w:tcPr>
            <w:tcW w:w="1421" w:type="dxa"/>
            <w:tcBorders>
              <w:left w:val="single" w:sz="4" w:space="0" w:color="auto"/>
              <w:right w:val="single" w:sz="4" w:space="0" w:color="auto"/>
            </w:tcBorders>
            <w:shd w:val="clear" w:color="auto" w:fill="auto"/>
            <w:vAlign w:val="center"/>
          </w:tcPr>
          <w:p w14:paraId="2F2C46E1" w14:textId="4A444166" w:rsidR="00A847BF" w:rsidRPr="00AC502A" w:rsidRDefault="00A847BF" w:rsidP="00A847BF">
            <w:pPr>
              <w:keepNext/>
              <w:jc w:val="right"/>
              <w:rPr>
                <w:rFonts w:ascii="Arial" w:hAnsi="Arial" w:cs="Arial"/>
              </w:rPr>
            </w:pPr>
            <w:r w:rsidRPr="00AC502A">
              <w:rPr>
                <w:rFonts w:ascii="Arial" w:hAnsi="Arial" w:cs="Arial"/>
              </w:rPr>
              <w:t>0.37</w:t>
            </w:r>
          </w:p>
        </w:tc>
      </w:tr>
      <w:tr w:rsidR="00A847BF" w:rsidRPr="00384864" w14:paraId="313572E4" w14:textId="77777777" w:rsidTr="00AC502A">
        <w:trPr>
          <w:cantSplit/>
          <w:trHeight w:val="255"/>
          <w:jc w:val="center"/>
        </w:trPr>
        <w:tc>
          <w:tcPr>
            <w:tcW w:w="3402" w:type="dxa"/>
            <w:tcBorders>
              <w:left w:val="single" w:sz="4" w:space="0" w:color="auto"/>
              <w:right w:val="single" w:sz="4" w:space="0" w:color="auto"/>
            </w:tcBorders>
            <w:shd w:val="clear" w:color="auto" w:fill="auto"/>
            <w:noWrap/>
            <w:vAlign w:val="bottom"/>
          </w:tcPr>
          <w:p w14:paraId="1DF37423" w14:textId="5405B53A" w:rsidR="00A847BF" w:rsidRPr="00AC502A" w:rsidRDefault="00A847BF" w:rsidP="00A847BF">
            <w:pPr>
              <w:keepNext/>
              <w:numPr>
                <w:ilvl w:val="0"/>
                <w:numId w:val="1"/>
              </w:numPr>
              <w:ind w:left="318" w:hanging="284"/>
              <w:rPr>
                <w:rFonts w:ascii="Arial" w:hAnsi="Arial" w:cs="Arial"/>
              </w:rPr>
            </w:pPr>
            <w:r w:rsidRPr="00AC502A">
              <w:rPr>
                <w:rFonts w:ascii="Arial" w:hAnsi="Arial" w:cs="Arial"/>
              </w:rPr>
              <w:t>Treasury bills</w:t>
            </w:r>
          </w:p>
        </w:tc>
        <w:tc>
          <w:tcPr>
            <w:tcW w:w="1417" w:type="dxa"/>
            <w:tcBorders>
              <w:left w:val="single" w:sz="4" w:space="0" w:color="auto"/>
              <w:right w:val="single" w:sz="4" w:space="0" w:color="auto"/>
            </w:tcBorders>
            <w:vAlign w:val="center"/>
          </w:tcPr>
          <w:p w14:paraId="1FBB2B66" w14:textId="378DB81A" w:rsidR="00A847BF" w:rsidRPr="00AC502A" w:rsidRDefault="00A847BF" w:rsidP="00A847BF">
            <w:pPr>
              <w:keepNext/>
              <w:jc w:val="right"/>
              <w:rPr>
                <w:rFonts w:ascii="Arial" w:hAnsi="Arial" w:cs="Arial"/>
              </w:rPr>
            </w:pPr>
            <w:r w:rsidRPr="00AC502A">
              <w:rPr>
                <w:rFonts w:ascii="Arial" w:hAnsi="Arial" w:cs="Arial"/>
              </w:rPr>
              <w:t>13.00</w:t>
            </w:r>
          </w:p>
        </w:tc>
        <w:tc>
          <w:tcPr>
            <w:tcW w:w="1417" w:type="dxa"/>
            <w:tcBorders>
              <w:left w:val="single" w:sz="4" w:space="0" w:color="auto"/>
              <w:right w:val="single" w:sz="4" w:space="0" w:color="auto"/>
            </w:tcBorders>
            <w:shd w:val="clear" w:color="auto" w:fill="auto"/>
            <w:vAlign w:val="center"/>
          </w:tcPr>
          <w:p w14:paraId="6A7CA2DF" w14:textId="52DC9350" w:rsidR="00A847BF" w:rsidRPr="00AC502A" w:rsidRDefault="00A847BF" w:rsidP="00A847BF">
            <w:pPr>
              <w:keepNext/>
              <w:jc w:val="right"/>
              <w:rPr>
                <w:rFonts w:ascii="Arial" w:hAnsi="Arial" w:cs="Arial"/>
              </w:rPr>
            </w:pPr>
            <w:r w:rsidRPr="00AC502A">
              <w:rPr>
                <w:rFonts w:ascii="Arial" w:hAnsi="Arial" w:cs="Arial"/>
              </w:rPr>
              <w:t>(8.00)</w:t>
            </w:r>
          </w:p>
        </w:tc>
        <w:tc>
          <w:tcPr>
            <w:tcW w:w="1417" w:type="dxa"/>
            <w:tcBorders>
              <w:left w:val="single" w:sz="4" w:space="0" w:color="auto"/>
              <w:right w:val="single" w:sz="4" w:space="0" w:color="auto"/>
            </w:tcBorders>
            <w:vAlign w:val="center"/>
          </w:tcPr>
          <w:p w14:paraId="4A813567" w14:textId="730C440B" w:rsidR="00A847BF" w:rsidRPr="00AC502A" w:rsidRDefault="00A847BF" w:rsidP="00A847BF">
            <w:pPr>
              <w:keepNext/>
              <w:jc w:val="right"/>
              <w:rPr>
                <w:rFonts w:ascii="Arial" w:hAnsi="Arial" w:cs="Arial"/>
              </w:rPr>
            </w:pPr>
            <w:r w:rsidRPr="00AC502A">
              <w:rPr>
                <w:rFonts w:ascii="Arial" w:hAnsi="Arial" w:cs="Arial"/>
              </w:rPr>
              <w:t>5.00</w:t>
            </w:r>
          </w:p>
        </w:tc>
        <w:tc>
          <w:tcPr>
            <w:tcW w:w="1417" w:type="dxa"/>
            <w:tcBorders>
              <w:left w:val="single" w:sz="4" w:space="0" w:color="auto"/>
              <w:right w:val="single" w:sz="4" w:space="0" w:color="auto"/>
            </w:tcBorders>
            <w:shd w:val="clear" w:color="auto" w:fill="auto"/>
            <w:vAlign w:val="center"/>
          </w:tcPr>
          <w:p w14:paraId="59EA9BF0" w14:textId="389B4DFC" w:rsidR="00A847BF" w:rsidRPr="00AC502A" w:rsidRDefault="006D40D6" w:rsidP="00A847BF">
            <w:pPr>
              <w:keepNext/>
              <w:jc w:val="right"/>
              <w:rPr>
                <w:rFonts w:ascii="Arial" w:hAnsi="Arial" w:cs="Arial"/>
              </w:rPr>
            </w:pPr>
            <w:r w:rsidRPr="00AC502A">
              <w:rPr>
                <w:rFonts w:ascii="Arial" w:hAnsi="Arial" w:cs="Arial"/>
              </w:rPr>
              <w:t>5.42</w:t>
            </w:r>
          </w:p>
        </w:tc>
        <w:tc>
          <w:tcPr>
            <w:tcW w:w="1421" w:type="dxa"/>
            <w:tcBorders>
              <w:left w:val="single" w:sz="4" w:space="0" w:color="auto"/>
              <w:right w:val="single" w:sz="4" w:space="0" w:color="auto"/>
            </w:tcBorders>
            <w:shd w:val="clear" w:color="auto" w:fill="auto"/>
            <w:vAlign w:val="center"/>
          </w:tcPr>
          <w:p w14:paraId="186D3921" w14:textId="390B9D48" w:rsidR="00A847BF" w:rsidRPr="00AC502A" w:rsidRDefault="00A847BF" w:rsidP="00A847BF">
            <w:pPr>
              <w:keepNext/>
              <w:jc w:val="right"/>
              <w:rPr>
                <w:rFonts w:ascii="Arial" w:hAnsi="Arial" w:cs="Arial"/>
              </w:rPr>
            </w:pPr>
            <w:r w:rsidRPr="00AC502A">
              <w:rPr>
                <w:rFonts w:ascii="Arial" w:hAnsi="Arial" w:cs="Arial"/>
              </w:rPr>
              <w:t>0.01</w:t>
            </w:r>
          </w:p>
        </w:tc>
      </w:tr>
      <w:tr w:rsidR="00A847BF" w:rsidRPr="00384864" w14:paraId="6E931D9A" w14:textId="77777777" w:rsidTr="00AC502A">
        <w:trPr>
          <w:cantSplit/>
          <w:trHeight w:val="255"/>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7BC4B" w14:textId="6B209F4D" w:rsidR="00A847BF" w:rsidRPr="00AC502A" w:rsidRDefault="00A847BF" w:rsidP="00A847BF">
            <w:pPr>
              <w:keepNext/>
              <w:rPr>
                <w:rFonts w:ascii="Arial" w:hAnsi="Arial" w:cs="Arial"/>
                <w:b/>
              </w:rPr>
            </w:pPr>
            <w:r w:rsidRPr="00AC502A">
              <w:rPr>
                <w:rFonts w:ascii="Arial" w:hAnsi="Arial" w:cs="Arial"/>
                <w:b/>
              </w:rPr>
              <w:t>Total</w:t>
            </w:r>
          </w:p>
        </w:tc>
        <w:tc>
          <w:tcPr>
            <w:tcW w:w="1417" w:type="dxa"/>
            <w:tcBorders>
              <w:top w:val="single" w:sz="4" w:space="0" w:color="auto"/>
              <w:left w:val="single" w:sz="4" w:space="0" w:color="auto"/>
              <w:bottom w:val="single" w:sz="4" w:space="0" w:color="auto"/>
              <w:right w:val="single" w:sz="4" w:space="0" w:color="auto"/>
            </w:tcBorders>
          </w:tcPr>
          <w:p w14:paraId="028B0DA1" w14:textId="0ED87DE4" w:rsidR="00A847BF" w:rsidRPr="00AC502A" w:rsidRDefault="00A847BF" w:rsidP="00A847BF">
            <w:pPr>
              <w:keepNext/>
              <w:jc w:val="right"/>
              <w:rPr>
                <w:rFonts w:ascii="Arial" w:hAnsi="Arial" w:cs="Arial"/>
                <w:b/>
              </w:rPr>
            </w:pPr>
            <w:r w:rsidRPr="00AC502A">
              <w:rPr>
                <w:rFonts w:ascii="Arial" w:hAnsi="Arial" w:cs="Arial"/>
                <w:b/>
              </w:rPr>
              <w:t>91.82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EB360" w14:textId="22624489" w:rsidR="00A847BF" w:rsidRPr="00AC502A" w:rsidRDefault="00A847BF" w:rsidP="00A847BF">
            <w:pPr>
              <w:keepNext/>
              <w:jc w:val="right"/>
              <w:rPr>
                <w:rFonts w:ascii="Arial" w:hAnsi="Arial" w:cs="Arial"/>
                <w:b/>
              </w:rPr>
            </w:pPr>
            <w:r w:rsidRPr="00AC502A">
              <w:rPr>
                <w:rFonts w:ascii="Arial" w:hAnsi="Arial" w:cs="Arial"/>
                <w:b/>
              </w:rPr>
              <w:t>(18.01)</w:t>
            </w:r>
          </w:p>
        </w:tc>
        <w:tc>
          <w:tcPr>
            <w:tcW w:w="1417" w:type="dxa"/>
            <w:tcBorders>
              <w:top w:val="single" w:sz="4" w:space="0" w:color="auto"/>
              <w:left w:val="single" w:sz="4" w:space="0" w:color="auto"/>
              <w:bottom w:val="single" w:sz="4" w:space="0" w:color="auto"/>
              <w:right w:val="single" w:sz="4" w:space="0" w:color="auto"/>
            </w:tcBorders>
            <w:vAlign w:val="center"/>
          </w:tcPr>
          <w:p w14:paraId="46906852" w14:textId="2EEBF1CB" w:rsidR="00A847BF" w:rsidRPr="00AC502A" w:rsidRDefault="00A847BF" w:rsidP="00A847BF">
            <w:pPr>
              <w:keepNext/>
              <w:jc w:val="right"/>
              <w:rPr>
                <w:rFonts w:ascii="Arial" w:hAnsi="Arial" w:cs="Arial"/>
                <w:b/>
              </w:rPr>
            </w:pPr>
            <w:r w:rsidRPr="00AC502A">
              <w:rPr>
                <w:rFonts w:ascii="Arial" w:hAnsi="Arial" w:cs="Arial"/>
                <w:b/>
              </w:rPr>
              <w:t>73.81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44993C" w14:textId="2CA7D12A" w:rsidR="00A847BF" w:rsidRPr="00AC502A" w:rsidRDefault="00A847BF" w:rsidP="00A847BF">
            <w:pPr>
              <w:keepNext/>
              <w:jc w:val="right"/>
              <w:rPr>
                <w:rFonts w:ascii="Arial" w:hAnsi="Arial" w:cs="Arial"/>
                <w:b/>
              </w:rPr>
            </w:pPr>
            <w:r w:rsidRPr="00AC502A">
              <w:rPr>
                <w:rFonts w:ascii="Arial" w:hAnsi="Arial" w:cs="Arial"/>
                <w:b/>
              </w:rPr>
              <w:t>5.2</w:t>
            </w:r>
            <w:r w:rsidR="00F32E78">
              <w:rPr>
                <w:rFonts w:ascii="Arial" w:hAnsi="Arial" w:cs="Arial"/>
                <w:b/>
              </w:rPr>
              <w:t>3</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43B76B10" w14:textId="3D0FF89F" w:rsidR="00A847BF" w:rsidRPr="00AC502A" w:rsidRDefault="00A847BF" w:rsidP="00A847BF">
            <w:pPr>
              <w:keepNext/>
              <w:jc w:val="right"/>
              <w:rPr>
                <w:rFonts w:ascii="Arial" w:hAnsi="Arial" w:cs="Arial"/>
                <w:b/>
              </w:rPr>
            </w:pPr>
            <w:r w:rsidRPr="00AC502A">
              <w:rPr>
                <w:rFonts w:ascii="Arial" w:hAnsi="Arial" w:cs="Arial"/>
                <w:b/>
              </w:rPr>
              <w:t>0.25</w:t>
            </w:r>
          </w:p>
        </w:tc>
      </w:tr>
      <w:tr w:rsidR="00D4104A" w:rsidRPr="00384864" w14:paraId="177CAC45" w14:textId="77777777" w:rsidTr="00AC502A">
        <w:trPr>
          <w:cantSplit/>
          <w:trHeight w:val="255"/>
          <w:jc w:val="center"/>
        </w:trPr>
        <w:tc>
          <w:tcPr>
            <w:tcW w:w="3402" w:type="dxa"/>
            <w:tcBorders>
              <w:top w:val="single" w:sz="4" w:space="0" w:color="auto"/>
              <w:left w:val="single" w:sz="4" w:space="0" w:color="auto"/>
              <w:right w:val="single" w:sz="4" w:space="0" w:color="auto"/>
            </w:tcBorders>
            <w:shd w:val="clear" w:color="auto" w:fill="auto"/>
            <w:noWrap/>
            <w:vAlign w:val="bottom"/>
          </w:tcPr>
          <w:p w14:paraId="1F5499C2" w14:textId="65D5EA28" w:rsidR="003039CE" w:rsidRPr="00AC502A" w:rsidRDefault="003039CE" w:rsidP="004D7C28">
            <w:pPr>
              <w:keepNext/>
              <w:rPr>
                <w:rFonts w:ascii="Arial" w:hAnsi="Arial" w:cs="Arial"/>
              </w:rPr>
            </w:pPr>
            <w:r w:rsidRPr="00AC502A">
              <w:rPr>
                <w:rFonts w:ascii="Arial" w:hAnsi="Arial" w:cs="Arial"/>
                <w:b/>
              </w:rPr>
              <w:t>Long term investments</w:t>
            </w:r>
          </w:p>
          <w:p w14:paraId="5AE0936C" w14:textId="77CD7028" w:rsidR="00D4104A" w:rsidRPr="00AC502A" w:rsidRDefault="00411809" w:rsidP="004D7C28">
            <w:pPr>
              <w:keepNext/>
              <w:rPr>
                <w:rFonts w:ascii="Arial" w:hAnsi="Arial" w:cs="Arial"/>
              </w:rPr>
            </w:pPr>
            <w:r w:rsidRPr="00AC502A">
              <w:rPr>
                <w:rFonts w:ascii="Arial" w:hAnsi="Arial" w:cs="Arial"/>
              </w:rPr>
              <w:t>Banks and building societies</w:t>
            </w:r>
            <w:r w:rsidR="007D6999" w:rsidRPr="00AC502A">
              <w:rPr>
                <w:rFonts w:ascii="Arial" w:hAnsi="Arial" w:cs="Arial"/>
              </w:rPr>
              <w:t>:</w:t>
            </w:r>
          </w:p>
        </w:tc>
        <w:tc>
          <w:tcPr>
            <w:tcW w:w="1417" w:type="dxa"/>
            <w:tcBorders>
              <w:top w:val="single" w:sz="4" w:space="0" w:color="auto"/>
              <w:left w:val="single" w:sz="4" w:space="0" w:color="auto"/>
              <w:right w:val="single" w:sz="4" w:space="0" w:color="auto"/>
            </w:tcBorders>
          </w:tcPr>
          <w:p w14:paraId="74846FB2" w14:textId="77777777" w:rsidR="00D4104A" w:rsidRPr="00AC502A" w:rsidRDefault="00D4104A" w:rsidP="004D7C28">
            <w:pPr>
              <w:keepNext/>
              <w:jc w:val="right"/>
              <w:rPr>
                <w:rFonts w:ascii="Arial" w:hAnsi="Arial" w:cs="Arial"/>
              </w:rPr>
            </w:pPr>
          </w:p>
        </w:tc>
        <w:tc>
          <w:tcPr>
            <w:tcW w:w="1417" w:type="dxa"/>
            <w:tcBorders>
              <w:top w:val="single" w:sz="4" w:space="0" w:color="auto"/>
              <w:left w:val="single" w:sz="4" w:space="0" w:color="auto"/>
              <w:right w:val="single" w:sz="4" w:space="0" w:color="auto"/>
            </w:tcBorders>
            <w:shd w:val="clear" w:color="auto" w:fill="auto"/>
            <w:vAlign w:val="center"/>
          </w:tcPr>
          <w:p w14:paraId="17BDFB39" w14:textId="77777777" w:rsidR="00D4104A" w:rsidRPr="00AC502A" w:rsidRDefault="00D4104A" w:rsidP="004D7C28">
            <w:pPr>
              <w:keepNext/>
              <w:jc w:val="right"/>
              <w:rPr>
                <w:rFonts w:ascii="Arial" w:hAnsi="Arial" w:cs="Arial"/>
              </w:rPr>
            </w:pPr>
          </w:p>
        </w:tc>
        <w:tc>
          <w:tcPr>
            <w:tcW w:w="1417" w:type="dxa"/>
            <w:tcBorders>
              <w:top w:val="single" w:sz="4" w:space="0" w:color="auto"/>
              <w:left w:val="single" w:sz="4" w:space="0" w:color="auto"/>
              <w:right w:val="single" w:sz="4" w:space="0" w:color="auto"/>
            </w:tcBorders>
          </w:tcPr>
          <w:p w14:paraId="6E5B8169" w14:textId="77777777" w:rsidR="00D4104A" w:rsidRPr="00AC502A" w:rsidRDefault="00D4104A" w:rsidP="004D7C28">
            <w:pPr>
              <w:keepNext/>
              <w:jc w:val="right"/>
              <w:rPr>
                <w:rFonts w:ascii="Arial" w:hAnsi="Arial" w:cs="Arial"/>
              </w:rPr>
            </w:pPr>
          </w:p>
        </w:tc>
        <w:tc>
          <w:tcPr>
            <w:tcW w:w="1417" w:type="dxa"/>
            <w:tcBorders>
              <w:top w:val="single" w:sz="4" w:space="0" w:color="auto"/>
              <w:left w:val="single" w:sz="4" w:space="0" w:color="auto"/>
              <w:right w:val="single" w:sz="4" w:space="0" w:color="auto"/>
            </w:tcBorders>
            <w:shd w:val="clear" w:color="auto" w:fill="auto"/>
            <w:vAlign w:val="center"/>
          </w:tcPr>
          <w:p w14:paraId="478092D4" w14:textId="77777777" w:rsidR="00D4104A" w:rsidRPr="00AC502A" w:rsidRDefault="00D4104A" w:rsidP="004D7C28">
            <w:pPr>
              <w:keepNext/>
              <w:jc w:val="right"/>
              <w:rPr>
                <w:rFonts w:ascii="Arial" w:hAnsi="Arial" w:cs="Arial"/>
              </w:rPr>
            </w:pPr>
          </w:p>
        </w:tc>
        <w:tc>
          <w:tcPr>
            <w:tcW w:w="1421" w:type="dxa"/>
            <w:tcBorders>
              <w:top w:val="single" w:sz="4" w:space="0" w:color="auto"/>
              <w:left w:val="single" w:sz="4" w:space="0" w:color="auto"/>
              <w:right w:val="single" w:sz="4" w:space="0" w:color="auto"/>
            </w:tcBorders>
            <w:shd w:val="clear" w:color="auto" w:fill="auto"/>
            <w:vAlign w:val="center"/>
          </w:tcPr>
          <w:p w14:paraId="2A8DA842" w14:textId="77777777" w:rsidR="00D4104A" w:rsidRPr="00AC502A" w:rsidRDefault="00D4104A" w:rsidP="004D7C28">
            <w:pPr>
              <w:keepNext/>
              <w:jc w:val="right"/>
              <w:rPr>
                <w:rFonts w:ascii="Arial" w:hAnsi="Arial" w:cs="Arial"/>
              </w:rPr>
            </w:pPr>
          </w:p>
        </w:tc>
      </w:tr>
      <w:tr w:rsidR="008B400B" w:rsidRPr="00384864" w14:paraId="05B2BEFE" w14:textId="77777777" w:rsidTr="00AC502A">
        <w:trPr>
          <w:cantSplit/>
          <w:trHeight w:val="255"/>
          <w:jc w:val="center"/>
        </w:trPr>
        <w:tc>
          <w:tcPr>
            <w:tcW w:w="3402" w:type="dxa"/>
            <w:tcBorders>
              <w:left w:val="single" w:sz="4" w:space="0" w:color="auto"/>
              <w:right w:val="single" w:sz="4" w:space="0" w:color="auto"/>
            </w:tcBorders>
            <w:shd w:val="clear" w:color="auto" w:fill="auto"/>
            <w:noWrap/>
            <w:vAlign w:val="center"/>
          </w:tcPr>
          <w:p w14:paraId="20FBD774" w14:textId="28C1C6BA" w:rsidR="008B400B" w:rsidRPr="00AC502A" w:rsidRDefault="00BF4941" w:rsidP="00657B22">
            <w:pPr>
              <w:keepNext/>
              <w:numPr>
                <w:ilvl w:val="0"/>
                <w:numId w:val="1"/>
              </w:numPr>
              <w:ind w:left="318" w:hanging="284"/>
              <w:rPr>
                <w:rFonts w:ascii="Arial" w:hAnsi="Arial" w:cs="Arial"/>
              </w:rPr>
            </w:pPr>
            <w:r w:rsidRPr="00AC502A">
              <w:rPr>
                <w:rFonts w:ascii="Arial" w:hAnsi="Arial" w:cs="Arial"/>
              </w:rPr>
              <w:t>S</w:t>
            </w:r>
            <w:r w:rsidR="00411809" w:rsidRPr="00AC502A">
              <w:rPr>
                <w:rFonts w:ascii="Arial" w:hAnsi="Arial" w:cs="Arial"/>
              </w:rPr>
              <w:t xml:space="preserve">ecured </w:t>
            </w:r>
          </w:p>
        </w:tc>
        <w:tc>
          <w:tcPr>
            <w:tcW w:w="1417" w:type="dxa"/>
            <w:tcBorders>
              <w:left w:val="single" w:sz="4" w:space="0" w:color="auto"/>
              <w:right w:val="single" w:sz="4" w:space="0" w:color="auto"/>
            </w:tcBorders>
          </w:tcPr>
          <w:p w14:paraId="788538DB" w14:textId="4E23F3E8" w:rsidR="008B400B" w:rsidRPr="00AC502A" w:rsidRDefault="00412B61" w:rsidP="001D7D03">
            <w:pPr>
              <w:keepNext/>
              <w:jc w:val="right"/>
              <w:rPr>
                <w:rFonts w:ascii="Arial" w:hAnsi="Arial" w:cs="Arial"/>
              </w:rPr>
            </w:pPr>
            <w:r w:rsidRPr="00AC502A">
              <w:rPr>
                <w:rFonts w:ascii="Arial" w:hAnsi="Arial" w:cs="Arial"/>
              </w:rPr>
              <w:t>5.09</w:t>
            </w:r>
          </w:p>
        </w:tc>
        <w:tc>
          <w:tcPr>
            <w:tcW w:w="1417" w:type="dxa"/>
            <w:tcBorders>
              <w:left w:val="single" w:sz="4" w:space="0" w:color="auto"/>
              <w:right w:val="single" w:sz="4" w:space="0" w:color="auto"/>
            </w:tcBorders>
            <w:shd w:val="clear" w:color="auto" w:fill="auto"/>
            <w:vAlign w:val="center"/>
          </w:tcPr>
          <w:p w14:paraId="29E320D9" w14:textId="4AE19926" w:rsidR="008B400B" w:rsidRPr="00AC502A" w:rsidRDefault="00C53BBC" w:rsidP="001D7D03">
            <w:pPr>
              <w:keepNext/>
              <w:jc w:val="right"/>
              <w:rPr>
                <w:rFonts w:ascii="Arial" w:hAnsi="Arial" w:cs="Arial"/>
              </w:rPr>
            </w:pPr>
            <w:r w:rsidRPr="00AC502A">
              <w:rPr>
                <w:rFonts w:ascii="Arial" w:hAnsi="Arial" w:cs="Arial"/>
              </w:rPr>
              <w:t>(5.09)</w:t>
            </w:r>
          </w:p>
        </w:tc>
        <w:tc>
          <w:tcPr>
            <w:tcW w:w="1417" w:type="dxa"/>
            <w:tcBorders>
              <w:left w:val="single" w:sz="4" w:space="0" w:color="auto"/>
              <w:right w:val="single" w:sz="4" w:space="0" w:color="auto"/>
            </w:tcBorders>
          </w:tcPr>
          <w:p w14:paraId="096FDEE8" w14:textId="4BBD1AA6" w:rsidR="008B400B" w:rsidRPr="00AC502A" w:rsidRDefault="002A761D" w:rsidP="001D7D03">
            <w:pPr>
              <w:keepNext/>
              <w:jc w:val="right"/>
              <w:rPr>
                <w:rFonts w:ascii="Arial" w:hAnsi="Arial" w:cs="Arial"/>
              </w:rPr>
            </w:pPr>
            <w:r w:rsidRPr="00AC502A">
              <w:rPr>
                <w:rFonts w:ascii="Arial" w:hAnsi="Arial" w:cs="Arial"/>
              </w:rPr>
              <w:t>-</w:t>
            </w:r>
          </w:p>
        </w:tc>
        <w:tc>
          <w:tcPr>
            <w:tcW w:w="1417" w:type="dxa"/>
            <w:tcBorders>
              <w:left w:val="single" w:sz="4" w:space="0" w:color="auto"/>
              <w:right w:val="single" w:sz="4" w:space="0" w:color="auto"/>
            </w:tcBorders>
            <w:shd w:val="clear" w:color="auto" w:fill="auto"/>
            <w:vAlign w:val="center"/>
          </w:tcPr>
          <w:p w14:paraId="23C714FE" w14:textId="30B435F6" w:rsidR="008B400B" w:rsidRPr="00AC502A" w:rsidRDefault="008461D1" w:rsidP="001D7D03">
            <w:pPr>
              <w:keepNext/>
              <w:jc w:val="right"/>
              <w:rPr>
                <w:rFonts w:ascii="Arial" w:hAnsi="Arial" w:cs="Arial"/>
              </w:rPr>
            </w:pPr>
            <w:r w:rsidRPr="00AC502A">
              <w:rPr>
                <w:rFonts w:ascii="Arial" w:hAnsi="Arial" w:cs="Arial"/>
              </w:rPr>
              <w:t>N/A</w:t>
            </w:r>
          </w:p>
        </w:tc>
        <w:tc>
          <w:tcPr>
            <w:tcW w:w="1421" w:type="dxa"/>
            <w:tcBorders>
              <w:left w:val="single" w:sz="4" w:space="0" w:color="auto"/>
              <w:right w:val="single" w:sz="4" w:space="0" w:color="auto"/>
            </w:tcBorders>
            <w:shd w:val="clear" w:color="auto" w:fill="auto"/>
            <w:vAlign w:val="center"/>
          </w:tcPr>
          <w:p w14:paraId="277D1C48" w14:textId="0C86E82D" w:rsidR="008B400B" w:rsidRPr="00AC502A" w:rsidRDefault="008461D1" w:rsidP="001D7D03">
            <w:pPr>
              <w:keepNext/>
              <w:jc w:val="right"/>
              <w:rPr>
                <w:rFonts w:ascii="Arial" w:hAnsi="Arial" w:cs="Arial"/>
              </w:rPr>
            </w:pPr>
            <w:r w:rsidRPr="00AC502A">
              <w:rPr>
                <w:rFonts w:ascii="Arial" w:hAnsi="Arial" w:cs="Arial"/>
              </w:rPr>
              <w:t>N/A</w:t>
            </w:r>
          </w:p>
        </w:tc>
      </w:tr>
      <w:tr w:rsidR="00BF4941" w:rsidRPr="00384864" w14:paraId="45F74B83" w14:textId="77777777" w:rsidTr="00AC502A">
        <w:trPr>
          <w:cantSplit/>
          <w:trHeight w:val="255"/>
          <w:jc w:val="center"/>
        </w:trPr>
        <w:tc>
          <w:tcPr>
            <w:tcW w:w="3402" w:type="dxa"/>
            <w:tcBorders>
              <w:left w:val="single" w:sz="4" w:space="0" w:color="auto"/>
              <w:right w:val="single" w:sz="4" w:space="0" w:color="auto"/>
            </w:tcBorders>
            <w:shd w:val="clear" w:color="auto" w:fill="auto"/>
            <w:noWrap/>
            <w:vAlign w:val="center"/>
          </w:tcPr>
          <w:p w14:paraId="3DB1B49C" w14:textId="055183D3" w:rsidR="00BF4941" w:rsidRPr="00AC502A" w:rsidRDefault="00BF4941" w:rsidP="00723FB8">
            <w:pPr>
              <w:keepNext/>
              <w:numPr>
                <w:ilvl w:val="0"/>
                <w:numId w:val="1"/>
              </w:numPr>
              <w:ind w:left="318" w:hanging="284"/>
              <w:rPr>
                <w:rFonts w:ascii="Arial" w:hAnsi="Arial" w:cs="Arial"/>
              </w:rPr>
            </w:pPr>
            <w:r w:rsidRPr="00AC502A">
              <w:rPr>
                <w:rFonts w:ascii="Arial" w:hAnsi="Arial" w:cs="Arial"/>
              </w:rPr>
              <w:t>Hiqh quality bonds</w:t>
            </w:r>
          </w:p>
        </w:tc>
        <w:tc>
          <w:tcPr>
            <w:tcW w:w="1417" w:type="dxa"/>
            <w:tcBorders>
              <w:left w:val="single" w:sz="4" w:space="0" w:color="auto"/>
              <w:right w:val="single" w:sz="4" w:space="0" w:color="auto"/>
            </w:tcBorders>
          </w:tcPr>
          <w:p w14:paraId="656AA28F" w14:textId="2A8228A3" w:rsidR="00BF4941" w:rsidRPr="00AC502A" w:rsidRDefault="00573C18" w:rsidP="001D7D03">
            <w:pPr>
              <w:keepNext/>
              <w:jc w:val="right"/>
              <w:rPr>
                <w:rFonts w:ascii="Arial" w:hAnsi="Arial" w:cs="Arial"/>
              </w:rPr>
            </w:pPr>
            <w:r w:rsidRPr="00AC502A">
              <w:rPr>
                <w:rFonts w:ascii="Arial" w:hAnsi="Arial" w:cs="Arial"/>
              </w:rPr>
              <w:t>-</w:t>
            </w:r>
          </w:p>
        </w:tc>
        <w:tc>
          <w:tcPr>
            <w:tcW w:w="1417" w:type="dxa"/>
            <w:tcBorders>
              <w:left w:val="single" w:sz="4" w:space="0" w:color="auto"/>
              <w:right w:val="single" w:sz="4" w:space="0" w:color="auto"/>
            </w:tcBorders>
            <w:shd w:val="clear" w:color="auto" w:fill="auto"/>
            <w:vAlign w:val="center"/>
          </w:tcPr>
          <w:p w14:paraId="46EB2948" w14:textId="78D1147E" w:rsidR="00BF4941" w:rsidRPr="00AC502A" w:rsidRDefault="00C53BBC" w:rsidP="001D7D03">
            <w:pPr>
              <w:keepNext/>
              <w:jc w:val="right"/>
              <w:rPr>
                <w:rFonts w:ascii="Arial" w:hAnsi="Arial" w:cs="Arial"/>
              </w:rPr>
            </w:pPr>
            <w:r w:rsidRPr="00AC502A">
              <w:rPr>
                <w:rFonts w:ascii="Arial" w:hAnsi="Arial" w:cs="Arial"/>
              </w:rPr>
              <w:t>10.00</w:t>
            </w:r>
          </w:p>
        </w:tc>
        <w:tc>
          <w:tcPr>
            <w:tcW w:w="1417" w:type="dxa"/>
            <w:tcBorders>
              <w:left w:val="single" w:sz="4" w:space="0" w:color="auto"/>
              <w:right w:val="single" w:sz="4" w:space="0" w:color="auto"/>
            </w:tcBorders>
          </w:tcPr>
          <w:p w14:paraId="469B871F" w14:textId="2A3C6241" w:rsidR="00BF4941" w:rsidRPr="00AC502A" w:rsidRDefault="002A761D" w:rsidP="001D7D03">
            <w:pPr>
              <w:keepNext/>
              <w:jc w:val="right"/>
              <w:rPr>
                <w:rFonts w:ascii="Arial" w:hAnsi="Arial" w:cs="Arial"/>
              </w:rPr>
            </w:pPr>
            <w:r w:rsidRPr="00AC502A">
              <w:rPr>
                <w:rFonts w:ascii="Arial" w:hAnsi="Arial" w:cs="Arial"/>
              </w:rPr>
              <w:t>10.00</w:t>
            </w:r>
          </w:p>
        </w:tc>
        <w:tc>
          <w:tcPr>
            <w:tcW w:w="1417" w:type="dxa"/>
            <w:tcBorders>
              <w:left w:val="single" w:sz="4" w:space="0" w:color="auto"/>
              <w:right w:val="single" w:sz="4" w:space="0" w:color="auto"/>
            </w:tcBorders>
            <w:shd w:val="clear" w:color="auto" w:fill="auto"/>
            <w:vAlign w:val="center"/>
          </w:tcPr>
          <w:p w14:paraId="579B938A" w14:textId="0D35604F" w:rsidR="00BF4941" w:rsidRPr="00AC502A" w:rsidRDefault="00622332" w:rsidP="001D7D03">
            <w:pPr>
              <w:keepNext/>
              <w:jc w:val="right"/>
              <w:rPr>
                <w:rFonts w:ascii="Arial" w:hAnsi="Arial" w:cs="Arial"/>
              </w:rPr>
            </w:pPr>
            <w:r w:rsidRPr="00AC502A">
              <w:rPr>
                <w:rFonts w:ascii="Arial" w:hAnsi="Arial" w:cs="Arial"/>
              </w:rPr>
              <w:t>5.91</w:t>
            </w:r>
          </w:p>
        </w:tc>
        <w:tc>
          <w:tcPr>
            <w:tcW w:w="1421" w:type="dxa"/>
            <w:tcBorders>
              <w:left w:val="single" w:sz="4" w:space="0" w:color="auto"/>
              <w:right w:val="single" w:sz="4" w:space="0" w:color="auto"/>
            </w:tcBorders>
            <w:shd w:val="clear" w:color="auto" w:fill="auto"/>
            <w:vAlign w:val="center"/>
          </w:tcPr>
          <w:p w14:paraId="067808D3" w14:textId="6814E354" w:rsidR="00BF4941" w:rsidRPr="00AC502A" w:rsidRDefault="008461D1" w:rsidP="001D7D03">
            <w:pPr>
              <w:keepNext/>
              <w:jc w:val="right"/>
              <w:rPr>
                <w:rFonts w:ascii="Arial" w:hAnsi="Arial" w:cs="Arial"/>
              </w:rPr>
            </w:pPr>
            <w:r w:rsidRPr="00AC502A">
              <w:rPr>
                <w:rFonts w:ascii="Arial" w:hAnsi="Arial" w:cs="Arial"/>
              </w:rPr>
              <w:t>1.68</w:t>
            </w:r>
          </w:p>
        </w:tc>
      </w:tr>
      <w:tr w:rsidR="00E53438" w:rsidRPr="000D48C6" w14:paraId="7C292844" w14:textId="77777777" w:rsidTr="00AC502A">
        <w:trPr>
          <w:cantSplit/>
          <w:trHeight w:val="255"/>
          <w:jc w:val="center"/>
        </w:trPr>
        <w:tc>
          <w:tcPr>
            <w:tcW w:w="3402" w:type="dxa"/>
            <w:tcBorders>
              <w:left w:val="single" w:sz="4" w:space="0" w:color="auto"/>
              <w:right w:val="single" w:sz="4" w:space="0" w:color="auto"/>
            </w:tcBorders>
            <w:shd w:val="clear" w:color="auto" w:fill="auto"/>
            <w:noWrap/>
            <w:vAlign w:val="center"/>
          </w:tcPr>
          <w:p w14:paraId="57857887" w14:textId="36D98457" w:rsidR="00E53438" w:rsidRPr="00E53438" w:rsidRDefault="00E53438" w:rsidP="00AC502A">
            <w:pPr>
              <w:keepNext/>
              <w:rPr>
                <w:rFonts w:ascii="Arial" w:hAnsi="Arial" w:cs="Arial"/>
                <w:bCs/>
              </w:rPr>
            </w:pPr>
            <w:r>
              <w:rPr>
                <w:rFonts w:ascii="Arial" w:hAnsi="Arial" w:cs="Arial"/>
                <w:bCs/>
              </w:rPr>
              <w:t>Registered providers*</w:t>
            </w:r>
          </w:p>
        </w:tc>
        <w:tc>
          <w:tcPr>
            <w:tcW w:w="1417" w:type="dxa"/>
            <w:tcBorders>
              <w:left w:val="single" w:sz="4" w:space="0" w:color="auto"/>
              <w:right w:val="single" w:sz="4" w:space="0" w:color="auto"/>
            </w:tcBorders>
          </w:tcPr>
          <w:p w14:paraId="366DBB45" w14:textId="6301B1A9" w:rsidR="00E53438" w:rsidRPr="00E53438" w:rsidRDefault="00E53438" w:rsidP="001D7D03">
            <w:pPr>
              <w:keepNext/>
              <w:jc w:val="right"/>
              <w:rPr>
                <w:rFonts w:ascii="Arial" w:hAnsi="Arial" w:cs="Arial"/>
              </w:rPr>
            </w:pPr>
            <w:r>
              <w:rPr>
                <w:rFonts w:ascii="Arial" w:hAnsi="Arial" w:cs="Arial"/>
              </w:rPr>
              <w:t>0.00</w:t>
            </w:r>
          </w:p>
        </w:tc>
        <w:tc>
          <w:tcPr>
            <w:tcW w:w="1417" w:type="dxa"/>
            <w:tcBorders>
              <w:left w:val="single" w:sz="4" w:space="0" w:color="auto"/>
              <w:right w:val="single" w:sz="4" w:space="0" w:color="auto"/>
            </w:tcBorders>
            <w:shd w:val="clear" w:color="auto" w:fill="auto"/>
            <w:vAlign w:val="center"/>
          </w:tcPr>
          <w:p w14:paraId="2AB612F2" w14:textId="14A157BC" w:rsidR="00E53438" w:rsidRPr="00E53438" w:rsidRDefault="00E53438" w:rsidP="001D7D03">
            <w:pPr>
              <w:keepNext/>
              <w:jc w:val="right"/>
              <w:rPr>
                <w:rFonts w:ascii="Arial" w:hAnsi="Arial" w:cs="Arial"/>
              </w:rPr>
            </w:pPr>
            <w:r>
              <w:rPr>
                <w:rFonts w:ascii="Arial" w:hAnsi="Arial" w:cs="Arial"/>
              </w:rPr>
              <w:t>-</w:t>
            </w:r>
          </w:p>
        </w:tc>
        <w:tc>
          <w:tcPr>
            <w:tcW w:w="1417" w:type="dxa"/>
            <w:tcBorders>
              <w:left w:val="single" w:sz="4" w:space="0" w:color="auto"/>
              <w:right w:val="single" w:sz="4" w:space="0" w:color="auto"/>
            </w:tcBorders>
          </w:tcPr>
          <w:p w14:paraId="26018F54" w14:textId="0982CE80" w:rsidR="00E53438" w:rsidRPr="00E53438" w:rsidRDefault="00E53438" w:rsidP="001D7D03">
            <w:pPr>
              <w:keepNext/>
              <w:jc w:val="right"/>
              <w:rPr>
                <w:rFonts w:ascii="Arial" w:hAnsi="Arial" w:cs="Arial"/>
              </w:rPr>
            </w:pPr>
            <w:r>
              <w:rPr>
                <w:rFonts w:ascii="Arial" w:hAnsi="Arial" w:cs="Arial"/>
              </w:rPr>
              <w:t>0.00</w:t>
            </w:r>
          </w:p>
        </w:tc>
        <w:tc>
          <w:tcPr>
            <w:tcW w:w="1417" w:type="dxa"/>
            <w:tcBorders>
              <w:left w:val="single" w:sz="4" w:space="0" w:color="auto"/>
              <w:right w:val="single" w:sz="4" w:space="0" w:color="auto"/>
            </w:tcBorders>
            <w:shd w:val="clear" w:color="auto" w:fill="auto"/>
            <w:vAlign w:val="center"/>
          </w:tcPr>
          <w:p w14:paraId="24E452F3" w14:textId="58C0C1AB" w:rsidR="00E53438" w:rsidRPr="00E53438" w:rsidRDefault="00E53438" w:rsidP="001D7D03">
            <w:pPr>
              <w:keepNext/>
              <w:jc w:val="right"/>
              <w:rPr>
                <w:rFonts w:ascii="Arial" w:hAnsi="Arial" w:cs="Arial"/>
              </w:rPr>
            </w:pPr>
            <w:r>
              <w:rPr>
                <w:rFonts w:ascii="Arial" w:hAnsi="Arial" w:cs="Arial"/>
              </w:rPr>
              <w:t>N/A</w:t>
            </w:r>
          </w:p>
        </w:tc>
        <w:tc>
          <w:tcPr>
            <w:tcW w:w="1421" w:type="dxa"/>
            <w:tcBorders>
              <w:left w:val="single" w:sz="4" w:space="0" w:color="auto"/>
              <w:right w:val="single" w:sz="4" w:space="0" w:color="auto"/>
            </w:tcBorders>
            <w:shd w:val="clear" w:color="auto" w:fill="auto"/>
            <w:vAlign w:val="center"/>
          </w:tcPr>
          <w:p w14:paraId="664EE80D" w14:textId="5499D11A" w:rsidR="00E53438" w:rsidRPr="00E53438" w:rsidRDefault="00E53438" w:rsidP="001D7D03">
            <w:pPr>
              <w:keepNext/>
              <w:jc w:val="right"/>
              <w:rPr>
                <w:rFonts w:ascii="Arial" w:hAnsi="Arial" w:cs="Arial"/>
              </w:rPr>
            </w:pPr>
            <w:r>
              <w:rPr>
                <w:rFonts w:ascii="Arial" w:hAnsi="Arial" w:cs="Arial"/>
              </w:rPr>
              <w:t>N/A</w:t>
            </w:r>
          </w:p>
        </w:tc>
      </w:tr>
      <w:tr w:rsidR="00D4104A" w:rsidRPr="00384864" w14:paraId="7444D8B2" w14:textId="77777777" w:rsidTr="00AC502A">
        <w:trPr>
          <w:cantSplit/>
          <w:trHeight w:val="255"/>
          <w:jc w:val="center"/>
        </w:trPr>
        <w:tc>
          <w:tcPr>
            <w:tcW w:w="3402" w:type="dxa"/>
            <w:tcBorders>
              <w:left w:val="single" w:sz="4" w:space="0" w:color="auto"/>
              <w:right w:val="single" w:sz="4" w:space="0" w:color="auto"/>
            </w:tcBorders>
            <w:shd w:val="clear" w:color="auto" w:fill="auto"/>
            <w:noWrap/>
            <w:vAlign w:val="center"/>
          </w:tcPr>
          <w:p w14:paraId="25F3CCD0" w14:textId="2202BAB5" w:rsidR="00D4104A" w:rsidRPr="00AC502A" w:rsidRDefault="00D4104A" w:rsidP="004D7C28">
            <w:pPr>
              <w:keepNext/>
              <w:rPr>
                <w:rFonts w:ascii="Arial" w:hAnsi="Arial" w:cs="Arial"/>
              </w:rPr>
            </w:pPr>
            <w:r w:rsidRPr="00AC502A">
              <w:rPr>
                <w:rFonts w:ascii="Arial" w:hAnsi="Arial" w:cs="Arial"/>
              </w:rPr>
              <w:t>Government:</w:t>
            </w:r>
          </w:p>
        </w:tc>
        <w:tc>
          <w:tcPr>
            <w:tcW w:w="1417" w:type="dxa"/>
            <w:tcBorders>
              <w:left w:val="single" w:sz="4" w:space="0" w:color="auto"/>
              <w:right w:val="single" w:sz="4" w:space="0" w:color="auto"/>
            </w:tcBorders>
          </w:tcPr>
          <w:p w14:paraId="15050D06" w14:textId="77777777" w:rsidR="00D4104A" w:rsidRPr="00AC502A" w:rsidRDefault="00D4104A" w:rsidP="004D7C28">
            <w:pPr>
              <w:keepNext/>
              <w:jc w:val="right"/>
              <w:rPr>
                <w:rFonts w:ascii="Arial" w:hAnsi="Arial" w:cs="Arial"/>
              </w:rPr>
            </w:pPr>
          </w:p>
        </w:tc>
        <w:tc>
          <w:tcPr>
            <w:tcW w:w="1417" w:type="dxa"/>
            <w:tcBorders>
              <w:left w:val="single" w:sz="4" w:space="0" w:color="auto"/>
              <w:right w:val="single" w:sz="4" w:space="0" w:color="auto"/>
            </w:tcBorders>
            <w:shd w:val="clear" w:color="auto" w:fill="auto"/>
            <w:vAlign w:val="center"/>
          </w:tcPr>
          <w:p w14:paraId="7DD16143" w14:textId="77777777" w:rsidR="00D4104A" w:rsidRPr="00AC502A" w:rsidRDefault="00D4104A" w:rsidP="004D7C28">
            <w:pPr>
              <w:keepNext/>
              <w:jc w:val="right"/>
              <w:rPr>
                <w:rFonts w:ascii="Arial" w:hAnsi="Arial" w:cs="Arial"/>
              </w:rPr>
            </w:pPr>
          </w:p>
        </w:tc>
        <w:tc>
          <w:tcPr>
            <w:tcW w:w="1417" w:type="dxa"/>
            <w:tcBorders>
              <w:left w:val="single" w:sz="4" w:space="0" w:color="auto"/>
              <w:right w:val="single" w:sz="4" w:space="0" w:color="auto"/>
            </w:tcBorders>
          </w:tcPr>
          <w:p w14:paraId="648D4F7C" w14:textId="77777777" w:rsidR="00D4104A" w:rsidRPr="00AC502A" w:rsidRDefault="00D4104A" w:rsidP="004D7C28">
            <w:pPr>
              <w:keepNext/>
              <w:jc w:val="right"/>
              <w:rPr>
                <w:rFonts w:ascii="Arial" w:hAnsi="Arial" w:cs="Arial"/>
              </w:rPr>
            </w:pPr>
          </w:p>
        </w:tc>
        <w:tc>
          <w:tcPr>
            <w:tcW w:w="1417" w:type="dxa"/>
            <w:tcBorders>
              <w:left w:val="single" w:sz="4" w:space="0" w:color="auto"/>
              <w:right w:val="single" w:sz="4" w:space="0" w:color="auto"/>
            </w:tcBorders>
            <w:shd w:val="clear" w:color="auto" w:fill="auto"/>
            <w:vAlign w:val="center"/>
          </w:tcPr>
          <w:p w14:paraId="1C2F2389" w14:textId="77777777" w:rsidR="00D4104A" w:rsidRPr="00AC502A" w:rsidRDefault="00D4104A" w:rsidP="004D7C28">
            <w:pPr>
              <w:keepNext/>
              <w:jc w:val="right"/>
              <w:rPr>
                <w:rFonts w:ascii="Arial" w:hAnsi="Arial" w:cs="Arial"/>
              </w:rPr>
            </w:pPr>
          </w:p>
        </w:tc>
        <w:tc>
          <w:tcPr>
            <w:tcW w:w="1421" w:type="dxa"/>
            <w:tcBorders>
              <w:left w:val="single" w:sz="4" w:space="0" w:color="auto"/>
              <w:right w:val="single" w:sz="4" w:space="0" w:color="auto"/>
            </w:tcBorders>
            <w:shd w:val="clear" w:color="auto" w:fill="auto"/>
            <w:vAlign w:val="center"/>
          </w:tcPr>
          <w:p w14:paraId="5773104A" w14:textId="77777777" w:rsidR="00D4104A" w:rsidRPr="00AC502A" w:rsidRDefault="00D4104A" w:rsidP="004D7C28">
            <w:pPr>
              <w:keepNext/>
              <w:jc w:val="right"/>
              <w:rPr>
                <w:rFonts w:ascii="Arial" w:hAnsi="Arial" w:cs="Arial"/>
              </w:rPr>
            </w:pPr>
          </w:p>
        </w:tc>
      </w:tr>
      <w:tr w:rsidR="00D14B6D" w:rsidRPr="00384864" w14:paraId="6516CDA4" w14:textId="77777777" w:rsidTr="00AC502A">
        <w:trPr>
          <w:cantSplit/>
          <w:trHeight w:val="255"/>
          <w:jc w:val="center"/>
        </w:trPr>
        <w:tc>
          <w:tcPr>
            <w:tcW w:w="3402" w:type="dxa"/>
            <w:tcBorders>
              <w:left w:val="single" w:sz="4" w:space="0" w:color="auto"/>
              <w:bottom w:val="single" w:sz="4" w:space="0" w:color="auto"/>
              <w:right w:val="single" w:sz="4" w:space="0" w:color="auto"/>
            </w:tcBorders>
            <w:shd w:val="clear" w:color="auto" w:fill="auto"/>
            <w:noWrap/>
            <w:vAlign w:val="bottom"/>
          </w:tcPr>
          <w:p w14:paraId="12AAEBFB" w14:textId="2E85B69A" w:rsidR="00D14B6D" w:rsidRPr="00AC502A" w:rsidRDefault="00502534" w:rsidP="007E4E54">
            <w:pPr>
              <w:keepNext/>
              <w:numPr>
                <w:ilvl w:val="0"/>
                <w:numId w:val="1"/>
              </w:numPr>
              <w:ind w:left="318" w:hanging="284"/>
              <w:rPr>
                <w:rFonts w:ascii="Arial" w:hAnsi="Arial" w:cs="Arial"/>
              </w:rPr>
            </w:pPr>
            <w:r w:rsidRPr="00AC502A">
              <w:rPr>
                <w:rFonts w:ascii="Arial" w:hAnsi="Arial" w:cs="Arial"/>
              </w:rPr>
              <w:t>Supranational bonds</w:t>
            </w:r>
          </w:p>
        </w:tc>
        <w:tc>
          <w:tcPr>
            <w:tcW w:w="1417" w:type="dxa"/>
            <w:tcBorders>
              <w:left w:val="single" w:sz="4" w:space="0" w:color="auto"/>
              <w:bottom w:val="single" w:sz="4" w:space="0" w:color="auto"/>
              <w:right w:val="single" w:sz="4" w:space="0" w:color="auto"/>
            </w:tcBorders>
          </w:tcPr>
          <w:p w14:paraId="55944DCF" w14:textId="5ABB0AE2" w:rsidR="00D14B6D" w:rsidRPr="00AC502A" w:rsidRDefault="00573C18" w:rsidP="007E4E54">
            <w:pPr>
              <w:keepNext/>
              <w:jc w:val="right"/>
              <w:rPr>
                <w:rFonts w:ascii="Arial" w:hAnsi="Arial" w:cs="Arial"/>
              </w:rPr>
            </w:pPr>
            <w:r w:rsidRPr="00AC502A">
              <w:rPr>
                <w:rFonts w:ascii="Arial" w:hAnsi="Arial" w:cs="Arial"/>
              </w:rPr>
              <w:t>-</w:t>
            </w:r>
          </w:p>
        </w:tc>
        <w:tc>
          <w:tcPr>
            <w:tcW w:w="1417" w:type="dxa"/>
            <w:tcBorders>
              <w:left w:val="single" w:sz="4" w:space="0" w:color="auto"/>
              <w:bottom w:val="single" w:sz="4" w:space="0" w:color="auto"/>
              <w:right w:val="single" w:sz="4" w:space="0" w:color="auto"/>
            </w:tcBorders>
            <w:shd w:val="clear" w:color="auto" w:fill="auto"/>
            <w:vAlign w:val="center"/>
          </w:tcPr>
          <w:p w14:paraId="209CFC77" w14:textId="549D713E" w:rsidR="00D14B6D" w:rsidRPr="00AC502A" w:rsidRDefault="00C53BBC" w:rsidP="007E4E54">
            <w:pPr>
              <w:keepNext/>
              <w:jc w:val="right"/>
              <w:rPr>
                <w:rFonts w:ascii="Arial" w:hAnsi="Arial" w:cs="Arial"/>
              </w:rPr>
            </w:pPr>
            <w:r w:rsidRPr="00AC502A">
              <w:rPr>
                <w:rFonts w:ascii="Arial" w:hAnsi="Arial" w:cs="Arial"/>
              </w:rPr>
              <w:t>9.00</w:t>
            </w:r>
          </w:p>
        </w:tc>
        <w:tc>
          <w:tcPr>
            <w:tcW w:w="1417" w:type="dxa"/>
            <w:tcBorders>
              <w:left w:val="single" w:sz="4" w:space="0" w:color="auto"/>
              <w:bottom w:val="single" w:sz="4" w:space="0" w:color="auto"/>
              <w:right w:val="single" w:sz="4" w:space="0" w:color="auto"/>
            </w:tcBorders>
          </w:tcPr>
          <w:p w14:paraId="2D24DC4E" w14:textId="370E3C01" w:rsidR="00D14B6D" w:rsidRPr="00AC502A" w:rsidRDefault="002A761D" w:rsidP="007E4E54">
            <w:pPr>
              <w:keepNext/>
              <w:jc w:val="right"/>
              <w:rPr>
                <w:rFonts w:ascii="Arial" w:hAnsi="Arial" w:cs="Arial"/>
              </w:rPr>
            </w:pPr>
            <w:r w:rsidRPr="00AC502A">
              <w:rPr>
                <w:rFonts w:ascii="Arial" w:hAnsi="Arial" w:cs="Arial"/>
              </w:rPr>
              <w:t>9.00</w:t>
            </w:r>
          </w:p>
        </w:tc>
        <w:tc>
          <w:tcPr>
            <w:tcW w:w="1417" w:type="dxa"/>
            <w:tcBorders>
              <w:left w:val="single" w:sz="4" w:space="0" w:color="auto"/>
              <w:bottom w:val="single" w:sz="4" w:space="0" w:color="auto"/>
              <w:right w:val="single" w:sz="4" w:space="0" w:color="auto"/>
            </w:tcBorders>
            <w:shd w:val="clear" w:color="auto" w:fill="auto"/>
            <w:vAlign w:val="center"/>
          </w:tcPr>
          <w:p w14:paraId="066C0B03" w14:textId="3820BC18" w:rsidR="00D14B6D" w:rsidRPr="00AC502A" w:rsidRDefault="00622332" w:rsidP="007E4E54">
            <w:pPr>
              <w:keepNext/>
              <w:jc w:val="right"/>
              <w:rPr>
                <w:rFonts w:ascii="Arial" w:hAnsi="Arial" w:cs="Arial"/>
              </w:rPr>
            </w:pPr>
            <w:r w:rsidRPr="00AC502A">
              <w:rPr>
                <w:rFonts w:ascii="Arial" w:hAnsi="Arial" w:cs="Arial"/>
              </w:rPr>
              <w:t>4.81</w:t>
            </w:r>
          </w:p>
        </w:tc>
        <w:tc>
          <w:tcPr>
            <w:tcW w:w="1421" w:type="dxa"/>
            <w:tcBorders>
              <w:left w:val="single" w:sz="4" w:space="0" w:color="auto"/>
              <w:bottom w:val="single" w:sz="4" w:space="0" w:color="auto"/>
              <w:right w:val="single" w:sz="4" w:space="0" w:color="auto"/>
            </w:tcBorders>
            <w:shd w:val="clear" w:color="auto" w:fill="auto"/>
            <w:vAlign w:val="center"/>
          </w:tcPr>
          <w:p w14:paraId="79EF1C1F" w14:textId="5ADCB45E" w:rsidR="00D14B6D" w:rsidRPr="00AC502A" w:rsidRDefault="008461D1" w:rsidP="007E4E54">
            <w:pPr>
              <w:keepNext/>
              <w:jc w:val="right"/>
              <w:rPr>
                <w:rFonts w:ascii="Arial" w:hAnsi="Arial" w:cs="Arial"/>
              </w:rPr>
            </w:pPr>
            <w:r w:rsidRPr="00AC502A">
              <w:rPr>
                <w:rFonts w:ascii="Arial" w:hAnsi="Arial" w:cs="Arial"/>
              </w:rPr>
              <w:t>3.09</w:t>
            </w:r>
          </w:p>
        </w:tc>
      </w:tr>
      <w:tr w:rsidR="00D14B6D" w:rsidRPr="00384864" w14:paraId="2DF180A0" w14:textId="77777777" w:rsidTr="00AC502A">
        <w:trPr>
          <w:cantSplit/>
          <w:trHeight w:val="255"/>
          <w:jc w:val="center"/>
        </w:trPr>
        <w:tc>
          <w:tcPr>
            <w:tcW w:w="3402" w:type="dxa"/>
            <w:tcBorders>
              <w:left w:val="single" w:sz="4" w:space="0" w:color="auto"/>
              <w:right w:val="single" w:sz="4" w:space="0" w:color="auto"/>
            </w:tcBorders>
            <w:shd w:val="clear" w:color="auto" w:fill="auto"/>
            <w:noWrap/>
            <w:vAlign w:val="bottom"/>
          </w:tcPr>
          <w:p w14:paraId="5C05DD21" w14:textId="67A0BF3C" w:rsidR="00D14B6D" w:rsidRPr="00AC502A" w:rsidRDefault="00D14B6D" w:rsidP="008B400B">
            <w:pPr>
              <w:keepNext/>
              <w:rPr>
                <w:rFonts w:ascii="Arial" w:hAnsi="Arial" w:cs="Arial"/>
              </w:rPr>
            </w:pPr>
            <w:r w:rsidRPr="00AC502A">
              <w:rPr>
                <w:rFonts w:ascii="Arial" w:hAnsi="Arial" w:cs="Arial"/>
              </w:rPr>
              <w:t>Pooled funds:</w:t>
            </w:r>
          </w:p>
        </w:tc>
        <w:tc>
          <w:tcPr>
            <w:tcW w:w="1417" w:type="dxa"/>
            <w:tcBorders>
              <w:left w:val="single" w:sz="4" w:space="0" w:color="auto"/>
              <w:right w:val="single" w:sz="4" w:space="0" w:color="auto"/>
            </w:tcBorders>
          </w:tcPr>
          <w:p w14:paraId="15A41CC6" w14:textId="77777777" w:rsidR="00D14B6D" w:rsidRPr="00AC502A" w:rsidRDefault="00D14B6D" w:rsidP="007E4E54">
            <w:pPr>
              <w:keepNext/>
              <w:jc w:val="right"/>
              <w:rPr>
                <w:rFonts w:ascii="Arial" w:hAnsi="Arial" w:cs="Arial"/>
              </w:rPr>
            </w:pPr>
          </w:p>
        </w:tc>
        <w:tc>
          <w:tcPr>
            <w:tcW w:w="1417" w:type="dxa"/>
            <w:tcBorders>
              <w:left w:val="single" w:sz="4" w:space="0" w:color="auto"/>
              <w:right w:val="single" w:sz="4" w:space="0" w:color="auto"/>
            </w:tcBorders>
            <w:shd w:val="clear" w:color="auto" w:fill="auto"/>
            <w:vAlign w:val="center"/>
          </w:tcPr>
          <w:p w14:paraId="10D0096B" w14:textId="77777777" w:rsidR="00D14B6D" w:rsidRPr="00AC502A" w:rsidRDefault="00D14B6D" w:rsidP="007E4E54">
            <w:pPr>
              <w:keepNext/>
              <w:jc w:val="right"/>
              <w:rPr>
                <w:rFonts w:ascii="Arial" w:hAnsi="Arial" w:cs="Arial"/>
              </w:rPr>
            </w:pPr>
          </w:p>
        </w:tc>
        <w:tc>
          <w:tcPr>
            <w:tcW w:w="1417" w:type="dxa"/>
            <w:tcBorders>
              <w:left w:val="single" w:sz="4" w:space="0" w:color="auto"/>
              <w:right w:val="single" w:sz="4" w:space="0" w:color="auto"/>
            </w:tcBorders>
          </w:tcPr>
          <w:p w14:paraId="705EC8ED" w14:textId="77777777" w:rsidR="00D14B6D" w:rsidRPr="00AC502A" w:rsidRDefault="00D14B6D" w:rsidP="007E4E54">
            <w:pPr>
              <w:keepNext/>
              <w:jc w:val="right"/>
              <w:rPr>
                <w:rFonts w:ascii="Arial" w:hAnsi="Arial" w:cs="Arial"/>
              </w:rPr>
            </w:pPr>
          </w:p>
        </w:tc>
        <w:tc>
          <w:tcPr>
            <w:tcW w:w="1417" w:type="dxa"/>
            <w:tcBorders>
              <w:left w:val="single" w:sz="4" w:space="0" w:color="auto"/>
              <w:right w:val="single" w:sz="4" w:space="0" w:color="auto"/>
            </w:tcBorders>
            <w:shd w:val="clear" w:color="auto" w:fill="auto"/>
            <w:vAlign w:val="center"/>
          </w:tcPr>
          <w:p w14:paraId="39C7A0FF" w14:textId="632A7F34" w:rsidR="00D14B6D" w:rsidRPr="00AC502A" w:rsidRDefault="00D14B6D" w:rsidP="007E4E54">
            <w:pPr>
              <w:keepNext/>
              <w:jc w:val="right"/>
              <w:rPr>
                <w:rFonts w:ascii="Arial" w:hAnsi="Arial" w:cs="Arial"/>
              </w:rPr>
            </w:pPr>
          </w:p>
        </w:tc>
        <w:tc>
          <w:tcPr>
            <w:tcW w:w="1421" w:type="dxa"/>
            <w:tcBorders>
              <w:left w:val="single" w:sz="4" w:space="0" w:color="auto"/>
              <w:right w:val="single" w:sz="4" w:space="0" w:color="auto"/>
            </w:tcBorders>
            <w:shd w:val="clear" w:color="auto" w:fill="auto"/>
            <w:vAlign w:val="center"/>
          </w:tcPr>
          <w:p w14:paraId="3A78235D" w14:textId="77777777" w:rsidR="00D14B6D" w:rsidRPr="00AC502A" w:rsidRDefault="00D14B6D" w:rsidP="007E4E54">
            <w:pPr>
              <w:keepNext/>
              <w:jc w:val="right"/>
              <w:rPr>
                <w:rFonts w:ascii="Arial" w:hAnsi="Arial" w:cs="Arial"/>
              </w:rPr>
            </w:pPr>
          </w:p>
        </w:tc>
      </w:tr>
      <w:tr w:rsidR="00D14B6D" w:rsidRPr="00384864" w14:paraId="5A706832" w14:textId="77777777" w:rsidTr="00AC502A">
        <w:trPr>
          <w:cantSplit/>
          <w:trHeight w:val="255"/>
          <w:jc w:val="center"/>
        </w:trPr>
        <w:tc>
          <w:tcPr>
            <w:tcW w:w="3402" w:type="dxa"/>
            <w:tcBorders>
              <w:left w:val="single" w:sz="4" w:space="0" w:color="auto"/>
              <w:right w:val="single" w:sz="4" w:space="0" w:color="auto"/>
            </w:tcBorders>
            <w:shd w:val="clear" w:color="auto" w:fill="auto"/>
            <w:noWrap/>
            <w:vAlign w:val="bottom"/>
          </w:tcPr>
          <w:p w14:paraId="43FB1446" w14:textId="557D171A" w:rsidR="00D14B6D" w:rsidRPr="00AC502A" w:rsidRDefault="00D14B6D" w:rsidP="007E4E54">
            <w:pPr>
              <w:keepNext/>
              <w:numPr>
                <w:ilvl w:val="0"/>
                <w:numId w:val="1"/>
              </w:numPr>
              <w:ind w:left="318" w:hanging="284"/>
              <w:rPr>
                <w:rFonts w:ascii="Arial" w:hAnsi="Arial" w:cs="Arial"/>
              </w:rPr>
            </w:pPr>
            <w:r w:rsidRPr="00AC502A">
              <w:rPr>
                <w:rFonts w:ascii="Arial" w:hAnsi="Arial" w:cs="Arial"/>
              </w:rPr>
              <w:t>Pooled property</w:t>
            </w:r>
            <w:r w:rsidRPr="00AC502A">
              <w:rPr>
                <w:rFonts w:ascii="Arial" w:hAnsi="Arial" w:cs="Arial"/>
                <w:bCs/>
              </w:rPr>
              <w:t>*</w:t>
            </w:r>
            <w:r w:rsidR="00256022">
              <w:rPr>
                <w:rFonts w:ascii="Arial" w:hAnsi="Arial" w:cs="Arial"/>
                <w:bCs/>
              </w:rPr>
              <w:t>*</w:t>
            </w:r>
          </w:p>
        </w:tc>
        <w:tc>
          <w:tcPr>
            <w:tcW w:w="1417" w:type="dxa"/>
            <w:tcBorders>
              <w:left w:val="single" w:sz="4" w:space="0" w:color="auto"/>
              <w:right w:val="single" w:sz="4" w:space="0" w:color="auto"/>
            </w:tcBorders>
          </w:tcPr>
          <w:p w14:paraId="0EDBB993" w14:textId="4E78F9CF" w:rsidR="00D14B6D" w:rsidRPr="00AC502A" w:rsidRDefault="00573C18" w:rsidP="007E4E54">
            <w:pPr>
              <w:keepNext/>
              <w:jc w:val="right"/>
              <w:rPr>
                <w:rFonts w:ascii="Arial" w:hAnsi="Arial" w:cs="Arial"/>
              </w:rPr>
            </w:pPr>
            <w:r w:rsidRPr="00AC502A">
              <w:rPr>
                <w:rFonts w:ascii="Arial" w:hAnsi="Arial" w:cs="Arial"/>
              </w:rPr>
              <w:t>4.00</w:t>
            </w:r>
          </w:p>
        </w:tc>
        <w:tc>
          <w:tcPr>
            <w:tcW w:w="1417" w:type="dxa"/>
            <w:tcBorders>
              <w:left w:val="single" w:sz="4" w:space="0" w:color="auto"/>
              <w:right w:val="single" w:sz="4" w:space="0" w:color="auto"/>
            </w:tcBorders>
            <w:shd w:val="clear" w:color="auto" w:fill="auto"/>
            <w:vAlign w:val="center"/>
          </w:tcPr>
          <w:p w14:paraId="1525C370" w14:textId="121456BD" w:rsidR="00D14B6D" w:rsidRPr="00AC502A" w:rsidRDefault="00AB5E2C" w:rsidP="007E4E54">
            <w:pPr>
              <w:keepNext/>
              <w:jc w:val="right"/>
              <w:rPr>
                <w:rFonts w:ascii="Arial" w:hAnsi="Arial" w:cs="Arial"/>
              </w:rPr>
            </w:pPr>
            <w:r w:rsidRPr="00AC502A">
              <w:rPr>
                <w:rFonts w:ascii="Arial" w:hAnsi="Arial" w:cs="Arial"/>
              </w:rPr>
              <w:t>-</w:t>
            </w:r>
          </w:p>
        </w:tc>
        <w:tc>
          <w:tcPr>
            <w:tcW w:w="1417" w:type="dxa"/>
            <w:tcBorders>
              <w:left w:val="single" w:sz="4" w:space="0" w:color="auto"/>
              <w:right w:val="single" w:sz="4" w:space="0" w:color="auto"/>
            </w:tcBorders>
          </w:tcPr>
          <w:p w14:paraId="238EC4EC" w14:textId="315050A6" w:rsidR="00D14B6D" w:rsidRPr="00AC502A" w:rsidRDefault="002A761D" w:rsidP="007E4E54">
            <w:pPr>
              <w:keepNext/>
              <w:jc w:val="right"/>
              <w:rPr>
                <w:rFonts w:ascii="Arial" w:hAnsi="Arial" w:cs="Arial"/>
              </w:rPr>
            </w:pPr>
            <w:r w:rsidRPr="00AC502A">
              <w:rPr>
                <w:rFonts w:ascii="Arial" w:hAnsi="Arial" w:cs="Arial"/>
              </w:rPr>
              <w:t>4.00</w:t>
            </w:r>
          </w:p>
        </w:tc>
        <w:tc>
          <w:tcPr>
            <w:tcW w:w="1417" w:type="dxa"/>
            <w:tcBorders>
              <w:left w:val="single" w:sz="4" w:space="0" w:color="auto"/>
              <w:right w:val="single" w:sz="4" w:space="0" w:color="auto"/>
            </w:tcBorders>
            <w:shd w:val="clear" w:color="auto" w:fill="auto"/>
            <w:vAlign w:val="center"/>
          </w:tcPr>
          <w:p w14:paraId="4E835BC8" w14:textId="7132CEC9" w:rsidR="00D14B6D" w:rsidRPr="00AC502A" w:rsidRDefault="00622332" w:rsidP="007E4E54">
            <w:pPr>
              <w:keepNext/>
              <w:jc w:val="right"/>
              <w:rPr>
                <w:rFonts w:ascii="Arial" w:hAnsi="Arial" w:cs="Arial"/>
              </w:rPr>
            </w:pPr>
            <w:r w:rsidRPr="00AC502A">
              <w:rPr>
                <w:rFonts w:ascii="Arial" w:hAnsi="Arial" w:cs="Arial"/>
              </w:rPr>
              <w:t>5.02</w:t>
            </w:r>
          </w:p>
        </w:tc>
        <w:tc>
          <w:tcPr>
            <w:tcW w:w="1421" w:type="dxa"/>
            <w:tcBorders>
              <w:left w:val="single" w:sz="4" w:space="0" w:color="auto"/>
              <w:right w:val="single" w:sz="4" w:space="0" w:color="auto"/>
            </w:tcBorders>
            <w:shd w:val="clear" w:color="auto" w:fill="auto"/>
            <w:vAlign w:val="center"/>
          </w:tcPr>
          <w:p w14:paraId="2064E9F7" w14:textId="4533F718" w:rsidR="00D14B6D" w:rsidRPr="00AC502A" w:rsidRDefault="008461D1" w:rsidP="007E4E54">
            <w:pPr>
              <w:keepNext/>
              <w:jc w:val="right"/>
              <w:rPr>
                <w:rFonts w:ascii="Arial" w:hAnsi="Arial" w:cs="Arial"/>
              </w:rPr>
            </w:pPr>
            <w:r w:rsidRPr="00AC502A">
              <w:rPr>
                <w:rFonts w:ascii="Arial" w:hAnsi="Arial" w:cs="Arial"/>
              </w:rPr>
              <w:t>N/A</w:t>
            </w:r>
          </w:p>
        </w:tc>
      </w:tr>
      <w:tr w:rsidR="00D14B6D" w:rsidRPr="00384864" w14:paraId="612E967D" w14:textId="77777777" w:rsidTr="00AC502A">
        <w:trPr>
          <w:cantSplit/>
          <w:trHeight w:val="255"/>
          <w:jc w:val="center"/>
        </w:trPr>
        <w:tc>
          <w:tcPr>
            <w:tcW w:w="3402" w:type="dxa"/>
            <w:tcBorders>
              <w:left w:val="single" w:sz="4" w:space="0" w:color="auto"/>
              <w:right w:val="single" w:sz="4" w:space="0" w:color="auto"/>
            </w:tcBorders>
            <w:shd w:val="clear" w:color="auto" w:fill="auto"/>
            <w:noWrap/>
            <w:vAlign w:val="bottom"/>
          </w:tcPr>
          <w:p w14:paraId="255A1A3C" w14:textId="33877F30" w:rsidR="00D14B6D" w:rsidRPr="00AC502A" w:rsidRDefault="00D14B6D" w:rsidP="007E4E54">
            <w:pPr>
              <w:keepNext/>
              <w:numPr>
                <w:ilvl w:val="0"/>
                <w:numId w:val="1"/>
              </w:numPr>
              <w:ind w:left="318" w:hanging="284"/>
              <w:rPr>
                <w:rFonts w:ascii="Arial" w:hAnsi="Arial" w:cs="Arial"/>
              </w:rPr>
            </w:pPr>
            <w:r w:rsidRPr="00AC502A">
              <w:rPr>
                <w:rFonts w:ascii="Arial" w:hAnsi="Arial" w:cs="Arial"/>
              </w:rPr>
              <w:t>Pooled equity</w:t>
            </w:r>
            <w:r w:rsidRPr="00AC502A">
              <w:rPr>
                <w:rFonts w:ascii="Arial" w:hAnsi="Arial" w:cs="Arial"/>
                <w:bCs/>
              </w:rPr>
              <w:t>*</w:t>
            </w:r>
            <w:r w:rsidR="00256022">
              <w:rPr>
                <w:rFonts w:ascii="Arial" w:hAnsi="Arial" w:cs="Arial"/>
                <w:bCs/>
              </w:rPr>
              <w:t>*</w:t>
            </w:r>
          </w:p>
        </w:tc>
        <w:tc>
          <w:tcPr>
            <w:tcW w:w="1417" w:type="dxa"/>
            <w:tcBorders>
              <w:left w:val="single" w:sz="4" w:space="0" w:color="auto"/>
              <w:right w:val="single" w:sz="4" w:space="0" w:color="auto"/>
            </w:tcBorders>
          </w:tcPr>
          <w:p w14:paraId="04825ECC" w14:textId="759B3A25" w:rsidR="00D14B6D" w:rsidRPr="00AC502A" w:rsidRDefault="00573C18" w:rsidP="007E4E54">
            <w:pPr>
              <w:keepNext/>
              <w:jc w:val="right"/>
              <w:rPr>
                <w:rFonts w:ascii="Arial" w:hAnsi="Arial" w:cs="Arial"/>
              </w:rPr>
            </w:pPr>
            <w:r w:rsidRPr="00AC502A">
              <w:rPr>
                <w:rFonts w:ascii="Arial" w:hAnsi="Arial" w:cs="Arial"/>
              </w:rPr>
              <w:t>3.00</w:t>
            </w:r>
          </w:p>
        </w:tc>
        <w:tc>
          <w:tcPr>
            <w:tcW w:w="1417" w:type="dxa"/>
            <w:tcBorders>
              <w:left w:val="single" w:sz="4" w:space="0" w:color="auto"/>
              <w:right w:val="single" w:sz="4" w:space="0" w:color="auto"/>
            </w:tcBorders>
            <w:shd w:val="clear" w:color="auto" w:fill="auto"/>
            <w:vAlign w:val="center"/>
          </w:tcPr>
          <w:p w14:paraId="6DC99113" w14:textId="5F1282E5" w:rsidR="00D14B6D" w:rsidRPr="00AC502A" w:rsidRDefault="00AB5E2C" w:rsidP="007E4E54">
            <w:pPr>
              <w:keepNext/>
              <w:jc w:val="right"/>
              <w:rPr>
                <w:rFonts w:ascii="Arial" w:hAnsi="Arial" w:cs="Arial"/>
              </w:rPr>
            </w:pPr>
            <w:r w:rsidRPr="00AC502A">
              <w:rPr>
                <w:rFonts w:ascii="Arial" w:hAnsi="Arial" w:cs="Arial"/>
              </w:rPr>
              <w:t>(2.00)</w:t>
            </w:r>
          </w:p>
        </w:tc>
        <w:tc>
          <w:tcPr>
            <w:tcW w:w="1417" w:type="dxa"/>
            <w:tcBorders>
              <w:left w:val="single" w:sz="4" w:space="0" w:color="auto"/>
              <w:right w:val="single" w:sz="4" w:space="0" w:color="auto"/>
            </w:tcBorders>
          </w:tcPr>
          <w:p w14:paraId="6B8D4902" w14:textId="643462EE" w:rsidR="00D14B6D" w:rsidRPr="00AC502A" w:rsidRDefault="002A761D" w:rsidP="007E4E54">
            <w:pPr>
              <w:keepNext/>
              <w:jc w:val="right"/>
              <w:rPr>
                <w:rFonts w:ascii="Arial" w:hAnsi="Arial" w:cs="Arial"/>
              </w:rPr>
            </w:pPr>
            <w:r w:rsidRPr="00AC502A">
              <w:rPr>
                <w:rFonts w:ascii="Arial" w:hAnsi="Arial" w:cs="Arial"/>
              </w:rPr>
              <w:t>1.00</w:t>
            </w:r>
          </w:p>
        </w:tc>
        <w:tc>
          <w:tcPr>
            <w:tcW w:w="1417" w:type="dxa"/>
            <w:tcBorders>
              <w:left w:val="single" w:sz="4" w:space="0" w:color="auto"/>
              <w:right w:val="single" w:sz="4" w:space="0" w:color="auto"/>
            </w:tcBorders>
            <w:shd w:val="clear" w:color="auto" w:fill="auto"/>
            <w:vAlign w:val="center"/>
          </w:tcPr>
          <w:p w14:paraId="7C080F2C" w14:textId="48C43933" w:rsidR="00D14B6D" w:rsidRPr="00AC502A" w:rsidRDefault="00622332" w:rsidP="007E4E54">
            <w:pPr>
              <w:keepNext/>
              <w:jc w:val="right"/>
              <w:rPr>
                <w:rFonts w:ascii="Arial" w:hAnsi="Arial" w:cs="Arial"/>
              </w:rPr>
            </w:pPr>
            <w:r w:rsidRPr="00AC502A">
              <w:rPr>
                <w:rFonts w:ascii="Arial" w:hAnsi="Arial" w:cs="Arial"/>
              </w:rPr>
              <w:t>7.06</w:t>
            </w:r>
          </w:p>
        </w:tc>
        <w:tc>
          <w:tcPr>
            <w:tcW w:w="1421" w:type="dxa"/>
            <w:tcBorders>
              <w:left w:val="single" w:sz="4" w:space="0" w:color="auto"/>
              <w:right w:val="single" w:sz="4" w:space="0" w:color="auto"/>
            </w:tcBorders>
            <w:shd w:val="clear" w:color="auto" w:fill="auto"/>
            <w:vAlign w:val="center"/>
          </w:tcPr>
          <w:p w14:paraId="5C3B1201" w14:textId="2AD33338" w:rsidR="00D14B6D" w:rsidRPr="00AC502A" w:rsidRDefault="000E74F4" w:rsidP="007E4E54">
            <w:pPr>
              <w:keepNext/>
              <w:jc w:val="right"/>
              <w:rPr>
                <w:rFonts w:ascii="Arial" w:hAnsi="Arial" w:cs="Arial"/>
              </w:rPr>
            </w:pPr>
            <w:r w:rsidRPr="00AC502A">
              <w:rPr>
                <w:rFonts w:ascii="Arial" w:hAnsi="Arial" w:cs="Arial"/>
              </w:rPr>
              <w:t>N/A</w:t>
            </w:r>
          </w:p>
        </w:tc>
      </w:tr>
      <w:tr w:rsidR="00D14B6D" w:rsidRPr="00384864" w14:paraId="181407E5" w14:textId="77777777" w:rsidTr="00AC502A">
        <w:trPr>
          <w:cantSplit/>
          <w:trHeight w:val="255"/>
          <w:jc w:val="center"/>
        </w:trPr>
        <w:tc>
          <w:tcPr>
            <w:tcW w:w="3402" w:type="dxa"/>
            <w:tcBorders>
              <w:left w:val="single" w:sz="4" w:space="0" w:color="auto"/>
              <w:bottom w:val="single" w:sz="4" w:space="0" w:color="auto"/>
              <w:right w:val="single" w:sz="4" w:space="0" w:color="auto"/>
            </w:tcBorders>
            <w:shd w:val="clear" w:color="auto" w:fill="auto"/>
            <w:noWrap/>
            <w:vAlign w:val="bottom"/>
          </w:tcPr>
          <w:p w14:paraId="7CD3C00E" w14:textId="7F58DB90" w:rsidR="00D14B6D" w:rsidRPr="00AC502A" w:rsidRDefault="00D14B6D" w:rsidP="007E4E54">
            <w:pPr>
              <w:keepNext/>
              <w:numPr>
                <w:ilvl w:val="0"/>
                <w:numId w:val="1"/>
              </w:numPr>
              <w:ind w:left="318" w:hanging="284"/>
              <w:rPr>
                <w:rFonts w:ascii="Arial" w:hAnsi="Arial" w:cs="Arial"/>
              </w:rPr>
            </w:pPr>
            <w:r w:rsidRPr="00AC502A">
              <w:rPr>
                <w:rFonts w:ascii="Arial" w:hAnsi="Arial" w:cs="Arial"/>
              </w:rPr>
              <w:t>Pooled multi-asset</w:t>
            </w:r>
            <w:r w:rsidRPr="00AC502A">
              <w:rPr>
                <w:rFonts w:ascii="Arial" w:hAnsi="Arial" w:cs="Arial"/>
                <w:bCs/>
              </w:rPr>
              <w:t>*</w:t>
            </w:r>
            <w:r w:rsidR="00256022">
              <w:rPr>
                <w:rFonts w:ascii="Arial" w:hAnsi="Arial" w:cs="Arial"/>
                <w:bCs/>
              </w:rPr>
              <w:t>*</w:t>
            </w:r>
          </w:p>
        </w:tc>
        <w:tc>
          <w:tcPr>
            <w:tcW w:w="1417" w:type="dxa"/>
            <w:tcBorders>
              <w:left w:val="single" w:sz="4" w:space="0" w:color="auto"/>
              <w:bottom w:val="single" w:sz="4" w:space="0" w:color="auto"/>
              <w:right w:val="single" w:sz="4" w:space="0" w:color="auto"/>
            </w:tcBorders>
          </w:tcPr>
          <w:p w14:paraId="27763141" w14:textId="0360AF15" w:rsidR="00D14B6D" w:rsidRPr="00AC502A" w:rsidRDefault="00573C18" w:rsidP="007E4E54">
            <w:pPr>
              <w:keepNext/>
              <w:jc w:val="right"/>
              <w:rPr>
                <w:rFonts w:ascii="Arial" w:hAnsi="Arial" w:cs="Arial"/>
              </w:rPr>
            </w:pPr>
            <w:r w:rsidRPr="00AC502A">
              <w:rPr>
                <w:rFonts w:ascii="Arial" w:hAnsi="Arial" w:cs="Arial"/>
              </w:rPr>
              <w:t>3.00</w:t>
            </w:r>
          </w:p>
        </w:tc>
        <w:tc>
          <w:tcPr>
            <w:tcW w:w="1417" w:type="dxa"/>
            <w:tcBorders>
              <w:left w:val="single" w:sz="4" w:space="0" w:color="auto"/>
              <w:bottom w:val="single" w:sz="4" w:space="0" w:color="auto"/>
              <w:right w:val="single" w:sz="4" w:space="0" w:color="auto"/>
            </w:tcBorders>
            <w:shd w:val="clear" w:color="auto" w:fill="auto"/>
            <w:vAlign w:val="center"/>
          </w:tcPr>
          <w:p w14:paraId="4503B55A" w14:textId="2F2973E6" w:rsidR="00D14B6D" w:rsidRPr="00AC502A" w:rsidRDefault="00AB5E2C" w:rsidP="007E4E54">
            <w:pPr>
              <w:keepNext/>
              <w:jc w:val="right"/>
              <w:rPr>
                <w:rFonts w:ascii="Arial" w:hAnsi="Arial" w:cs="Arial"/>
              </w:rPr>
            </w:pPr>
            <w:r w:rsidRPr="00AC502A">
              <w:rPr>
                <w:rFonts w:ascii="Arial" w:hAnsi="Arial" w:cs="Arial"/>
              </w:rPr>
              <w:t>(3.00)</w:t>
            </w:r>
          </w:p>
        </w:tc>
        <w:tc>
          <w:tcPr>
            <w:tcW w:w="1417" w:type="dxa"/>
            <w:tcBorders>
              <w:left w:val="single" w:sz="4" w:space="0" w:color="auto"/>
              <w:bottom w:val="single" w:sz="4" w:space="0" w:color="auto"/>
              <w:right w:val="single" w:sz="4" w:space="0" w:color="auto"/>
            </w:tcBorders>
          </w:tcPr>
          <w:p w14:paraId="3BA1EB0C" w14:textId="64500C07" w:rsidR="00D14B6D" w:rsidRPr="00AC502A" w:rsidRDefault="002A761D" w:rsidP="007E4E54">
            <w:pPr>
              <w:keepNext/>
              <w:jc w:val="right"/>
              <w:rPr>
                <w:rFonts w:ascii="Arial" w:hAnsi="Arial" w:cs="Arial"/>
              </w:rPr>
            </w:pPr>
            <w:r w:rsidRPr="00AC502A">
              <w:rPr>
                <w:rFonts w:ascii="Arial" w:hAnsi="Arial" w:cs="Arial"/>
              </w:rPr>
              <w:t>-</w:t>
            </w:r>
          </w:p>
        </w:tc>
        <w:tc>
          <w:tcPr>
            <w:tcW w:w="1417" w:type="dxa"/>
            <w:tcBorders>
              <w:left w:val="single" w:sz="4" w:space="0" w:color="auto"/>
              <w:bottom w:val="single" w:sz="4" w:space="0" w:color="auto"/>
              <w:right w:val="single" w:sz="4" w:space="0" w:color="auto"/>
            </w:tcBorders>
            <w:shd w:val="clear" w:color="auto" w:fill="auto"/>
            <w:vAlign w:val="center"/>
          </w:tcPr>
          <w:p w14:paraId="55B2C0EA" w14:textId="6DEA61B3" w:rsidR="00D14B6D" w:rsidRPr="00AC502A" w:rsidRDefault="000E74F4" w:rsidP="007E4E54">
            <w:pPr>
              <w:keepNext/>
              <w:jc w:val="right"/>
              <w:rPr>
                <w:rFonts w:ascii="Arial" w:hAnsi="Arial" w:cs="Arial"/>
              </w:rPr>
            </w:pPr>
            <w:r w:rsidRPr="00AC502A">
              <w:rPr>
                <w:rFonts w:ascii="Arial" w:hAnsi="Arial" w:cs="Arial"/>
              </w:rPr>
              <w:t>N/A</w:t>
            </w:r>
          </w:p>
        </w:tc>
        <w:tc>
          <w:tcPr>
            <w:tcW w:w="1421" w:type="dxa"/>
            <w:tcBorders>
              <w:left w:val="single" w:sz="4" w:space="0" w:color="auto"/>
              <w:bottom w:val="single" w:sz="4" w:space="0" w:color="auto"/>
              <w:right w:val="single" w:sz="4" w:space="0" w:color="auto"/>
            </w:tcBorders>
            <w:shd w:val="clear" w:color="auto" w:fill="auto"/>
            <w:vAlign w:val="center"/>
          </w:tcPr>
          <w:p w14:paraId="459FA1EE" w14:textId="53B30537" w:rsidR="00D14B6D" w:rsidRPr="00AC502A" w:rsidRDefault="000E74F4" w:rsidP="007E4E54">
            <w:pPr>
              <w:keepNext/>
              <w:jc w:val="right"/>
              <w:rPr>
                <w:rFonts w:ascii="Arial" w:hAnsi="Arial" w:cs="Arial"/>
              </w:rPr>
            </w:pPr>
            <w:r w:rsidRPr="00AC502A">
              <w:rPr>
                <w:rFonts w:ascii="Arial" w:hAnsi="Arial" w:cs="Arial"/>
              </w:rPr>
              <w:t>N/A</w:t>
            </w:r>
          </w:p>
        </w:tc>
      </w:tr>
      <w:tr w:rsidR="002A761D" w:rsidRPr="00384864" w14:paraId="33725710" w14:textId="77777777" w:rsidTr="00AC502A">
        <w:trPr>
          <w:cantSplit/>
          <w:trHeight w:val="255"/>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0295A" w14:textId="57E379E4" w:rsidR="002A761D" w:rsidRPr="00AC502A" w:rsidRDefault="002A761D" w:rsidP="002A761D">
            <w:pPr>
              <w:keepNext/>
              <w:rPr>
                <w:rFonts w:ascii="Arial" w:hAnsi="Arial" w:cs="Arial"/>
                <w:b/>
              </w:rPr>
            </w:pPr>
            <w:r w:rsidRPr="00AC502A">
              <w:rPr>
                <w:rFonts w:ascii="Arial" w:hAnsi="Arial" w:cs="Arial"/>
                <w:b/>
              </w:rPr>
              <w:t>Total</w:t>
            </w:r>
          </w:p>
        </w:tc>
        <w:tc>
          <w:tcPr>
            <w:tcW w:w="1417" w:type="dxa"/>
            <w:tcBorders>
              <w:top w:val="single" w:sz="4" w:space="0" w:color="auto"/>
              <w:left w:val="single" w:sz="4" w:space="0" w:color="auto"/>
              <w:bottom w:val="single" w:sz="4" w:space="0" w:color="auto"/>
              <w:right w:val="single" w:sz="4" w:space="0" w:color="auto"/>
            </w:tcBorders>
            <w:vAlign w:val="center"/>
          </w:tcPr>
          <w:p w14:paraId="71297E24" w14:textId="15DBEC1F" w:rsidR="002A761D" w:rsidRPr="00AC502A" w:rsidRDefault="002A761D" w:rsidP="002A761D">
            <w:pPr>
              <w:keepNext/>
              <w:jc w:val="right"/>
              <w:rPr>
                <w:rFonts w:ascii="Arial" w:hAnsi="Arial" w:cs="Arial"/>
                <w:b/>
              </w:rPr>
            </w:pPr>
            <w:r w:rsidRPr="00AC502A">
              <w:rPr>
                <w:rFonts w:ascii="Arial" w:hAnsi="Arial" w:cs="Arial"/>
                <w:b/>
              </w:rPr>
              <w:t>15.09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CDEFDF" w14:textId="30FE0C46" w:rsidR="002A761D" w:rsidRPr="00AC502A" w:rsidRDefault="002A761D" w:rsidP="002A761D">
            <w:pPr>
              <w:keepNext/>
              <w:jc w:val="right"/>
              <w:rPr>
                <w:rFonts w:ascii="Arial" w:hAnsi="Arial" w:cs="Arial"/>
                <w:b/>
              </w:rPr>
            </w:pPr>
            <w:r w:rsidRPr="00AC502A">
              <w:rPr>
                <w:rFonts w:ascii="Arial" w:hAnsi="Arial" w:cs="Arial"/>
                <w:b/>
              </w:rPr>
              <w:t>8.91</w:t>
            </w:r>
          </w:p>
        </w:tc>
        <w:tc>
          <w:tcPr>
            <w:tcW w:w="1417" w:type="dxa"/>
            <w:tcBorders>
              <w:top w:val="single" w:sz="4" w:space="0" w:color="auto"/>
              <w:left w:val="single" w:sz="4" w:space="0" w:color="auto"/>
              <w:bottom w:val="single" w:sz="4" w:space="0" w:color="auto"/>
              <w:right w:val="single" w:sz="4" w:space="0" w:color="auto"/>
            </w:tcBorders>
            <w:vAlign w:val="center"/>
          </w:tcPr>
          <w:p w14:paraId="46665BC5" w14:textId="1D2996F3" w:rsidR="002A761D" w:rsidRPr="00AC502A" w:rsidRDefault="002A761D" w:rsidP="002A761D">
            <w:pPr>
              <w:keepNext/>
              <w:jc w:val="right"/>
              <w:rPr>
                <w:rFonts w:ascii="Arial" w:hAnsi="Arial" w:cs="Arial"/>
                <w:b/>
              </w:rPr>
            </w:pPr>
            <w:r w:rsidRPr="00AC502A">
              <w:rPr>
                <w:rFonts w:ascii="Arial" w:hAnsi="Arial" w:cs="Arial"/>
                <w:b/>
              </w:rPr>
              <w:t>24.00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CAF3CE" w14:textId="4A6EE461" w:rsidR="002A761D" w:rsidRPr="00AC502A" w:rsidRDefault="002A761D" w:rsidP="002A761D">
            <w:pPr>
              <w:keepNext/>
              <w:jc w:val="right"/>
              <w:rPr>
                <w:rFonts w:ascii="Arial" w:hAnsi="Arial" w:cs="Arial"/>
                <w:b/>
              </w:rPr>
            </w:pPr>
            <w:r w:rsidRPr="00AC502A">
              <w:rPr>
                <w:rFonts w:ascii="Arial" w:hAnsi="Arial" w:cs="Arial"/>
                <w:b/>
              </w:rPr>
              <w:t>5.40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FF7E0A8" w14:textId="1B3C374E" w:rsidR="002A761D" w:rsidRPr="00AC502A" w:rsidRDefault="002A761D" w:rsidP="002A761D">
            <w:pPr>
              <w:keepNext/>
              <w:jc w:val="right"/>
              <w:rPr>
                <w:rFonts w:ascii="Arial" w:hAnsi="Arial" w:cs="Arial"/>
                <w:b/>
              </w:rPr>
            </w:pPr>
            <w:r w:rsidRPr="00AC502A">
              <w:rPr>
                <w:rFonts w:ascii="Arial" w:hAnsi="Arial" w:cs="Arial"/>
                <w:b/>
              </w:rPr>
              <w:t>1.86</w:t>
            </w:r>
          </w:p>
        </w:tc>
      </w:tr>
      <w:tr w:rsidR="002A761D" w:rsidRPr="00C64046" w14:paraId="28A5E7ED" w14:textId="77777777" w:rsidTr="00AC502A">
        <w:trPr>
          <w:cantSplit/>
          <w:trHeight w:val="283"/>
          <w:jc w:val="center"/>
        </w:trPr>
        <w:tc>
          <w:tcPr>
            <w:tcW w:w="3402" w:type="dxa"/>
            <w:tcBorders>
              <w:left w:val="single" w:sz="4" w:space="0" w:color="auto"/>
              <w:bottom w:val="single" w:sz="4" w:space="0" w:color="auto"/>
              <w:right w:val="single" w:sz="4" w:space="0" w:color="auto"/>
            </w:tcBorders>
            <w:shd w:val="clear" w:color="auto" w:fill="auto"/>
            <w:noWrap/>
            <w:vAlign w:val="center"/>
          </w:tcPr>
          <w:p w14:paraId="4482C5F9" w14:textId="45589394" w:rsidR="002A761D" w:rsidRPr="00AC502A" w:rsidRDefault="002A761D" w:rsidP="002A761D">
            <w:pPr>
              <w:keepNext/>
              <w:rPr>
                <w:rFonts w:ascii="Arial" w:hAnsi="Arial" w:cs="Arial"/>
                <w:b/>
              </w:rPr>
            </w:pPr>
            <w:r w:rsidRPr="00AC502A">
              <w:rPr>
                <w:rFonts w:ascii="Arial" w:hAnsi="Arial" w:cs="Arial"/>
                <w:b/>
              </w:rPr>
              <w:t>Total investments</w:t>
            </w:r>
          </w:p>
        </w:tc>
        <w:tc>
          <w:tcPr>
            <w:tcW w:w="1417" w:type="dxa"/>
            <w:tcBorders>
              <w:left w:val="single" w:sz="4" w:space="0" w:color="auto"/>
              <w:bottom w:val="single" w:sz="4" w:space="0" w:color="auto"/>
              <w:right w:val="single" w:sz="4" w:space="0" w:color="auto"/>
            </w:tcBorders>
            <w:vAlign w:val="center"/>
          </w:tcPr>
          <w:p w14:paraId="46664E02" w14:textId="70226B8C" w:rsidR="002A761D" w:rsidRPr="00AC502A" w:rsidRDefault="002A761D" w:rsidP="002A761D">
            <w:pPr>
              <w:keepNext/>
              <w:jc w:val="right"/>
              <w:rPr>
                <w:rFonts w:ascii="Arial" w:hAnsi="Arial" w:cs="Arial"/>
                <w:b/>
              </w:rPr>
            </w:pPr>
            <w:r w:rsidRPr="00AC502A">
              <w:rPr>
                <w:rFonts w:ascii="Arial" w:hAnsi="Arial" w:cs="Arial"/>
                <w:b/>
              </w:rPr>
              <w:t>106.91</w:t>
            </w:r>
          </w:p>
        </w:tc>
        <w:tc>
          <w:tcPr>
            <w:tcW w:w="1417" w:type="dxa"/>
            <w:tcBorders>
              <w:left w:val="single" w:sz="4" w:space="0" w:color="auto"/>
              <w:bottom w:val="single" w:sz="4" w:space="0" w:color="auto"/>
              <w:right w:val="single" w:sz="4" w:space="0" w:color="auto"/>
            </w:tcBorders>
            <w:shd w:val="clear" w:color="auto" w:fill="auto"/>
            <w:vAlign w:val="center"/>
          </w:tcPr>
          <w:p w14:paraId="3DAE5B2C" w14:textId="7384CD3F" w:rsidR="002A761D" w:rsidRPr="00AC502A" w:rsidRDefault="002A761D" w:rsidP="002A761D">
            <w:pPr>
              <w:keepNext/>
              <w:jc w:val="right"/>
              <w:rPr>
                <w:rFonts w:ascii="Arial" w:hAnsi="Arial" w:cs="Arial"/>
                <w:b/>
              </w:rPr>
            </w:pPr>
            <w:r w:rsidRPr="00AC502A">
              <w:rPr>
                <w:rFonts w:ascii="Arial" w:hAnsi="Arial" w:cs="Arial"/>
                <w:b/>
              </w:rPr>
              <w:t>(9.10)</w:t>
            </w:r>
          </w:p>
        </w:tc>
        <w:tc>
          <w:tcPr>
            <w:tcW w:w="1417" w:type="dxa"/>
            <w:tcBorders>
              <w:left w:val="single" w:sz="4" w:space="0" w:color="auto"/>
              <w:bottom w:val="single" w:sz="4" w:space="0" w:color="auto"/>
              <w:right w:val="single" w:sz="4" w:space="0" w:color="auto"/>
            </w:tcBorders>
            <w:vAlign w:val="center"/>
          </w:tcPr>
          <w:p w14:paraId="0A7D434A" w14:textId="48C2DF99" w:rsidR="002A761D" w:rsidRPr="00AC502A" w:rsidRDefault="002A761D" w:rsidP="002A761D">
            <w:pPr>
              <w:keepNext/>
              <w:jc w:val="right"/>
              <w:rPr>
                <w:rFonts w:ascii="Arial" w:hAnsi="Arial" w:cs="Arial"/>
                <w:b/>
              </w:rPr>
            </w:pPr>
            <w:r w:rsidRPr="00AC502A">
              <w:rPr>
                <w:rFonts w:ascii="Arial" w:hAnsi="Arial" w:cs="Arial"/>
                <w:b/>
              </w:rPr>
              <w:t>97.81</w:t>
            </w:r>
          </w:p>
        </w:tc>
        <w:tc>
          <w:tcPr>
            <w:tcW w:w="1417" w:type="dxa"/>
            <w:tcBorders>
              <w:left w:val="single" w:sz="4" w:space="0" w:color="auto"/>
              <w:bottom w:val="single" w:sz="4" w:space="0" w:color="auto"/>
              <w:right w:val="single" w:sz="4" w:space="0" w:color="auto"/>
            </w:tcBorders>
            <w:shd w:val="clear" w:color="auto" w:fill="auto"/>
            <w:vAlign w:val="center"/>
          </w:tcPr>
          <w:p w14:paraId="6019D031" w14:textId="7708D834" w:rsidR="002A761D" w:rsidRPr="00AC502A" w:rsidRDefault="002A761D" w:rsidP="002A761D">
            <w:pPr>
              <w:keepNext/>
              <w:jc w:val="right"/>
              <w:rPr>
                <w:rFonts w:ascii="Arial" w:hAnsi="Arial" w:cs="Arial"/>
                <w:b/>
              </w:rPr>
            </w:pPr>
            <w:r w:rsidRPr="00AC502A">
              <w:rPr>
                <w:rFonts w:ascii="Arial" w:hAnsi="Arial" w:cs="Arial"/>
                <w:b/>
              </w:rPr>
              <w:t>5.27</w:t>
            </w:r>
          </w:p>
        </w:tc>
        <w:tc>
          <w:tcPr>
            <w:tcW w:w="1421" w:type="dxa"/>
            <w:tcBorders>
              <w:left w:val="single" w:sz="4" w:space="0" w:color="auto"/>
              <w:bottom w:val="single" w:sz="4" w:space="0" w:color="auto"/>
              <w:right w:val="single" w:sz="4" w:space="0" w:color="auto"/>
            </w:tcBorders>
            <w:shd w:val="clear" w:color="auto" w:fill="auto"/>
            <w:vAlign w:val="center"/>
          </w:tcPr>
          <w:p w14:paraId="5954E36E" w14:textId="295B4B1D" w:rsidR="002A761D" w:rsidRPr="00AC502A" w:rsidRDefault="002A761D" w:rsidP="002A761D">
            <w:pPr>
              <w:keepNext/>
              <w:jc w:val="right"/>
              <w:rPr>
                <w:rFonts w:ascii="Arial" w:hAnsi="Arial" w:cs="Arial"/>
                <w:b/>
              </w:rPr>
            </w:pPr>
            <w:r w:rsidRPr="00AC502A">
              <w:rPr>
                <w:rFonts w:ascii="Arial" w:hAnsi="Arial" w:cs="Arial"/>
                <w:b/>
              </w:rPr>
              <w:t>0.64</w:t>
            </w:r>
          </w:p>
        </w:tc>
      </w:tr>
    </w:tbl>
    <w:p w14:paraId="28E2A280" w14:textId="1B9AA48C" w:rsidR="00E53438" w:rsidRPr="00AC502A" w:rsidRDefault="00E53438" w:rsidP="00AC502A">
      <w:pPr>
        <w:pStyle w:val="ListParagraph"/>
        <w:spacing w:after="240"/>
        <w:rPr>
          <w:rFonts w:ascii="Arial" w:hAnsi="Arial" w:cs="Arial"/>
        </w:rPr>
      </w:pPr>
      <w:r w:rsidRPr="00AC502A">
        <w:rPr>
          <w:rFonts w:ascii="Arial" w:hAnsi="Arial" w:cs="Arial"/>
        </w:rPr>
        <w:t>* Revolving credit facilities totalling £</w:t>
      </w:r>
      <w:r w:rsidR="003F657C" w:rsidRPr="00AC502A">
        <w:rPr>
          <w:rFonts w:ascii="Arial" w:hAnsi="Arial" w:cs="Arial"/>
        </w:rPr>
        <w:t>5</w:t>
      </w:r>
      <w:r w:rsidRPr="00AC502A">
        <w:rPr>
          <w:rFonts w:ascii="Arial" w:hAnsi="Arial" w:cs="Arial"/>
        </w:rPr>
        <w:t xml:space="preserve">m are in place with registered providers, currently not drawn.  These agreements provide the </w:t>
      </w:r>
      <w:r w:rsidRPr="00027D0F">
        <w:rPr>
          <w:rFonts w:ascii="Arial" w:hAnsi="Arial" w:cs="Arial"/>
        </w:rPr>
        <w:t>PCC</w:t>
      </w:r>
      <w:r w:rsidRPr="00AC502A">
        <w:rPr>
          <w:rFonts w:ascii="Arial" w:hAnsi="Arial" w:cs="Arial"/>
        </w:rPr>
        <w:t xml:space="preserve"> with an average non-utilisation fee of </w:t>
      </w:r>
      <w:r w:rsidR="006D764A" w:rsidRPr="00AC502A">
        <w:rPr>
          <w:rFonts w:ascii="Arial" w:hAnsi="Arial" w:cs="Arial"/>
        </w:rPr>
        <w:t>0.30</w:t>
      </w:r>
      <w:r w:rsidRPr="00AC502A">
        <w:rPr>
          <w:rFonts w:ascii="Arial" w:hAnsi="Arial" w:cs="Arial"/>
        </w:rPr>
        <w:t>% per annum by reference to the undrawn amounts of the facilities.</w:t>
      </w:r>
    </w:p>
    <w:p w14:paraId="65BA6F40" w14:textId="16A7622F" w:rsidR="00DE6341" w:rsidRPr="00AC502A" w:rsidRDefault="00DE6341" w:rsidP="00DE6341">
      <w:pPr>
        <w:pStyle w:val="ListParagraph"/>
        <w:spacing w:after="240"/>
        <w:rPr>
          <w:rFonts w:ascii="Arial" w:hAnsi="Arial" w:cs="Arial"/>
        </w:rPr>
      </w:pPr>
      <w:r w:rsidRPr="00AC502A">
        <w:rPr>
          <w:rFonts w:ascii="Arial" w:hAnsi="Arial" w:cs="Arial"/>
        </w:rPr>
        <w:t>*</w:t>
      </w:r>
      <w:r w:rsidR="00256022">
        <w:rPr>
          <w:rFonts w:ascii="Arial" w:hAnsi="Arial" w:cs="Arial"/>
        </w:rPr>
        <w:t>*</w:t>
      </w:r>
      <w:r w:rsidRPr="00AC502A">
        <w:rPr>
          <w:rFonts w:ascii="Arial" w:hAnsi="Arial" w:cs="Arial"/>
        </w:rPr>
        <w:t xml:space="preserve"> The rates provided for pooled fund investments are reflective of </w:t>
      </w:r>
      <w:r w:rsidR="00136AB8" w:rsidRPr="00AC502A">
        <w:rPr>
          <w:rFonts w:ascii="Arial" w:hAnsi="Arial" w:cs="Arial"/>
        </w:rPr>
        <w:t>annualised income</w:t>
      </w:r>
      <w:r w:rsidR="00B57A7B" w:rsidRPr="00AC502A">
        <w:rPr>
          <w:rFonts w:ascii="Arial" w:hAnsi="Arial" w:cs="Arial"/>
        </w:rPr>
        <w:t xml:space="preserve"> returns</w:t>
      </w:r>
      <w:r w:rsidR="00515E42" w:rsidRPr="00AC502A">
        <w:rPr>
          <w:rFonts w:ascii="Arial" w:hAnsi="Arial" w:cs="Arial"/>
        </w:rPr>
        <w:t xml:space="preserve"> over the year to 31 March 202</w:t>
      </w:r>
      <w:r w:rsidR="00B60248" w:rsidRPr="00AC502A">
        <w:rPr>
          <w:rFonts w:ascii="Arial" w:hAnsi="Arial" w:cs="Arial"/>
        </w:rPr>
        <w:t>4</w:t>
      </w:r>
      <w:r w:rsidR="00A33177" w:rsidRPr="00AC502A">
        <w:rPr>
          <w:rFonts w:ascii="Arial" w:hAnsi="Arial" w:cs="Arial"/>
        </w:rPr>
        <w:t xml:space="preserve"> based on the market value of investments at the start of the year</w:t>
      </w:r>
      <w:r w:rsidRPr="00AC502A">
        <w:rPr>
          <w:rFonts w:ascii="Arial" w:hAnsi="Arial" w:cs="Arial"/>
        </w:rPr>
        <w:t>.</w:t>
      </w:r>
    </w:p>
    <w:p w14:paraId="3C4ACD15" w14:textId="6AD0E5F6" w:rsidR="00DE6341" w:rsidRPr="00AC502A" w:rsidRDefault="00DE6341" w:rsidP="00DE6341">
      <w:pPr>
        <w:pStyle w:val="ListParagraph"/>
        <w:spacing w:after="240"/>
        <w:rPr>
          <w:rFonts w:ascii="Arial" w:hAnsi="Arial" w:cs="Arial"/>
        </w:rPr>
      </w:pPr>
      <w:r w:rsidRPr="00AC502A">
        <w:rPr>
          <w:rFonts w:ascii="Arial" w:hAnsi="Arial" w:cs="Arial"/>
        </w:rPr>
        <w:t>Note: the figures</w:t>
      </w:r>
      <w:r w:rsidR="00E572BE" w:rsidRPr="00AC502A">
        <w:rPr>
          <w:rFonts w:ascii="Arial" w:hAnsi="Arial" w:cs="Arial"/>
        </w:rPr>
        <w:t xml:space="preserve"> in</w:t>
      </w:r>
      <w:r w:rsidRPr="00AC502A">
        <w:rPr>
          <w:rFonts w:ascii="Arial" w:hAnsi="Arial" w:cs="Arial"/>
        </w:rPr>
        <w:t xml:space="preserve"> </w:t>
      </w:r>
      <w:r w:rsidR="00060720" w:rsidRPr="00AC502A">
        <w:rPr>
          <w:rFonts w:ascii="Arial" w:hAnsi="Arial" w:cs="Arial"/>
        </w:rPr>
        <w:t>T</w:t>
      </w:r>
      <w:r w:rsidRPr="00AC502A">
        <w:rPr>
          <w:rFonts w:ascii="Arial" w:hAnsi="Arial" w:cs="Arial"/>
        </w:rPr>
        <w:t xml:space="preserve">able </w:t>
      </w:r>
      <w:r w:rsidR="00060720" w:rsidRPr="00AC502A">
        <w:rPr>
          <w:rFonts w:ascii="Arial" w:hAnsi="Arial" w:cs="Arial"/>
        </w:rPr>
        <w:t>4</w:t>
      </w:r>
      <w:r w:rsidRPr="00AC502A">
        <w:rPr>
          <w:rFonts w:ascii="Arial" w:hAnsi="Arial" w:cs="Arial"/>
        </w:rPr>
        <w:t xml:space="preserve"> are from the balance sheet in the PCC’s statement of accounts, but adjusted to exclude operational cash, accrued interest and other accounting adjustments.</w:t>
      </w:r>
    </w:p>
    <w:p w14:paraId="1CAA6883" w14:textId="56147358" w:rsidR="00155FC6" w:rsidRDefault="00FA1B13" w:rsidP="00D0173F">
      <w:pPr>
        <w:pStyle w:val="ListParagraph"/>
        <w:numPr>
          <w:ilvl w:val="1"/>
          <w:numId w:val="2"/>
        </w:numPr>
        <w:spacing w:after="240"/>
        <w:ind w:left="720" w:hanging="720"/>
        <w:rPr>
          <w:rFonts w:ascii="Arial" w:hAnsi="Arial" w:cs="Arial"/>
        </w:rPr>
      </w:pPr>
      <w:r w:rsidRPr="00D0173F">
        <w:rPr>
          <w:rFonts w:ascii="Arial" w:hAnsi="Arial" w:cs="Arial"/>
        </w:rPr>
        <w:t>The CIPFA</w:t>
      </w:r>
      <w:r w:rsidR="0061679E">
        <w:rPr>
          <w:rFonts w:ascii="Arial" w:hAnsi="Arial" w:cs="Arial"/>
        </w:rPr>
        <w:t xml:space="preserve"> Treasury Management</w:t>
      </w:r>
      <w:r w:rsidRPr="00D0173F">
        <w:rPr>
          <w:rFonts w:ascii="Arial" w:hAnsi="Arial" w:cs="Arial"/>
        </w:rPr>
        <w:t xml:space="preserve"> Code and government guidance both require the PCC to invest its funds prudently, and to have regard to the </w:t>
      </w:r>
      <w:r w:rsidRPr="00D0173F">
        <w:rPr>
          <w:rFonts w:ascii="Arial" w:hAnsi="Arial" w:cs="Arial"/>
        </w:rPr>
        <w:lastRenderedPageBreak/>
        <w:t xml:space="preserve">security and liquidity of its investments before seeking the </w:t>
      </w:r>
      <w:r w:rsidR="00DA2BA6" w:rsidRPr="00D0173F">
        <w:rPr>
          <w:rFonts w:ascii="Arial" w:hAnsi="Arial" w:cs="Arial"/>
        </w:rPr>
        <w:t>optimum</w:t>
      </w:r>
      <w:r w:rsidRPr="00D0173F">
        <w:rPr>
          <w:rFonts w:ascii="Arial" w:hAnsi="Arial" w:cs="Arial"/>
        </w:rPr>
        <w:t xml:space="preserve"> rate of return, or yield.  The PCC’s objective when investing money is therefore to strike an appropriate balance between risk and return, minimising the risk of incurring losses from defaults a</w:t>
      </w:r>
      <w:r w:rsidR="00370A7F" w:rsidRPr="00D0173F">
        <w:rPr>
          <w:rFonts w:ascii="Arial" w:hAnsi="Arial" w:cs="Arial"/>
        </w:rPr>
        <w:t>longside</w:t>
      </w:r>
      <w:r w:rsidRPr="00D0173F">
        <w:rPr>
          <w:rFonts w:ascii="Arial" w:hAnsi="Arial" w:cs="Arial"/>
        </w:rPr>
        <w:t xml:space="preserve"> the risk of receiving unsuitably low investment income</w:t>
      </w:r>
      <w:r w:rsidR="00BF117E" w:rsidRPr="00D0173F">
        <w:rPr>
          <w:rFonts w:ascii="Arial" w:hAnsi="Arial" w:cs="Arial"/>
        </w:rPr>
        <w:t>.</w:t>
      </w:r>
      <w:r w:rsidR="00370A7F" w:rsidRPr="00D0173F">
        <w:rPr>
          <w:rFonts w:ascii="Arial" w:hAnsi="Arial" w:cs="Arial"/>
        </w:rPr>
        <w:t xml:space="preserve">  The PCC’s Treasury Management Strategy Statement (TMSS) </w:t>
      </w:r>
      <w:r w:rsidR="007B7754" w:rsidRPr="00D0173F">
        <w:rPr>
          <w:rFonts w:ascii="Arial" w:hAnsi="Arial" w:cs="Arial"/>
        </w:rPr>
        <w:t>sets out how it will manage and mitigate these risks.</w:t>
      </w:r>
    </w:p>
    <w:p w14:paraId="40F565EA" w14:textId="6B9CF45F" w:rsidR="002B1874" w:rsidRDefault="00151E92" w:rsidP="00D0173F">
      <w:pPr>
        <w:pStyle w:val="ListParagraph"/>
        <w:numPr>
          <w:ilvl w:val="1"/>
          <w:numId w:val="2"/>
        </w:numPr>
        <w:spacing w:after="240"/>
        <w:ind w:left="720" w:hanging="720"/>
        <w:rPr>
          <w:rFonts w:ascii="Arial" w:hAnsi="Arial" w:cs="Arial"/>
        </w:rPr>
      </w:pPr>
      <w:r w:rsidRPr="00151E92">
        <w:rPr>
          <w:rFonts w:ascii="Arial" w:hAnsi="Arial" w:cs="Arial"/>
        </w:rPr>
        <w:t xml:space="preserve">As demonstrated by the liability benchmark in this report, the </w:t>
      </w:r>
      <w:r>
        <w:rPr>
          <w:rFonts w:ascii="Arial" w:hAnsi="Arial" w:cs="Arial"/>
        </w:rPr>
        <w:t>PCC</w:t>
      </w:r>
      <w:r w:rsidRPr="00151E92">
        <w:rPr>
          <w:rFonts w:ascii="Arial" w:hAnsi="Arial" w:cs="Arial"/>
        </w:rPr>
        <w:t xml:space="preserve"> expects to be a long-term investor and treasury investments therefore include both short-term low risk instruments to manage day-to-day cash flows and longer-term instruments where limited additional risk is accepted in return for higher investment income to support services.</w:t>
      </w:r>
    </w:p>
    <w:p w14:paraId="67EF88C2" w14:textId="77777777" w:rsidR="004C21A4" w:rsidRDefault="004C21A4" w:rsidP="00AC502A">
      <w:pPr>
        <w:pStyle w:val="ListParagraph"/>
        <w:numPr>
          <w:ilvl w:val="1"/>
          <w:numId w:val="2"/>
        </w:numPr>
        <w:spacing w:after="240"/>
        <w:ind w:left="720" w:hanging="720"/>
        <w:rPr>
          <w:rFonts w:ascii="Arial" w:hAnsi="Arial" w:cs="Arial"/>
        </w:rPr>
      </w:pPr>
      <w:r>
        <w:rPr>
          <w:rFonts w:ascii="Arial" w:hAnsi="Arial" w:cs="Arial"/>
        </w:rPr>
        <w:t xml:space="preserve">Bank Rate increased by 1% over the period, from 4.25% at the beginning of April 2023 to 5.25% by the end of March 2024. </w:t>
      </w:r>
      <w:r w:rsidRPr="00643456">
        <w:rPr>
          <w:rFonts w:ascii="Arial" w:hAnsi="Arial" w:cs="Arial"/>
        </w:rPr>
        <w:t>Short term rates peaked at 5.7% for 3-month rates and 6.7% for 12-month rates during the period, although these rates subsequently began to decline towards the end of the period. Money Market Rates also rose and were between 4.</w:t>
      </w:r>
      <w:r>
        <w:rPr>
          <w:rFonts w:ascii="Arial" w:hAnsi="Arial" w:cs="Arial"/>
        </w:rPr>
        <w:t>5</w:t>
      </w:r>
      <w:r w:rsidRPr="00643456">
        <w:rPr>
          <w:rFonts w:ascii="Arial" w:hAnsi="Arial" w:cs="Arial"/>
        </w:rPr>
        <w:t>% and 5.</w:t>
      </w:r>
      <w:r>
        <w:rPr>
          <w:rFonts w:ascii="Arial" w:hAnsi="Arial" w:cs="Arial"/>
        </w:rPr>
        <w:t>3</w:t>
      </w:r>
      <w:r w:rsidRPr="00643456">
        <w:rPr>
          <w:rFonts w:ascii="Arial" w:hAnsi="Arial" w:cs="Arial"/>
        </w:rPr>
        <w:t>% by the end of March 2024.</w:t>
      </w:r>
    </w:p>
    <w:p w14:paraId="6B5E6C24" w14:textId="07768537" w:rsidR="004C21A4" w:rsidRDefault="004C21A4" w:rsidP="00AC502A">
      <w:pPr>
        <w:pStyle w:val="ListParagraph"/>
        <w:numPr>
          <w:ilvl w:val="1"/>
          <w:numId w:val="2"/>
        </w:numPr>
        <w:spacing w:after="240"/>
        <w:ind w:left="720" w:hanging="720"/>
        <w:rPr>
          <w:rFonts w:ascii="Arial" w:hAnsi="Arial" w:cs="Arial"/>
        </w:rPr>
      </w:pPr>
      <w:r>
        <w:rPr>
          <w:rFonts w:ascii="Arial" w:hAnsi="Arial" w:cs="Arial"/>
        </w:rPr>
        <w:t>£24m that is currently available for longer-term investments is invested in</w:t>
      </w:r>
      <w:r w:rsidR="001C113F">
        <w:rPr>
          <w:rFonts w:ascii="Arial" w:hAnsi="Arial" w:cs="Arial"/>
        </w:rPr>
        <w:t xml:space="preserve"> covered</w:t>
      </w:r>
      <w:r w:rsidR="00B349B6">
        <w:rPr>
          <w:rFonts w:ascii="Arial" w:hAnsi="Arial" w:cs="Arial"/>
        </w:rPr>
        <w:t xml:space="preserve"> </w:t>
      </w:r>
      <w:r>
        <w:rPr>
          <w:rFonts w:ascii="Arial" w:hAnsi="Arial" w:cs="Arial"/>
        </w:rPr>
        <w:t>bonds</w:t>
      </w:r>
      <w:r w:rsidR="001C113F">
        <w:rPr>
          <w:rFonts w:ascii="Arial" w:hAnsi="Arial" w:cs="Arial"/>
        </w:rPr>
        <w:t xml:space="preserve"> </w:t>
      </w:r>
      <w:r>
        <w:rPr>
          <w:rFonts w:ascii="Arial" w:hAnsi="Arial" w:cs="Arial"/>
        </w:rPr>
        <w:t xml:space="preserve">and pooled property and equity funds.  During the financial year the </w:t>
      </w:r>
      <w:r w:rsidR="00B349B6">
        <w:rPr>
          <w:rFonts w:ascii="Arial" w:hAnsi="Arial" w:cs="Arial"/>
        </w:rPr>
        <w:t xml:space="preserve">PCC </w:t>
      </w:r>
      <w:r>
        <w:rPr>
          <w:rFonts w:ascii="Arial" w:hAnsi="Arial" w:cs="Arial"/>
        </w:rPr>
        <w:t xml:space="preserve">has </w:t>
      </w:r>
      <w:r w:rsidR="006136F1">
        <w:rPr>
          <w:rFonts w:ascii="Arial" w:hAnsi="Arial" w:cs="Arial"/>
        </w:rPr>
        <w:t>increased a</w:t>
      </w:r>
      <w:r>
        <w:rPr>
          <w:rFonts w:ascii="Arial" w:hAnsi="Arial" w:cs="Arial"/>
        </w:rPr>
        <w:t>mounts invested in these instruments due to the forecast treasury investment balance</w:t>
      </w:r>
      <w:r w:rsidR="00D66CCF">
        <w:rPr>
          <w:rFonts w:ascii="Arial" w:hAnsi="Arial" w:cs="Arial"/>
        </w:rPr>
        <w:t>s remaining stable over the medium term</w:t>
      </w:r>
      <w:r>
        <w:rPr>
          <w:rFonts w:ascii="Arial" w:hAnsi="Arial" w:cs="Arial"/>
        </w:rPr>
        <w:t>.</w:t>
      </w:r>
    </w:p>
    <w:p w14:paraId="7FAF9AF0" w14:textId="3912F94D" w:rsidR="002B1874" w:rsidRPr="00D0173F" w:rsidRDefault="004C21A4" w:rsidP="00AC502A">
      <w:pPr>
        <w:pStyle w:val="ListParagraph"/>
        <w:numPr>
          <w:ilvl w:val="1"/>
          <w:numId w:val="2"/>
        </w:numPr>
        <w:spacing w:after="240"/>
        <w:ind w:left="720" w:hanging="720"/>
        <w:rPr>
          <w:rFonts w:ascii="Arial" w:hAnsi="Arial" w:cs="Arial"/>
        </w:rPr>
      </w:pPr>
      <w:r>
        <w:rPr>
          <w:rFonts w:ascii="Arial" w:hAnsi="Arial" w:cs="Arial"/>
        </w:rPr>
        <w:t>T</w:t>
      </w:r>
      <w:r w:rsidRPr="00B23BD4">
        <w:rPr>
          <w:rFonts w:ascii="Arial" w:hAnsi="Arial" w:cs="Arial"/>
        </w:rPr>
        <w:t>he security of investment</w:t>
      </w:r>
      <w:r>
        <w:rPr>
          <w:rFonts w:ascii="Arial" w:hAnsi="Arial" w:cs="Arial"/>
        </w:rPr>
        <w:t>s has been maintained by following the counterparty policy and investment limits within the TMSS</w:t>
      </w:r>
      <w:r w:rsidRPr="00B23BD4">
        <w:rPr>
          <w:rFonts w:ascii="Arial" w:hAnsi="Arial" w:cs="Arial"/>
        </w:rPr>
        <w:t xml:space="preserve">, taking advice from Arlingclose </w:t>
      </w:r>
      <w:r>
        <w:rPr>
          <w:rFonts w:ascii="Arial" w:hAnsi="Arial" w:cs="Arial"/>
        </w:rPr>
        <w:t xml:space="preserve">on changes in counterparty credit worthiness, and making use of secured investment products that provide collateral. The </w:t>
      </w:r>
      <w:r w:rsidR="009E1094">
        <w:rPr>
          <w:rFonts w:ascii="Arial" w:hAnsi="Arial" w:cs="Arial"/>
        </w:rPr>
        <w:t>PCC</w:t>
      </w:r>
      <w:r>
        <w:rPr>
          <w:rFonts w:ascii="Arial" w:hAnsi="Arial" w:cs="Arial"/>
        </w:rPr>
        <w:t xml:space="preserve"> invests in liquid investments to ensure money is available when required to meet its financial obligations, spreading these investments across a number of counterparties to mitigate operational risk</w:t>
      </w:r>
      <w:r w:rsidR="00C06B04">
        <w:rPr>
          <w:rFonts w:ascii="Arial" w:hAnsi="Arial" w:cs="Arial"/>
        </w:rPr>
        <w:t>.</w:t>
      </w:r>
    </w:p>
    <w:p w14:paraId="486E6B11" w14:textId="2B28E271" w:rsidR="00DE6341" w:rsidRPr="00A85F77" w:rsidRDefault="00A85F77" w:rsidP="00A85F77">
      <w:pPr>
        <w:pStyle w:val="ListParagraph"/>
        <w:numPr>
          <w:ilvl w:val="1"/>
          <w:numId w:val="2"/>
        </w:numPr>
        <w:spacing w:after="240"/>
        <w:ind w:left="720" w:hanging="720"/>
        <w:rPr>
          <w:rFonts w:ascii="Arial" w:hAnsi="Arial" w:cs="Arial"/>
        </w:rPr>
      </w:pPr>
      <w:r>
        <w:rPr>
          <w:rFonts w:ascii="Arial" w:hAnsi="Arial" w:cs="Arial"/>
        </w:rPr>
        <w:t>T</w:t>
      </w:r>
      <w:r w:rsidR="00DE6341" w:rsidRPr="00A85F77">
        <w:rPr>
          <w:rFonts w:ascii="Arial" w:hAnsi="Arial" w:cs="Arial"/>
        </w:rPr>
        <w:t>he PCC</w:t>
      </w:r>
      <w:r w:rsidR="00847D4F" w:rsidRPr="00A85F77">
        <w:rPr>
          <w:rFonts w:ascii="Arial" w:hAnsi="Arial" w:cs="Arial"/>
        </w:rPr>
        <w:t xml:space="preserve"> benchmarks the performance of its internally managed</w:t>
      </w:r>
      <w:r w:rsidR="00DE6341" w:rsidRPr="00A85F77">
        <w:rPr>
          <w:rFonts w:ascii="Arial" w:hAnsi="Arial" w:cs="Arial"/>
        </w:rPr>
        <w:t xml:space="preserve"> investments</w:t>
      </w:r>
      <w:r w:rsidR="00847D4F" w:rsidRPr="00A85F77">
        <w:rPr>
          <w:rFonts w:ascii="Arial" w:hAnsi="Arial" w:cs="Arial"/>
        </w:rPr>
        <w:t xml:space="preserve"> </w:t>
      </w:r>
      <w:r w:rsidR="00955A7F" w:rsidRPr="00A85F77">
        <w:rPr>
          <w:rFonts w:ascii="Arial" w:hAnsi="Arial" w:cs="Arial"/>
        </w:rPr>
        <w:t xml:space="preserve">(excluding pooled funds) </w:t>
      </w:r>
      <w:r w:rsidR="00847D4F" w:rsidRPr="00A85F77">
        <w:rPr>
          <w:rFonts w:ascii="Arial" w:hAnsi="Arial" w:cs="Arial"/>
        </w:rPr>
        <w:t>against that of other</w:t>
      </w:r>
      <w:r w:rsidR="00DE6341" w:rsidRPr="00A85F77">
        <w:rPr>
          <w:rFonts w:ascii="Arial" w:hAnsi="Arial" w:cs="Arial"/>
        </w:rPr>
        <w:t xml:space="preserve"> Arlingclose</w:t>
      </w:r>
      <w:r w:rsidR="00847D4F" w:rsidRPr="00A85F77">
        <w:rPr>
          <w:rFonts w:ascii="Arial" w:hAnsi="Arial" w:cs="Arial"/>
        </w:rPr>
        <w:t xml:space="preserve"> clients.  Internally managed </w:t>
      </w:r>
      <w:r w:rsidR="00DE6341" w:rsidRPr="00A85F77">
        <w:rPr>
          <w:rFonts w:ascii="Arial" w:hAnsi="Arial" w:cs="Arial"/>
        </w:rPr>
        <w:t>investment</w:t>
      </w:r>
      <w:r w:rsidR="00847D4F" w:rsidRPr="00A85F77">
        <w:rPr>
          <w:rFonts w:ascii="Arial" w:hAnsi="Arial" w:cs="Arial"/>
        </w:rPr>
        <w:t>s</w:t>
      </w:r>
      <w:r w:rsidR="00B342C5" w:rsidRPr="00A85F77">
        <w:rPr>
          <w:rFonts w:ascii="Arial" w:hAnsi="Arial" w:cs="Arial"/>
        </w:rPr>
        <w:t xml:space="preserve"> include all investments except externally managed pooled funds but do include M</w:t>
      </w:r>
      <w:r w:rsidR="00E91F0D">
        <w:rPr>
          <w:rFonts w:ascii="Arial" w:hAnsi="Arial" w:cs="Arial"/>
        </w:rPr>
        <w:t xml:space="preserve">oney </w:t>
      </w:r>
      <w:r w:rsidR="00B342C5" w:rsidRPr="00A85F77">
        <w:rPr>
          <w:rFonts w:ascii="Arial" w:hAnsi="Arial" w:cs="Arial"/>
        </w:rPr>
        <w:t>M</w:t>
      </w:r>
      <w:r w:rsidR="00E91F0D">
        <w:rPr>
          <w:rFonts w:ascii="Arial" w:hAnsi="Arial" w:cs="Arial"/>
        </w:rPr>
        <w:t xml:space="preserve">arket </w:t>
      </w:r>
      <w:r w:rsidR="00B342C5" w:rsidRPr="00A85F77">
        <w:rPr>
          <w:rFonts w:ascii="Arial" w:hAnsi="Arial" w:cs="Arial"/>
        </w:rPr>
        <w:t>F</w:t>
      </w:r>
      <w:r w:rsidR="00E91F0D">
        <w:rPr>
          <w:rFonts w:ascii="Arial" w:hAnsi="Arial" w:cs="Arial"/>
        </w:rPr>
        <w:t>und</w:t>
      </w:r>
      <w:r w:rsidR="00B342C5" w:rsidRPr="00A85F77">
        <w:rPr>
          <w:rFonts w:ascii="Arial" w:hAnsi="Arial" w:cs="Arial"/>
        </w:rPr>
        <w:t>s.  The performance of these investments against relevant measures of security, liquidity and yield are shown</w:t>
      </w:r>
      <w:r w:rsidR="003F25FC" w:rsidRPr="00A85F77">
        <w:rPr>
          <w:rFonts w:ascii="Arial" w:hAnsi="Arial" w:cs="Arial"/>
        </w:rPr>
        <w:t xml:space="preserve"> in Table 5</w:t>
      </w:r>
      <w:r w:rsidR="00C64A60" w:rsidRPr="00A85F77">
        <w:rPr>
          <w:rFonts w:ascii="Arial" w:hAnsi="Arial" w:cs="Arial"/>
        </w:rPr>
        <w:t>, providing</w:t>
      </w:r>
      <w:r w:rsidR="00DF3173" w:rsidRPr="00A85F77">
        <w:rPr>
          <w:rFonts w:ascii="Arial" w:hAnsi="Arial" w:cs="Arial"/>
        </w:rPr>
        <w:t xml:space="preserve"> data for the quarter ended 31 March 202</w:t>
      </w:r>
      <w:r w:rsidR="009E1094">
        <w:rPr>
          <w:rFonts w:ascii="Arial" w:hAnsi="Arial" w:cs="Arial"/>
        </w:rPr>
        <w:t>4</w:t>
      </w:r>
      <w:r w:rsidR="00C64A60" w:rsidRPr="00A85F77">
        <w:rPr>
          <w:rFonts w:ascii="Arial" w:hAnsi="Arial" w:cs="Arial"/>
        </w:rPr>
        <w:t xml:space="preserve"> and at the same date in 202</w:t>
      </w:r>
      <w:r w:rsidR="009E1094">
        <w:rPr>
          <w:rFonts w:ascii="Arial" w:hAnsi="Arial" w:cs="Arial"/>
        </w:rPr>
        <w:t>3</w:t>
      </w:r>
      <w:r w:rsidR="00C64A60" w:rsidRPr="00A85F77">
        <w:rPr>
          <w:rFonts w:ascii="Arial" w:hAnsi="Arial" w:cs="Arial"/>
        </w:rPr>
        <w:t xml:space="preserve"> for comparison.</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417"/>
        <w:gridCol w:w="1417"/>
        <w:gridCol w:w="1417"/>
      </w:tblGrid>
      <w:tr w:rsidR="003F25FC" w:rsidRPr="00DB57E5" w14:paraId="1E4A18BD" w14:textId="77777777" w:rsidTr="00AC502A">
        <w:trPr>
          <w:jc w:val="center"/>
        </w:trPr>
        <w:tc>
          <w:tcPr>
            <w:tcW w:w="2802" w:type="dxa"/>
            <w:tcBorders>
              <w:top w:val="single" w:sz="4" w:space="0" w:color="auto"/>
              <w:bottom w:val="single" w:sz="4" w:space="0" w:color="auto"/>
            </w:tcBorders>
            <w:shd w:val="clear" w:color="auto" w:fill="auto"/>
          </w:tcPr>
          <w:p w14:paraId="4E294602" w14:textId="279149AB" w:rsidR="003F25FC" w:rsidRPr="00DB57E5" w:rsidRDefault="00C64A60" w:rsidP="00977206">
            <w:pPr>
              <w:pStyle w:val="ListParagraph"/>
              <w:keepNext/>
              <w:keepLines/>
              <w:ind w:left="0"/>
              <w:rPr>
                <w:rFonts w:ascii="Arial" w:hAnsi="Arial" w:cs="Arial"/>
                <w:b/>
                <w:bCs/>
              </w:rPr>
            </w:pPr>
            <w:r w:rsidRPr="00DB57E5">
              <w:rPr>
                <w:rFonts w:ascii="Arial" w:hAnsi="Arial" w:cs="Arial"/>
                <w:b/>
                <w:bCs/>
              </w:rPr>
              <w:lastRenderedPageBreak/>
              <w:t>Table 5: Investment benchmarking (</w:t>
            </w:r>
            <w:r w:rsidR="00153E59" w:rsidRPr="00DB57E5">
              <w:rPr>
                <w:rFonts w:ascii="Arial" w:hAnsi="Arial" w:cs="Arial"/>
                <w:b/>
                <w:bCs/>
              </w:rPr>
              <w:t>excluding pooled funds</w:t>
            </w:r>
            <w:r w:rsidRPr="00DB57E5">
              <w:rPr>
                <w:rFonts w:ascii="Arial" w:hAnsi="Arial" w:cs="Arial"/>
                <w:b/>
                <w:bCs/>
              </w:rPr>
              <w:t>)</w:t>
            </w:r>
          </w:p>
        </w:tc>
        <w:tc>
          <w:tcPr>
            <w:tcW w:w="1417" w:type="dxa"/>
            <w:tcBorders>
              <w:top w:val="single" w:sz="4" w:space="0" w:color="auto"/>
              <w:bottom w:val="single" w:sz="4" w:space="0" w:color="auto"/>
            </w:tcBorders>
            <w:shd w:val="clear" w:color="auto" w:fill="auto"/>
          </w:tcPr>
          <w:p w14:paraId="206F8DD3" w14:textId="739498A7" w:rsidR="003F25FC" w:rsidRPr="00DB57E5" w:rsidRDefault="003F25FC" w:rsidP="00153E59">
            <w:pPr>
              <w:pStyle w:val="ListParagraph"/>
              <w:keepNext/>
              <w:keepLines/>
              <w:ind w:left="0"/>
              <w:jc w:val="center"/>
              <w:rPr>
                <w:rFonts w:ascii="Arial" w:hAnsi="Arial" w:cs="Arial"/>
                <w:b/>
                <w:bCs/>
              </w:rPr>
            </w:pPr>
            <w:r w:rsidRPr="00DB57E5">
              <w:rPr>
                <w:rFonts w:ascii="Arial" w:hAnsi="Arial" w:cs="Arial"/>
                <w:b/>
                <w:bCs/>
              </w:rPr>
              <w:t xml:space="preserve">Credit </w:t>
            </w:r>
            <w:r w:rsidR="00153E59" w:rsidRPr="00DB57E5">
              <w:rPr>
                <w:rFonts w:ascii="Arial" w:hAnsi="Arial" w:cs="Arial"/>
                <w:b/>
                <w:bCs/>
              </w:rPr>
              <w:t>r</w:t>
            </w:r>
            <w:r w:rsidRPr="00DB57E5">
              <w:rPr>
                <w:rFonts w:ascii="Arial" w:hAnsi="Arial" w:cs="Arial"/>
                <w:b/>
                <w:bCs/>
              </w:rPr>
              <w:t>ating</w:t>
            </w:r>
          </w:p>
        </w:tc>
        <w:tc>
          <w:tcPr>
            <w:tcW w:w="1417" w:type="dxa"/>
            <w:tcBorders>
              <w:top w:val="single" w:sz="4" w:space="0" w:color="auto"/>
              <w:bottom w:val="single" w:sz="4" w:space="0" w:color="auto"/>
            </w:tcBorders>
            <w:shd w:val="clear" w:color="auto" w:fill="auto"/>
          </w:tcPr>
          <w:p w14:paraId="72A09BFC" w14:textId="7641DFB9" w:rsidR="003F25FC" w:rsidRPr="00DB57E5" w:rsidRDefault="003F25FC" w:rsidP="00153E59">
            <w:pPr>
              <w:pStyle w:val="ListParagraph"/>
              <w:keepNext/>
              <w:keepLines/>
              <w:ind w:left="0"/>
              <w:jc w:val="center"/>
              <w:rPr>
                <w:rFonts w:ascii="Arial" w:hAnsi="Arial" w:cs="Arial"/>
                <w:b/>
                <w:bCs/>
              </w:rPr>
            </w:pPr>
            <w:r w:rsidRPr="00DB57E5">
              <w:rPr>
                <w:rFonts w:ascii="Arial" w:hAnsi="Arial" w:cs="Arial"/>
                <w:b/>
                <w:bCs/>
              </w:rPr>
              <w:t xml:space="preserve">Bail-in </w:t>
            </w:r>
            <w:r w:rsidR="00153E59" w:rsidRPr="00DB57E5">
              <w:rPr>
                <w:rFonts w:ascii="Arial" w:hAnsi="Arial" w:cs="Arial"/>
                <w:b/>
                <w:bCs/>
              </w:rPr>
              <w:t>e</w:t>
            </w:r>
            <w:r w:rsidRPr="00DB57E5">
              <w:rPr>
                <w:rFonts w:ascii="Arial" w:hAnsi="Arial" w:cs="Arial"/>
                <w:b/>
                <w:bCs/>
              </w:rPr>
              <w:t>xposure</w:t>
            </w:r>
          </w:p>
        </w:tc>
        <w:tc>
          <w:tcPr>
            <w:tcW w:w="1417" w:type="dxa"/>
            <w:tcBorders>
              <w:top w:val="single" w:sz="4" w:space="0" w:color="auto"/>
              <w:bottom w:val="single" w:sz="4" w:space="0" w:color="auto"/>
            </w:tcBorders>
            <w:shd w:val="clear" w:color="auto" w:fill="auto"/>
          </w:tcPr>
          <w:p w14:paraId="168D0591" w14:textId="159480AD" w:rsidR="003F25FC" w:rsidRPr="00DB57E5" w:rsidRDefault="003F25FC" w:rsidP="00153E59">
            <w:pPr>
              <w:pStyle w:val="ListParagraph"/>
              <w:keepNext/>
              <w:keepLines/>
              <w:ind w:left="0"/>
              <w:jc w:val="center"/>
              <w:rPr>
                <w:rFonts w:ascii="Arial" w:hAnsi="Arial" w:cs="Arial"/>
                <w:b/>
                <w:bCs/>
              </w:rPr>
            </w:pPr>
            <w:r w:rsidRPr="00DB57E5">
              <w:rPr>
                <w:rFonts w:ascii="Arial" w:hAnsi="Arial" w:cs="Arial"/>
                <w:b/>
                <w:bCs/>
              </w:rPr>
              <w:t>W</w:t>
            </w:r>
            <w:r w:rsidR="00153E59" w:rsidRPr="00DB57E5">
              <w:rPr>
                <w:rFonts w:ascii="Arial" w:hAnsi="Arial" w:cs="Arial"/>
                <w:b/>
                <w:bCs/>
              </w:rPr>
              <w:t>eighted average maturity</w:t>
            </w:r>
            <w:r w:rsidRPr="00DB57E5">
              <w:rPr>
                <w:rFonts w:ascii="Arial" w:hAnsi="Arial" w:cs="Arial"/>
                <w:b/>
                <w:bCs/>
              </w:rPr>
              <w:br/>
              <w:t>(days)</w:t>
            </w:r>
          </w:p>
        </w:tc>
        <w:tc>
          <w:tcPr>
            <w:tcW w:w="1417" w:type="dxa"/>
            <w:tcBorders>
              <w:top w:val="single" w:sz="4" w:space="0" w:color="auto"/>
              <w:bottom w:val="single" w:sz="4" w:space="0" w:color="auto"/>
            </w:tcBorders>
            <w:shd w:val="clear" w:color="auto" w:fill="auto"/>
          </w:tcPr>
          <w:p w14:paraId="3B1B3842" w14:textId="4B8638F5" w:rsidR="003F25FC" w:rsidRPr="00DB57E5" w:rsidRDefault="003F25FC" w:rsidP="00153E59">
            <w:pPr>
              <w:pStyle w:val="ListParagraph"/>
              <w:keepNext/>
              <w:keepLines/>
              <w:ind w:left="0"/>
              <w:jc w:val="center"/>
              <w:rPr>
                <w:rFonts w:ascii="Arial" w:hAnsi="Arial" w:cs="Arial"/>
                <w:b/>
                <w:bCs/>
              </w:rPr>
            </w:pPr>
            <w:r w:rsidRPr="00DB57E5">
              <w:rPr>
                <w:rFonts w:ascii="Arial" w:hAnsi="Arial" w:cs="Arial"/>
                <w:b/>
                <w:bCs/>
              </w:rPr>
              <w:t xml:space="preserve">Rate of </w:t>
            </w:r>
            <w:r w:rsidR="00153E59" w:rsidRPr="00DB57E5">
              <w:rPr>
                <w:rFonts w:ascii="Arial" w:hAnsi="Arial" w:cs="Arial"/>
                <w:b/>
                <w:bCs/>
              </w:rPr>
              <w:t>r</w:t>
            </w:r>
            <w:r w:rsidRPr="00DB57E5">
              <w:rPr>
                <w:rFonts w:ascii="Arial" w:hAnsi="Arial" w:cs="Arial"/>
                <w:b/>
                <w:bCs/>
              </w:rPr>
              <w:t>eturn</w:t>
            </w:r>
          </w:p>
        </w:tc>
      </w:tr>
      <w:tr w:rsidR="009E1094" w:rsidRPr="00DB57E5" w14:paraId="6639551B" w14:textId="77777777" w:rsidTr="00AC502A">
        <w:trPr>
          <w:jc w:val="center"/>
        </w:trPr>
        <w:tc>
          <w:tcPr>
            <w:tcW w:w="2802" w:type="dxa"/>
            <w:tcBorders>
              <w:top w:val="single" w:sz="4" w:space="0" w:color="auto"/>
              <w:left w:val="single" w:sz="4" w:space="0" w:color="auto"/>
              <w:bottom w:val="nil"/>
              <w:right w:val="single" w:sz="4" w:space="0" w:color="auto"/>
            </w:tcBorders>
            <w:shd w:val="clear" w:color="auto" w:fill="auto"/>
          </w:tcPr>
          <w:p w14:paraId="3DA62F91" w14:textId="5A83D5ED" w:rsidR="009E1094" w:rsidRPr="00DB57E5" w:rsidRDefault="009E1094" w:rsidP="009E1094">
            <w:pPr>
              <w:pStyle w:val="ListParagraph"/>
              <w:keepNext/>
              <w:keepLines/>
              <w:ind w:left="0"/>
              <w:rPr>
                <w:rFonts w:ascii="Arial" w:hAnsi="Arial" w:cs="Arial"/>
              </w:rPr>
            </w:pPr>
            <w:r w:rsidRPr="00DB57E5">
              <w:rPr>
                <w:rFonts w:ascii="Arial" w:hAnsi="Arial" w:cs="Arial"/>
              </w:rPr>
              <w:t>31.03.202</w:t>
            </w:r>
            <w:r>
              <w:rPr>
                <w:rFonts w:ascii="Arial" w:hAnsi="Arial" w:cs="Arial"/>
              </w:rPr>
              <w:t>3</w:t>
            </w:r>
          </w:p>
        </w:tc>
        <w:tc>
          <w:tcPr>
            <w:tcW w:w="1417" w:type="dxa"/>
            <w:tcBorders>
              <w:top w:val="single" w:sz="4" w:space="0" w:color="auto"/>
              <w:left w:val="single" w:sz="4" w:space="0" w:color="auto"/>
              <w:bottom w:val="nil"/>
              <w:right w:val="single" w:sz="4" w:space="0" w:color="auto"/>
            </w:tcBorders>
            <w:shd w:val="clear" w:color="auto" w:fill="auto"/>
            <w:vAlign w:val="bottom"/>
          </w:tcPr>
          <w:p w14:paraId="2B7B948F" w14:textId="0EB2CCE0" w:rsidR="009E1094" w:rsidRPr="00DB57E5" w:rsidRDefault="009E1094" w:rsidP="009E1094">
            <w:pPr>
              <w:pStyle w:val="ListParagraph"/>
              <w:keepNext/>
              <w:keepLines/>
              <w:ind w:left="0"/>
              <w:jc w:val="center"/>
              <w:rPr>
                <w:rFonts w:ascii="Arial" w:hAnsi="Arial" w:cs="Arial"/>
              </w:rPr>
            </w:pPr>
            <w:r w:rsidRPr="00DB57E5">
              <w:rPr>
                <w:rFonts w:ascii="Arial" w:hAnsi="Arial" w:cs="Arial"/>
              </w:rPr>
              <w:t>AA-</w:t>
            </w:r>
          </w:p>
        </w:tc>
        <w:tc>
          <w:tcPr>
            <w:tcW w:w="1417" w:type="dxa"/>
            <w:tcBorders>
              <w:top w:val="single" w:sz="4" w:space="0" w:color="auto"/>
              <w:left w:val="single" w:sz="4" w:space="0" w:color="auto"/>
              <w:bottom w:val="nil"/>
              <w:right w:val="single" w:sz="4" w:space="0" w:color="auto"/>
            </w:tcBorders>
            <w:shd w:val="clear" w:color="auto" w:fill="auto"/>
            <w:vAlign w:val="bottom"/>
          </w:tcPr>
          <w:p w14:paraId="3EFF0558" w14:textId="7C6A76CD" w:rsidR="009E1094" w:rsidRPr="00DB57E5" w:rsidRDefault="009E1094" w:rsidP="009E1094">
            <w:pPr>
              <w:pStyle w:val="ListParagraph"/>
              <w:keepNext/>
              <w:keepLines/>
              <w:ind w:left="0"/>
              <w:jc w:val="center"/>
              <w:rPr>
                <w:rFonts w:ascii="Arial" w:hAnsi="Arial" w:cs="Arial"/>
              </w:rPr>
            </w:pPr>
            <w:r>
              <w:rPr>
                <w:rFonts w:ascii="Arial" w:hAnsi="Arial" w:cs="Arial"/>
              </w:rPr>
              <w:t>74%</w:t>
            </w:r>
          </w:p>
        </w:tc>
        <w:tc>
          <w:tcPr>
            <w:tcW w:w="1417" w:type="dxa"/>
            <w:tcBorders>
              <w:top w:val="single" w:sz="4" w:space="0" w:color="auto"/>
              <w:left w:val="single" w:sz="4" w:space="0" w:color="auto"/>
              <w:bottom w:val="nil"/>
              <w:right w:val="single" w:sz="4" w:space="0" w:color="auto"/>
            </w:tcBorders>
            <w:shd w:val="clear" w:color="auto" w:fill="auto"/>
            <w:vAlign w:val="bottom"/>
          </w:tcPr>
          <w:p w14:paraId="587CE12D" w14:textId="4A18BC14" w:rsidR="009E1094" w:rsidRPr="00DB57E5" w:rsidRDefault="009E1094" w:rsidP="009E1094">
            <w:pPr>
              <w:pStyle w:val="ListParagraph"/>
              <w:keepNext/>
              <w:keepLines/>
              <w:ind w:left="0"/>
              <w:jc w:val="center"/>
              <w:rPr>
                <w:rFonts w:ascii="Arial" w:hAnsi="Arial" w:cs="Arial"/>
              </w:rPr>
            </w:pPr>
            <w:r w:rsidRPr="00DB57E5">
              <w:rPr>
                <w:rFonts w:ascii="Arial" w:hAnsi="Arial" w:cs="Arial"/>
              </w:rPr>
              <w:t>6</w:t>
            </w:r>
            <w:r>
              <w:rPr>
                <w:rFonts w:ascii="Arial" w:hAnsi="Arial" w:cs="Arial"/>
              </w:rPr>
              <w:t>0</w:t>
            </w:r>
          </w:p>
        </w:tc>
        <w:tc>
          <w:tcPr>
            <w:tcW w:w="1417" w:type="dxa"/>
            <w:tcBorders>
              <w:top w:val="single" w:sz="4" w:space="0" w:color="auto"/>
              <w:left w:val="single" w:sz="4" w:space="0" w:color="auto"/>
              <w:bottom w:val="nil"/>
              <w:right w:val="single" w:sz="4" w:space="0" w:color="auto"/>
            </w:tcBorders>
            <w:shd w:val="clear" w:color="auto" w:fill="auto"/>
            <w:vAlign w:val="bottom"/>
          </w:tcPr>
          <w:p w14:paraId="49D75DE1" w14:textId="397A9A9E" w:rsidR="009E1094" w:rsidRPr="00DB57E5" w:rsidRDefault="00EC68F7" w:rsidP="009E1094">
            <w:pPr>
              <w:pStyle w:val="ListParagraph"/>
              <w:keepNext/>
              <w:keepLines/>
              <w:ind w:left="0"/>
              <w:jc w:val="center"/>
              <w:rPr>
                <w:rFonts w:ascii="Arial" w:hAnsi="Arial" w:cs="Arial"/>
              </w:rPr>
            </w:pPr>
            <w:r>
              <w:rPr>
                <w:rFonts w:ascii="Arial" w:hAnsi="Arial" w:cs="Arial"/>
              </w:rPr>
              <w:t>3.98</w:t>
            </w:r>
            <w:r w:rsidR="009E1094" w:rsidRPr="00DB57E5">
              <w:rPr>
                <w:rFonts w:ascii="Arial" w:hAnsi="Arial" w:cs="Arial"/>
              </w:rPr>
              <w:t>%</w:t>
            </w:r>
          </w:p>
        </w:tc>
      </w:tr>
      <w:tr w:rsidR="00A5599C" w:rsidRPr="00DB57E5" w14:paraId="62CDA992" w14:textId="77777777" w:rsidTr="00AC502A">
        <w:trPr>
          <w:jc w:val="center"/>
        </w:trPr>
        <w:tc>
          <w:tcPr>
            <w:tcW w:w="2802" w:type="dxa"/>
            <w:tcBorders>
              <w:top w:val="nil"/>
              <w:left w:val="single" w:sz="4" w:space="0" w:color="auto"/>
              <w:bottom w:val="single" w:sz="4" w:space="0" w:color="auto"/>
              <w:right w:val="single" w:sz="4" w:space="0" w:color="auto"/>
            </w:tcBorders>
            <w:shd w:val="clear" w:color="auto" w:fill="auto"/>
          </w:tcPr>
          <w:p w14:paraId="1BA3DF8E" w14:textId="2F8A6229" w:rsidR="00A5599C" w:rsidRPr="00DB57E5" w:rsidRDefault="00A5599C" w:rsidP="00A5599C">
            <w:pPr>
              <w:pStyle w:val="ListParagraph"/>
              <w:keepNext/>
              <w:keepLines/>
              <w:ind w:left="0"/>
              <w:rPr>
                <w:rFonts w:ascii="Arial" w:hAnsi="Arial" w:cs="Arial"/>
              </w:rPr>
            </w:pPr>
            <w:r w:rsidRPr="00DB57E5">
              <w:rPr>
                <w:rFonts w:ascii="Arial" w:hAnsi="Arial" w:cs="Arial"/>
              </w:rPr>
              <w:t>31.03.202</w:t>
            </w:r>
            <w:r>
              <w:rPr>
                <w:rFonts w:ascii="Arial" w:hAnsi="Arial" w:cs="Arial"/>
              </w:rPr>
              <w:t>4</w:t>
            </w:r>
          </w:p>
        </w:tc>
        <w:tc>
          <w:tcPr>
            <w:tcW w:w="1417" w:type="dxa"/>
            <w:tcBorders>
              <w:top w:val="nil"/>
              <w:left w:val="single" w:sz="4" w:space="0" w:color="auto"/>
              <w:bottom w:val="single" w:sz="4" w:space="0" w:color="auto"/>
              <w:right w:val="single" w:sz="4" w:space="0" w:color="auto"/>
            </w:tcBorders>
            <w:shd w:val="clear" w:color="auto" w:fill="auto"/>
            <w:vAlign w:val="center"/>
          </w:tcPr>
          <w:p w14:paraId="78C41CB4" w14:textId="6AE492A9" w:rsidR="00A5599C" w:rsidRPr="00DB57E5" w:rsidRDefault="00A5599C" w:rsidP="00A5599C">
            <w:pPr>
              <w:pStyle w:val="ListParagraph"/>
              <w:keepNext/>
              <w:keepLines/>
              <w:ind w:left="0"/>
              <w:jc w:val="center"/>
              <w:rPr>
                <w:rFonts w:ascii="Arial" w:hAnsi="Arial" w:cs="Arial"/>
              </w:rPr>
            </w:pPr>
            <w:r>
              <w:rPr>
                <w:rFonts w:ascii="Arial" w:hAnsi="Arial" w:cs="Arial"/>
              </w:rPr>
              <w:t>AA-</w:t>
            </w:r>
          </w:p>
        </w:tc>
        <w:tc>
          <w:tcPr>
            <w:tcW w:w="1417" w:type="dxa"/>
            <w:tcBorders>
              <w:top w:val="nil"/>
              <w:left w:val="single" w:sz="4" w:space="0" w:color="auto"/>
              <w:bottom w:val="single" w:sz="4" w:space="0" w:color="auto"/>
              <w:right w:val="single" w:sz="4" w:space="0" w:color="auto"/>
            </w:tcBorders>
            <w:shd w:val="clear" w:color="auto" w:fill="auto"/>
            <w:vAlign w:val="center"/>
          </w:tcPr>
          <w:p w14:paraId="168E2898" w14:textId="5DDB6071" w:rsidR="00A5599C" w:rsidRPr="00DB57E5" w:rsidRDefault="00A5599C" w:rsidP="00A5599C">
            <w:pPr>
              <w:pStyle w:val="ListParagraph"/>
              <w:keepNext/>
              <w:keepLines/>
              <w:ind w:left="0"/>
              <w:jc w:val="center"/>
              <w:rPr>
                <w:rFonts w:ascii="Arial" w:hAnsi="Arial" w:cs="Arial"/>
              </w:rPr>
            </w:pPr>
            <w:r>
              <w:rPr>
                <w:rFonts w:ascii="Arial" w:hAnsi="Arial" w:cs="Arial"/>
              </w:rPr>
              <w:t>36%</w:t>
            </w:r>
          </w:p>
        </w:tc>
        <w:tc>
          <w:tcPr>
            <w:tcW w:w="1417" w:type="dxa"/>
            <w:tcBorders>
              <w:top w:val="nil"/>
              <w:left w:val="single" w:sz="4" w:space="0" w:color="auto"/>
              <w:bottom w:val="single" w:sz="4" w:space="0" w:color="auto"/>
              <w:right w:val="single" w:sz="4" w:space="0" w:color="auto"/>
            </w:tcBorders>
            <w:shd w:val="clear" w:color="auto" w:fill="auto"/>
            <w:vAlign w:val="center"/>
          </w:tcPr>
          <w:p w14:paraId="66B804CA" w14:textId="2BC896B8" w:rsidR="00A5599C" w:rsidRPr="00DB57E5" w:rsidRDefault="00A5599C" w:rsidP="00A5599C">
            <w:pPr>
              <w:pStyle w:val="ListParagraph"/>
              <w:keepNext/>
              <w:keepLines/>
              <w:ind w:left="0"/>
              <w:jc w:val="center"/>
              <w:rPr>
                <w:rFonts w:ascii="Arial" w:hAnsi="Arial" w:cs="Arial"/>
              </w:rPr>
            </w:pPr>
            <w:r>
              <w:rPr>
                <w:rFonts w:ascii="Arial" w:hAnsi="Arial" w:cs="Arial"/>
              </w:rPr>
              <w:t>289</w:t>
            </w:r>
          </w:p>
        </w:tc>
        <w:tc>
          <w:tcPr>
            <w:tcW w:w="1417" w:type="dxa"/>
            <w:tcBorders>
              <w:top w:val="nil"/>
              <w:left w:val="single" w:sz="4" w:space="0" w:color="auto"/>
              <w:bottom w:val="single" w:sz="4" w:space="0" w:color="auto"/>
              <w:right w:val="single" w:sz="4" w:space="0" w:color="auto"/>
            </w:tcBorders>
            <w:shd w:val="clear" w:color="auto" w:fill="auto"/>
            <w:vAlign w:val="center"/>
          </w:tcPr>
          <w:p w14:paraId="3C9CB4B7" w14:textId="59E08FD5" w:rsidR="00A5599C" w:rsidRPr="00DB57E5" w:rsidRDefault="00A5599C" w:rsidP="00A5599C">
            <w:pPr>
              <w:pStyle w:val="ListParagraph"/>
              <w:keepNext/>
              <w:keepLines/>
              <w:ind w:left="0"/>
              <w:jc w:val="center"/>
              <w:rPr>
                <w:rFonts w:ascii="Arial" w:hAnsi="Arial" w:cs="Arial"/>
              </w:rPr>
            </w:pPr>
            <w:r>
              <w:rPr>
                <w:rFonts w:ascii="Arial" w:hAnsi="Arial" w:cs="Arial"/>
              </w:rPr>
              <w:t>5.2</w:t>
            </w:r>
            <w:r w:rsidR="001A3D8A">
              <w:rPr>
                <w:rFonts w:ascii="Arial" w:hAnsi="Arial" w:cs="Arial"/>
              </w:rPr>
              <w:t>7</w:t>
            </w:r>
            <w:r>
              <w:rPr>
                <w:rFonts w:ascii="Arial" w:hAnsi="Arial" w:cs="Arial"/>
              </w:rPr>
              <w:t>%</w:t>
            </w:r>
          </w:p>
        </w:tc>
      </w:tr>
      <w:tr w:rsidR="00A5599C" w:rsidRPr="00DB57E5" w14:paraId="3A251CB8" w14:textId="77777777" w:rsidTr="00AC502A">
        <w:trPr>
          <w:jc w:val="center"/>
        </w:trPr>
        <w:tc>
          <w:tcPr>
            <w:tcW w:w="2802" w:type="dxa"/>
            <w:tcBorders>
              <w:top w:val="single" w:sz="4" w:space="0" w:color="auto"/>
              <w:left w:val="single" w:sz="4" w:space="0" w:color="auto"/>
              <w:bottom w:val="nil"/>
              <w:right w:val="single" w:sz="4" w:space="0" w:color="auto"/>
            </w:tcBorders>
            <w:shd w:val="clear" w:color="auto" w:fill="auto"/>
          </w:tcPr>
          <w:p w14:paraId="48C1B2E7" w14:textId="77777777" w:rsidR="00A5599C" w:rsidRPr="00DB57E5" w:rsidRDefault="00A5599C" w:rsidP="00A5599C">
            <w:pPr>
              <w:pStyle w:val="ListParagraph"/>
              <w:keepNext/>
              <w:keepLines/>
              <w:ind w:left="0"/>
              <w:rPr>
                <w:rFonts w:ascii="Arial" w:hAnsi="Arial" w:cs="Arial"/>
              </w:rPr>
            </w:pPr>
            <w:r w:rsidRPr="00DB57E5">
              <w:rPr>
                <w:rFonts w:ascii="Arial" w:hAnsi="Arial" w:cs="Arial"/>
              </w:rPr>
              <w:t>Police &amp; Fire Authorities</w:t>
            </w:r>
          </w:p>
        </w:tc>
        <w:tc>
          <w:tcPr>
            <w:tcW w:w="1417" w:type="dxa"/>
            <w:tcBorders>
              <w:top w:val="single" w:sz="4" w:space="0" w:color="auto"/>
              <w:left w:val="single" w:sz="4" w:space="0" w:color="auto"/>
              <w:bottom w:val="nil"/>
              <w:right w:val="single" w:sz="4" w:space="0" w:color="auto"/>
            </w:tcBorders>
            <w:shd w:val="clear" w:color="auto" w:fill="auto"/>
            <w:vAlign w:val="center"/>
          </w:tcPr>
          <w:p w14:paraId="49F9182A" w14:textId="2C4344F7" w:rsidR="00A5599C" w:rsidRPr="00DB57E5" w:rsidRDefault="00A5599C" w:rsidP="00A5599C">
            <w:pPr>
              <w:pStyle w:val="ListParagraph"/>
              <w:keepNext/>
              <w:keepLines/>
              <w:ind w:left="0"/>
              <w:jc w:val="center"/>
              <w:rPr>
                <w:rFonts w:ascii="Arial" w:hAnsi="Arial" w:cs="Arial"/>
              </w:rPr>
            </w:pPr>
            <w:r>
              <w:rPr>
                <w:rFonts w:ascii="Arial" w:hAnsi="Arial" w:cs="Arial"/>
              </w:rPr>
              <w:t>A+</w:t>
            </w:r>
          </w:p>
        </w:tc>
        <w:tc>
          <w:tcPr>
            <w:tcW w:w="1417" w:type="dxa"/>
            <w:tcBorders>
              <w:top w:val="single" w:sz="4" w:space="0" w:color="auto"/>
              <w:left w:val="single" w:sz="4" w:space="0" w:color="auto"/>
              <w:bottom w:val="nil"/>
              <w:right w:val="single" w:sz="4" w:space="0" w:color="auto"/>
            </w:tcBorders>
            <w:shd w:val="clear" w:color="auto" w:fill="auto"/>
            <w:vAlign w:val="center"/>
          </w:tcPr>
          <w:p w14:paraId="7420F1B3" w14:textId="060482E4" w:rsidR="00A5599C" w:rsidRPr="00DB57E5" w:rsidRDefault="00A5599C" w:rsidP="00A5599C">
            <w:pPr>
              <w:pStyle w:val="ListParagraph"/>
              <w:keepNext/>
              <w:keepLines/>
              <w:ind w:left="0"/>
              <w:jc w:val="center"/>
              <w:rPr>
                <w:rFonts w:ascii="Arial" w:hAnsi="Arial" w:cs="Arial"/>
              </w:rPr>
            </w:pPr>
            <w:r>
              <w:rPr>
                <w:rFonts w:ascii="Arial" w:hAnsi="Arial" w:cs="Arial"/>
              </w:rPr>
              <w:t>69%</w:t>
            </w:r>
          </w:p>
        </w:tc>
        <w:tc>
          <w:tcPr>
            <w:tcW w:w="1417" w:type="dxa"/>
            <w:tcBorders>
              <w:top w:val="single" w:sz="4" w:space="0" w:color="auto"/>
              <w:left w:val="single" w:sz="4" w:space="0" w:color="auto"/>
              <w:bottom w:val="nil"/>
              <w:right w:val="single" w:sz="4" w:space="0" w:color="auto"/>
            </w:tcBorders>
            <w:shd w:val="clear" w:color="auto" w:fill="auto"/>
            <w:vAlign w:val="center"/>
          </w:tcPr>
          <w:p w14:paraId="2EE55631" w14:textId="7CC7EC4C" w:rsidR="00A5599C" w:rsidRPr="00DB57E5" w:rsidRDefault="00A5599C" w:rsidP="00A5599C">
            <w:pPr>
              <w:pStyle w:val="ListParagraph"/>
              <w:keepNext/>
              <w:keepLines/>
              <w:ind w:left="0"/>
              <w:jc w:val="center"/>
              <w:rPr>
                <w:rFonts w:ascii="Arial" w:hAnsi="Arial" w:cs="Arial"/>
              </w:rPr>
            </w:pPr>
            <w:r>
              <w:rPr>
                <w:rFonts w:ascii="Arial" w:hAnsi="Arial" w:cs="Arial"/>
              </w:rPr>
              <w:t>42</w:t>
            </w:r>
          </w:p>
        </w:tc>
        <w:tc>
          <w:tcPr>
            <w:tcW w:w="1417" w:type="dxa"/>
            <w:tcBorders>
              <w:top w:val="single" w:sz="4" w:space="0" w:color="auto"/>
              <w:left w:val="single" w:sz="4" w:space="0" w:color="auto"/>
              <w:bottom w:val="nil"/>
              <w:right w:val="single" w:sz="4" w:space="0" w:color="auto"/>
            </w:tcBorders>
            <w:shd w:val="clear" w:color="auto" w:fill="auto"/>
            <w:vAlign w:val="center"/>
          </w:tcPr>
          <w:p w14:paraId="2F285A83" w14:textId="35A3DAB1" w:rsidR="00A5599C" w:rsidRPr="00DB57E5" w:rsidRDefault="00A5599C" w:rsidP="00A5599C">
            <w:pPr>
              <w:pStyle w:val="ListParagraph"/>
              <w:keepNext/>
              <w:keepLines/>
              <w:ind w:left="0"/>
              <w:jc w:val="center"/>
              <w:rPr>
                <w:rFonts w:ascii="Arial" w:hAnsi="Arial" w:cs="Arial"/>
              </w:rPr>
            </w:pPr>
            <w:r>
              <w:rPr>
                <w:rFonts w:ascii="Arial" w:hAnsi="Arial" w:cs="Arial"/>
              </w:rPr>
              <w:t>5.0</w:t>
            </w:r>
            <w:r w:rsidR="00EC68F7">
              <w:rPr>
                <w:rFonts w:ascii="Arial" w:hAnsi="Arial" w:cs="Arial"/>
              </w:rPr>
              <w:t>3</w:t>
            </w:r>
            <w:r>
              <w:rPr>
                <w:rFonts w:ascii="Arial" w:hAnsi="Arial" w:cs="Arial"/>
              </w:rPr>
              <w:t>%</w:t>
            </w:r>
          </w:p>
        </w:tc>
      </w:tr>
      <w:tr w:rsidR="00A5599C" w:rsidRPr="00BA4271" w14:paraId="07B6DF70" w14:textId="77777777" w:rsidTr="00AC502A">
        <w:trPr>
          <w:jc w:val="center"/>
        </w:trPr>
        <w:tc>
          <w:tcPr>
            <w:tcW w:w="2802" w:type="dxa"/>
            <w:tcBorders>
              <w:top w:val="nil"/>
              <w:left w:val="single" w:sz="4" w:space="0" w:color="auto"/>
              <w:bottom w:val="single" w:sz="4" w:space="0" w:color="auto"/>
              <w:right w:val="single" w:sz="4" w:space="0" w:color="auto"/>
            </w:tcBorders>
            <w:shd w:val="clear" w:color="auto" w:fill="auto"/>
          </w:tcPr>
          <w:p w14:paraId="3CCBA379" w14:textId="77777777" w:rsidR="00A5599C" w:rsidRPr="00DB57E5" w:rsidRDefault="00A5599C" w:rsidP="00A5599C">
            <w:pPr>
              <w:pStyle w:val="ListParagraph"/>
              <w:keepNext/>
              <w:keepLines/>
              <w:ind w:left="0"/>
              <w:rPr>
                <w:rFonts w:ascii="Arial" w:hAnsi="Arial" w:cs="Arial"/>
              </w:rPr>
            </w:pPr>
            <w:r w:rsidRPr="00DB57E5">
              <w:rPr>
                <w:rFonts w:ascii="Arial" w:hAnsi="Arial" w:cs="Arial"/>
              </w:rPr>
              <w:t>All LAs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6B4B309F" w14:textId="0CB3DB31" w:rsidR="00A5599C" w:rsidRPr="00DB57E5" w:rsidRDefault="00A5599C" w:rsidP="00A5599C">
            <w:pPr>
              <w:pStyle w:val="ListParagraph"/>
              <w:keepNext/>
              <w:keepLines/>
              <w:ind w:left="0"/>
              <w:jc w:val="center"/>
              <w:rPr>
                <w:rFonts w:ascii="Arial" w:hAnsi="Arial" w:cs="Arial"/>
              </w:rPr>
            </w:pPr>
            <w:r>
              <w:rPr>
                <w:rFonts w:ascii="Arial" w:hAnsi="Arial" w:cs="Arial"/>
              </w:rPr>
              <w:t>A+</w:t>
            </w:r>
          </w:p>
        </w:tc>
        <w:tc>
          <w:tcPr>
            <w:tcW w:w="1417" w:type="dxa"/>
            <w:tcBorders>
              <w:top w:val="nil"/>
              <w:left w:val="single" w:sz="4" w:space="0" w:color="auto"/>
              <w:bottom w:val="single" w:sz="4" w:space="0" w:color="auto"/>
              <w:right w:val="single" w:sz="4" w:space="0" w:color="auto"/>
            </w:tcBorders>
            <w:shd w:val="clear" w:color="auto" w:fill="auto"/>
            <w:vAlign w:val="center"/>
          </w:tcPr>
          <w:p w14:paraId="3E953188" w14:textId="1406AF06" w:rsidR="00A5599C" w:rsidRPr="00DB57E5" w:rsidRDefault="00A5599C" w:rsidP="00A5599C">
            <w:pPr>
              <w:pStyle w:val="ListParagraph"/>
              <w:keepNext/>
              <w:keepLines/>
              <w:ind w:left="0"/>
              <w:jc w:val="center"/>
              <w:rPr>
                <w:rFonts w:ascii="Arial" w:hAnsi="Arial" w:cs="Arial"/>
              </w:rPr>
            </w:pPr>
            <w:r>
              <w:rPr>
                <w:rFonts w:ascii="Arial" w:hAnsi="Arial" w:cs="Arial"/>
              </w:rPr>
              <w:t>61%</w:t>
            </w:r>
          </w:p>
        </w:tc>
        <w:tc>
          <w:tcPr>
            <w:tcW w:w="1417" w:type="dxa"/>
            <w:tcBorders>
              <w:top w:val="nil"/>
              <w:left w:val="single" w:sz="4" w:space="0" w:color="auto"/>
              <w:bottom w:val="single" w:sz="4" w:space="0" w:color="auto"/>
              <w:right w:val="single" w:sz="4" w:space="0" w:color="auto"/>
            </w:tcBorders>
            <w:shd w:val="clear" w:color="auto" w:fill="auto"/>
            <w:vAlign w:val="center"/>
          </w:tcPr>
          <w:p w14:paraId="7C9A0C4A" w14:textId="3132CD2E" w:rsidR="00A5599C" w:rsidRPr="00DB57E5" w:rsidRDefault="00A5599C" w:rsidP="00A5599C">
            <w:pPr>
              <w:pStyle w:val="ListParagraph"/>
              <w:keepNext/>
              <w:keepLines/>
              <w:ind w:left="0"/>
              <w:jc w:val="center"/>
              <w:rPr>
                <w:rFonts w:ascii="Arial" w:hAnsi="Arial" w:cs="Arial"/>
              </w:rPr>
            </w:pPr>
            <w:r>
              <w:rPr>
                <w:rFonts w:ascii="Arial" w:hAnsi="Arial" w:cs="Arial"/>
              </w:rPr>
              <w:t>9</w:t>
            </w:r>
          </w:p>
        </w:tc>
        <w:tc>
          <w:tcPr>
            <w:tcW w:w="1417" w:type="dxa"/>
            <w:tcBorders>
              <w:top w:val="nil"/>
              <w:left w:val="single" w:sz="4" w:space="0" w:color="auto"/>
              <w:bottom w:val="single" w:sz="4" w:space="0" w:color="auto"/>
              <w:right w:val="single" w:sz="4" w:space="0" w:color="auto"/>
            </w:tcBorders>
            <w:shd w:val="clear" w:color="auto" w:fill="auto"/>
            <w:vAlign w:val="center"/>
          </w:tcPr>
          <w:p w14:paraId="3CD66393" w14:textId="75C0A241" w:rsidR="00A5599C" w:rsidRPr="00DB57E5" w:rsidRDefault="00A5599C" w:rsidP="00A5599C">
            <w:pPr>
              <w:pStyle w:val="ListParagraph"/>
              <w:keepNext/>
              <w:keepLines/>
              <w:ind w:left="0"/>
              <w:jc w:val="center"/>
              <w:rPr>
                <w:rFonts w:ascii="Arial" w:hAnsi="Arial" w:cs="Arial"/>
              </w:rPr>
            </w:pPr>
            <w:r>
              <w:rPr>
                <w:rFonts w:ascii="Arial" w:hAnsi="Arial" w:cs="Arial"/>
              </w:rPr>
              <w:t>5.1</w:t>
            </w:r>
            <w:r w:rsidR="00EC68F7">
              <w:rPr>
                <w:rFonts w:ascii="Arial" w:hAnsi="Arial" w:cs="Arial"/>
              </w:rPr>
              <w:t>7%</w:t>
            </w:r>
          </w:p>
        </w:tc>
      </w:tr>
    </w:tbl>
    <w:p w14:paraId="630D4ECA" w14:textId="77777777" w:rsidR="00422205" w:rsidRPr="00BA4271" w:rsidRDefault="00422205" w:rsidP="00422205">
      <w:pPr>
        <w:pStyle w:val="ListParagraph"/>
        <w:spacing w:after="240"/>
        <w:rPr>
          <w:rFonts w:ascii="Arial" w:hAnsi="Arial" w:cs="Arial"/>
          <w:highlight w:val="yellow"/>
        </w:rPr>
      </w:pPr>
    </w:p>
    <w:p w14:paraId="038F3671" w14:textId="0B3867AE" w:rsidR="00FC4700" w:rsidRPr="003B6F75" w:rsidRDefault="00FC4700" w:rsidP="001D7D03">
      <w:pPr>
        <w:pStyle w:val="ListParagraph"/>
        <w:numPr>
          <w:ilvl w:val="1"/>
          <w:numId w:val="2"/>
        </w:numPr>
        <w:spacing w:after="240"/>
        <w:ind w:left="720" w:hanging="720"/>
        <w:rPr>
          <w:rFonts w:ascii="Arial" w:hAnsi="Arial" w:cs="Arial"/>
        </w:rPr>
      </w:pPr>
      <w:r w:rsidRPr="003B6F75">
        <w:rPr>
          <w:rFonts w:ascii="Arial" w:hAnsi="Arial" w:cs="Arial"/>
        </w:rPr>
        <w:t>Table 5 shows the average credit rat</w:t>
      </w:r>
      <w:r w:rsidR="00943F0A" w:rsidRPr="003B6F75">
        <w:rPr>
          <w:rFonts w:ascii="Arial" w:hAnsi="Arial" w:cs="Arial"/>
        </w:rPr>
        <w:t xml:space="preserve">ing of the portfolio </w:t>
      </w:r>
      <w:r w:rsidR="00B03FC8" w:rsidRPr="003B6F75">
        <w:rPr>
          <w:rFonts w:ascii="Arial" w:hAnsi="Arial" w:cs="Arial"/>
        </w:rPr>
        <w:t>h</w:t>
      </w:r>
      <w:r w:rsidR="00943F0A" w:rsidRPr="003B6F75">
        <w:rPr>
          <w:rFonts w:ascii="Arial" w:hAnsi="Arial" w:cs="Arial"/>
        </w:rPr>
        <w:t>as</w:t>
      </w:r>
      <w:r w:rsidR="00B03FC8" w:rsidRPr="003B6F75">
        <w:rPr>
          <w:rFonts w:ascii="Arial" w:hAnsi="Arial" w:cs="Arial"/>
        </w:rPr>
        <w:t xml:space="preserve"> remained consistent </w:t>
      </w:r>
      <w:r w:rsidR="00943F0A" w:rsidRPr="003B6F75">
        <w:rPr>
          <w:rFonts w:ascii="Arial" w:hAnsi="Arial" w:cs="Arial"/>
        </w:rPr>
        <w:t xml:space="preserve">at </w:t>
      </w:r>
      <w:r w:rsidR="00D553EC" w:rsidRPr="003B6F75">
        <w:rPr>
          <w:rFonts w:ascii="Arial" w:hAnsi="Arial" w:cs="Arial"/>
        </w:rPr>
        <w:t>AA-</w:t>
      </w:r>
      <w:r w:rsidR="00FE56E5" w:rsidRPr="003B6F75">
        <w:rPr>
          <w:rFonts w:ascii="Arial" w:hAnsi="Arial" w:cs="Arial"/>
        </w:rPr>
        <w:t>, one notch above the average of other clients, whist the PCC has been able to achieve higher returns than average</w:t>
      </w:r>
      <w:r w:rsidR="00964BB8" w:rsidRPr="003B6F75">
        <w:rPr>
          <w:rFonts w:ascii="Arial" w:hAnsi="Arial" w:cs="Arial"/>
        </w:rPr>
        <w:t xml:space="preserve">.  Bail-in </w:t>
      </w:r>
      <w:r w:rsidR="009D4797" w:rsidRPr="003B6F75">
        <w:rPr>
          <w:rFonts w:ascii="Arial" w:hAnsi="Arial" w:cs="Arial"/>
        </w:rPr>
        <w:t xml:space="preserve">exposure </w:t>
      </w:r>
      <w:r w:rsidR="00950547" w:rsidRPr="003B6F75">
        <w:rPr>
          <w:rFonts w:ascii="Arial" w:hAnsi="Arial" w:cs="Arial"/>
        </w:rPr>
        <w:t xml:space="preserve">has </w:t>
      </w:r>
      <w:r w:rsidR="00E44926">
        <w:rPr>
          <w:rFonts w:ascii="Arial" w:hAnsi="Arial" w:cs="Arial"/>
        </w:rPr>
        <w:t>reduced</w:t>
      </w:r>
      <w:r w:rsidR="00950547" w:rsidRPr="003B6F75">
        <w:rPr>
          <w:rFonts w:ascii="Arial" w:hAnsi="Arial" w:cs="Arial"/>
        </w:rPr>
        <w:t xml:space="preserve"> in comparison to</w:t>
      </w:r>
      <w:r w:rsidR="009D4797" w:rsidRPr="003B6F75">
        <w:rPr>
          <w:rFonts w:ascii="Arial" w:hAnsi="Arial" w:cs="Arial"/>
        </w:rPr>
        <w:t xml:space="preserve"> the same time in </w:t>
      </w:r>
      <w:r w:rsidR="00EB6EC4" w:rsidRPr="003B6F75">
        <w:rPr>
          <w:rFonts w:ascii="Arial" w:hAnsi="Arial" w:cs="Arial"/>
        </w:rPr>
        <w:t>202</w:t>
      </w:r>
      <w:r w:rsidR="00DC6865">
        <w:rPr>
          <w:rFonts w:ascii="Arial" w:hAnsi="Arial" w:cs="Arial"/>
        </w:rPr>
        <w:t>3</w:t>
      </w:r>
      <w:r w:rsidR="002B7F22" w:rsidRPr="003B6F75">
        <w:rPr>
          <w:rFonts w:ascii="Arial" w:hAnsi="Arial" w:cs="Arial"/>
        </w:rPr>
        <w:t xml:space="preserve">, as the PCC </w:t>
      </w:r>
      <w:r w:rsidR="00483489" w:rsidRPr="003B6F75">
        <w:rPr>
          <w:rFonts w:ascii="Arial" w:hAnsi="Arial" w:cs="Arial"/>
        </w:rPr>
        <w:t xml:space="preserve">held a greater investment balance with </w:t>
      </w:r>
      <w:r w:rsidR="00DC6865">
        <w:rPr>
          <w:rFonts w:ascii="Arial" w:hAnsi="Arial" w:cs="Arial"/>
        </w:rPr>
        <w:t xml:space="preserve">secured investments such as covered bonds </w:t>
      </w:r>
      <w:r w:rsidR="00786F11">
        <w:rPr>
          <w:rFonts w:ascii="Arial" w:hAnsi="Arial" w:cs="Arial"/>
        </w:rPr>
        <w:t xml:space="preserve">which are </w:t>
      </w:r>
      <w:r w:rsidR="00DC6865">
        <w:rPr>
          <w:rFonts w:ascii="Arial" w:hAnsi="Arial" w:cs="Arial"/>
        </w:rPr>
        <w:t>not subject</w:t>
      </w:r>
      <w:r w:rsidR="00786F11">
        <w:rPr>
          <w:rFonts w:ascii="Arial" w:hAnsi="Arial" w:cs="Arial"/>
        </w:rPr>
        <w:t xml:space="preserve"> to bail in risk. </w:t>
      </w:r>
      <w:r w:rsidR="00E8423D" w:rsidRPr="003B6F75">
        <w:rPr>
          <w:rFonts w:ascii="Arial" w:hAnsi="Arial" w:cs="Arial"/>
        </w:rPr>
        <w:t>T</w:t>
      </w:r>
      <w:r w:rsidR="00483489" w:rsidRPr="003B6F75">
        <w:rPr>
          <w:rFonts w:ascii="Arial" w:hAnsi="Arial" w:cs="Arial"/>
        </w:rPr>
        <w:t>he weighted a</w:t>
      </w:r>
      <w:r w:rsidR="00D9330C" w:rsidRPr="003B6F75">
        <w:rPr>
          <w:rFonts w:ascii="Arial" w:hAnsi="Arial" w:cs="Arial"/>
        </w:rPr>
        <w:t xml:space="preserve">verage maturity of investments was </w:t>
      </w:r>
      <w:r w:rsidR="00786F11">
        <w:rPr>
          <w:rFonts w:ascii="Arial" w:hAnsi="Arial" w:cs="Arial"/>
        </w:rPr>
        <w:t>higher</w:t>
      </w:r>
      <w:r w:rsidR="00E8423D" w:rsidRPr="003B6F75">
        <w:rPr>
          <w:rFonts w:ascii="Arial" w:hAnsi="Arial" w:cs="Arial"/>
        </w:rPr>
        <w:t xml:space="preserve"> in comparison to the position at 31 March 202</w:t>
      </w:r>
      <w:r w:rsidR="00786F11">
        <w:rPr>
          <w:rFonts w:ascii="Arial" w:hAnsi="Arial" w:cs="Arial"/>
        </w:rPr>
        <w:t>3</w:t>
      </w:r>
      <w:r w:rsidR="00E8423D" w:rsidRPr="003B6F75">
        <w:rPr>
          <w:rFonts w:ascii="Arial" w:hAnsi="Arial" w:cs="Arial"/>
        </w:rPr>
        <w:t xml:space="preserve"> as </w:t>
      </w:r>
      <w:r w:rsidR="007309E7" w:rsidRPr="003B6F75">
        <w:rPr>
          <w:rFonts w:ascii="Arial" w:hAnsi="Arial" w:cs="Arial"/>
        </w:rPr>
        <w:t xml:space="preserve">the PCC held </w:t>
      </w:r>
      <w:r w:rsidR="00786F11">
        <w:rPr>
          <w:rFonts w:ascii="Arial" w:hAnsi="Arial" w:cs="Arial"/>
        </w:rPr>
        <w:t>more in</w:t>
      </w:r>
      <w:r w:rsidR="00894DCA" w:rsidRPr="003B6F75">
        <w:rPr>
          <w:rFonts w:ascii="Arial" w:hAnsi="Arial" w:cs="Arial"/>
        </w:rPr>
        <w:t xml:space="preserve"> long-term balances as a proportion of total investment balances</w:t>
      </w:r>
      <w:r w:rsidR="009A0967" w:rsidRPr="003B6F75">
        <w:rPr>
          <w:rFonts w:ascii="Arial" w:hAnsi="Arial" w:cs="Arial"/>
        </w:rPr>
        <w:t xml:space="preserve">. </w:t>
      </w:r>
    </w:p>
    <w:p w14:paraId="3DF49417" w14:textId="4F2FD585" w:rsidR="007403DE" w:rsidRPr="0068422F" w:rsidRDefault="007403DE" w:rsidP="007403DE">
      <w:pPr>
        <w:pStyle w:val="ListParagraph"/>
        <w:spacing w:after="240"/>
        <w:rPr>
          <w:rFonts w:ascii="Arial" w:hAnsi="Arial" w:cs="Arial"/>
          <w:b/>
          <w:bCs/>
        </w:rPr>
      </w:pPr>
      <w:r w:rsidRPr="00791A02">
        <w:rPr>
          <w:rFonts w:ascii="Arial" w:hAnsi="Arial" w:cs="Arial"/>
          <w:b/>
          <w:bCs/>
        </w:rPr>
        <w:t>Externally managed pooled funds</w:t>
      </w:r>
    </w:p>
    <w:p w14:paraId="0587C129" w14:textId="6228282E" w:rsidR="00EF2757" w:rsidRPr="00DE25B7" w:rsidRDefault="00EF2757" w:rsidP="00AC502A">
      <w:pPr>
        <w:pStyle w:val="ListParagraph"/>
        <w:numPr>
          <w:ilvl w:val="1"/>
          <w:numId w:val="2"/>
        </w:numPr>
        <w:spacing w:after="240"/>
        <w:ind w:left="720" w:hanging="720"/>
        <w:rPr>
          <w:rFonts w:ascii="Arial" w:hAnsi="Arial" w:cs="Arial"/>
        </w:rPr>
      </w:pPr>
      <w:r w:rsidRPr="00DE25B7">
        <w:rPr>
          <w:rFonts w:ascii="Arial" w:hAnsi="Arial" w:cs="Arial"/>
        </w:rPr>
        <w:t>£</w:t>
      </w:r>
      <w:r w:rsidR="00B84838" w:rsidRPr="00DE25B7">
        <w:rPr>
          <w:rFonts w:ascii="Arial" w:hAnsi="Arial" w:cs="Arial"/>
        </w:rPr>
        <w:t>4</w:t>
      </w:r>
      <w:r w:rsidRPr="00DE25B7">
        <w:rPr>
          <w:rFonts w:ascii="Arial" w:hAnsi="Arial" w:cs="Arial"/>
        </w:rPr>
        <w:t xml:space="preserve">m of the PCC’s investments is invested in externally managed strategic pooled equity and property funds where short-term security and liquidity are lesser considerations, and the objectives instead are regular revenue income and long-term price stability. In 2023/24 these funds generated an average total return of </w:t>
      </w:r>
      <w:r w:rsidR="00341A19" w:rsidRPr="00DE25B7">
        <w:rPr>
          <w:rFonts w:ascii="Arial" w:hAnsi="Arial" w:cs="Arial"/>
        </w:rPr>
        <w:t>1.85</w:t>
      </w:r>
      <w:r w:rsidRPr="00DE25B7">
        <w:rPr>
          <w:rFonts w:ascii="Arial" w:hAnsi="Arial" w:cs="Arial"/>
        </w:rPr>
        <w:t xml:space="preserve">%, comprising a </w:t>
      </w:r>
      <w:r w:rsidR="00341A19" w:rsidRPr="00DE25B7">
        <w:rPr>
          <w:rFonts w:ascii="Arial" w:hAnsi="Arial" w:cs="Arial"/>
        </w:rPr>
        <w:t>4.95</w:t>
      </w:r>
      <w:r w:rsidRPr="00DE25B7">
        <w:rPr>
          <w:rFonts w:ascii="Arial" w:hAnsi="Arial" w:cs="Arial"/>
        </w:rPr>
        <w:t xml:space="preserve">% income return which is used to support services in year, and </w:t>
      </w:r>
      <w:r w:rsidR="00341A19" w:rsidRPr="00DE25B7">
        <w:rPr>
          <w:rFonts w:ascii="Arial" w:hAnsi="Arial" w:cs="Arial"/>
        </w:rPr>
        <w:t>1.5</w:t>
      </w:r>
      <w:r w:rsidRPr="00DE25B7">
        <w:rPr>
          <w:rFonts w:ascii="Arial" w:hAnsi="Arial" w:cs="Arial"/>
        </w:rPr>
        <w:t>% of unrealised capital loss.  Over the holding period (just below 10 years), the</w:t>
      </w:r>
      <w:r w:rsidR="00DA714F" w:rsidRPr="00DE25B7">
        <w:rPr>
          <w:rFonts w:ascii="Arial" w:hAnsi="Arial" w:cs="Arial"/>
        </w:rPr>
        <w:t xml:space="preserve"> </w:t>
      </w:r>
      <w:r w:rsidRPr="00DE25B7">
        <w:rPr>
          <w:rFonts w:ascii="Arial" w:hAnsi="Arial" w:cs="Arial"/>
        </w:rPr>
        <w:t xml:space="preserve">PCC’s investments in pooled funds have contributed </w:t>
      </w:r>
      <w:r w:rsidR="00FF3B8F">
        <w:rPr>
          <w:rFonts w:ascii="Arial" w:hAnsi="Arial" w:cs="Arial"/>
        </w:rPr>
        <w:t>4.</w:t>
      </w:r>
      <w:r w:rsidR="00BF7DED">
        <w:rPr>
          <w:rFonts w:ascii="Arial" w:hAnsi="Arial" w:cs="Arial"/>
        </w:rPr>
        <w:t>28</w:t>
      </w:r>
      <w:r w:rsidRPr="00DE25B7">
        <w:rPr>
          <w:rFonts w:ascii="Arial" w:hAnsi="Arial" w:cs="Arial"/>
        </w:rPr>
        <w:t>% income per year on average, which compares favourably in a period where base rates have generally been low.</w:t>
      </w:r>
    </w:p>
    <w:p w14:paraId="4409FED0" w14:textId="77777777" w:rsidR="00EF2757" w:rsidRPr="003F15BC" w:rsidRDefault="00EF2757" w:rsidP="00AC502A">
      <w:pPr>
        <w:pStyle w:val="ListParagraph"/>
        <w:numPr>
          <w:ilvl w:val="1"/>
          <w:numId w:val="2"/>
        </w:numPr>
        <w:spacing w:after="240"/>
        <w:ind w:left="720" w:hanging="720"/>
        <w:rPr>
          <w:rFonts w:ascii="Arial" w:hAnsi="Arial" w:cs="Arial"/>
        </w:rPr>
      </w:pPr>
      <w:r w:rsidRPr="003F15BC">
        <w:rPr>
          <w:rFonts w:ascii="Arial" w:hAnsi="Arial" w:cs="Arial"/>
        </w:rPr>
        <w:t xml:space="preserve">During 2023/24 after an initial period of caution due to the likelihood of recession, the UK economy fared better than anticipated with a shallow recession, falling inflation and improved consumer confidence providing support for UK equities, with stocks trading at attractive valuations relative to their global peers. The FTSE All-Share was one of the top performing stock markets in September and December 2023. The total return on the FTSE All Share index for the 12 months ending March 2024 was 8.2%. </w:t>
      </w:r>
    </w:p>
    <w:p w14:paraId="4E813EE3" w14:textId="77777777" w:rsidR="00EF2757" w:rsidRPr="003F15BC" w:rsidRDefault="00EF2757" w:rsidP="00AC502A">
      <w:pPr>
        <w:pStyle w:val="ListParagraph"/>
        <w:numPr>
          <w:ilvl w:val="1"/>
          <w:numId w:val="2"/>
        </w:numPr>
        <w:spacing w:after="240"/>
        <w:ind w:left="720" w:hanging="720"/>
        <w:rPr>
          <w:rFonts w:ascii="Arial" w:hAnsi="Arial" w:cs="Arial"/>
        </w:rPr>
      </w:pPr>
      <w:r w:rsidRPr="003F15BC">
        <w:rPr>
          <w:rFonts w:ascii="Arial" w:hAnsi="Arial" w:cs="Arial"/>
        </w:rPr>
        <w:t xml:space="preserve">The market background for commercial property improved marginally in 2023 and was more stable, in contrast to the very challenging backdrop of 2022. Low transactional volumes were a constraint on valuations and made prospective sellers and buyers more cautious. Although many sectors lacked </w:t>
      </w:r>
      <w:r w:rsidRPr="003F15BC">
        <w:rPr>
          <w:rFonts w:ascii="Arial" w:hAnsi="Arial" w:cs="Arial"/>
        </w:rPr>
        <w:lastRenderedPageBreak/>
        <w:t xml:space="preserve">momentum, there was growing confidence in the longer-term outlook as occupier demand and rental markets held up. Industrial and retail warehousing sectors remained strong, but the retail and offices sectors remained weak, the latter continuing to be hindered by low occupancy from hybrid working practices. </w:t>
      </w:r>
    </w:p>
    <w:p w14:paraId="4F5675B0" w14:textId="58AAE56D" w:rsidR="00EF2757" w:rsidRDefault="00EF2757" w:rsidP="00AC502A">
      <w:pPr>
        <w:pStyle w:val="ListParagraph"/>
        <w:numPr>
          <w:ilvl w:val="1"/>
          <w:numId w:val="2"/>
        </w:numPr>
        <w:spacing w:after="240"/>
        <w:ind w:left="720" w:hanging="720"/>
        <w:rPr>
          <w:rFonts w:ascii="Arial" w:hAnsi="Arial" w:cs="Arial"/>
        </w:rPr>
      </w:pPr>
      <w:r w:rsidRPr="003F15BC">
        <w:rPr>
          <w:rFonts w:ascii="Arial" w:hAnsi="Arial" w:cs="Arial"/>
        </w:rPr>
        <w:t xml:space="preserve">Because these funds have no defined maturity date, but are available for withdrawal after a notice period, their performance and continued suitability in meeting the </w:t>
      </w:r>
      <w:r w:rsidR="00DA714F">
        <w:rPr>
          <w:rFonts w:ascii="Arial" w:hAnsi="Arial" w:cs="Arial"/>
        </w:rPr>
        <w:t>PCC’s</w:t>
      </w:r>
      <w:r w:rsidRPr="003F15BC">
        <w:rPr>
          <w:rFonts w:ascii="Arial" w:hAnsi="Arial" w:cs="Arial"/>
        </w:rPr>
        <w:t xml:space="preserve"> medium-to long-term investment objectives are regularly reviewed. Strategic fund investments are made in the knowledge that capital values will move both up and down on months, quarters and even years and with the expectation that over a three- to five-year period total returns should exceed cash interest rates. </w:t>
      </w:r>
    </w:p>
    <w:p w14:paraId="154068DF" w14:textId="39DDED4C" w:rsidR="004A22D7" w:rsidRPr="004A22D7" w:rsidRDefault="00EF2757" w:rsidP="00AC502A">
      <w:pPr>
        <w:pStyle w:val="ListParagraph"/>
        <w:numPr>
          <w:ilvl w:val="1"/>
          <w:numId w:val="2"/>
        </w:numPr>
        <w:spacing w:after="240"/>
        <w:ind w:left="720" w:hanging="720"/>
        <w:rPr>
          <w:rFonts w:ascii="Arial" w:hAnsi="Arial" w:cs="Arial"/>
        </w:rPr>
      </w:pPr>
      <w:r w:rsidRPr="00AB17D7">
        <w:rPr>
          <w:rFonts w:ascii="Arial" w:hAnsi="Arial" w:cs="Arial"/>
        </w:rPr>
        <w:t xml:space="preserve">The </w:t>
      </w:r>
      <w:r w:rsidR="00DA714F">
        <w:rPr>
          <w:rFonts w:ascii="Arial" w:hAnsi="Arial" w:cs="Arial"/>
        </w:rPr>
        <w:t>PCC</w:t>
      </w:r>
      <w:r w:rsidRPr="00AB17D7">
        <w:rPr>
          <w:rFonts w:ascii="Arial" w:hAnsi="Arial" w:cs="Arial"/>
        </w:rPr>
        <w:t xml:space="preserve"> is aware of the risks involved with investing in pooled funds that hold underlying investments in equities and property. As a result, when the </w:t>
      </w:r>
      <w:r w:rsidR="00DA714F">
        <w:rPr>
          <w:rFonts w:ascii="Arial" w:hAnsi="Arial" w:cs="Arial"/>
        </w:rPr>
        <w:t>PCC</w:t>
      </w:r>
      <w:r w:rsidRPr="00AB17D7">
        <w:rPr>
          <w:rFonts w:ascii="Arial" w:hAnsi="Arial" w:cs="Arial"/>
        </w:rPr>
        <w:t xml:space="preserve"> began to specifically target higher returns from a proportion of its investments, it also established an Investment Risk Reserve to mitigate the risk of an irrecoverable fall in the value of these investments.</w:t>
      </w:r>
      <w:r w:rsidR="004A22D7" w:rsidRPr="00AC502A">
        <w:rPr>
          <w:rFonts w:ascii="Arial" w:hAnsi="Arial" w:cs="Arial"/>
        </w:rPr>
        <w:t xml:space="preserve"> </w:t>
      </w:r>
      <w:r w:rsidR="004A22D7" w:rsidRPr="004A22D7">
        <w:rPr>
          <w:rFonts w:ascii="Arial" w:hAnsi="Arial" w:cs="Arial"/>
        </w:rPr>
        <w:t xml:space="preserve">The balance held in this reserve is currently </w:t>
      </w:r>
      <w:r w:rsidR="004A22D7" w:rsidRPr="00686131">
        <w:rPr>
          <w:rFonts w:ascii="Arial" w:hAnsi="Arial" w:cs="Arial"/>
        </w:rPr>
        <w:t>£</w:t>
      </w:r>
      <w:r w:rsidR="00520DA1" w:rsidRPr="00686131">
        <w:rPr>
          <w:rFonts w:ascii="Arial" w:hAnsi="Arial" w:cs="Arial"/>
        </w:rPr>
        <w:t>0.24</w:t>
      </w:r>
      <w:r w:rsidR="004A22D7" w:rsidRPr="00686131">
        <w:rPr>
          <w:rFonts w:ascii="Arial" w:hAnsi="Arial" w:cs="Arial"/>
        </w:rPr>
        <w:t>m</w:t>
      </w:r>
      <w:r w:rsidR="004A22D7" w:rsidRPr="004A22D7">
        <w:rPr>
          <w:rFonts w:ascii="Arial" w:hAnsi="Arial" w:cs="Arial"/>
        </w:rPr>
        <w:t xml:space="preserve"> which equates </w:t>
      </w:r>
      <w:r w:rsidR="004A22D7" w:rsidRPr="00686131">
        <w:rPr>
          <w:rFonts w:ascii="Arial" w:hAnsi="Arial" w:cs="Arial"/>
        </w:rPr>
        <w:t xml:space="preserve">to </w:t>
      </w:r>
      <w:r w:rsidR="00520DA1" w:rsidRPr="00686131">
        <w:rPr>
          <w:rFonts w:ascii="Arial" w:hAnsi="Arial" w:cs="Arial"/>
        </w:rPr>
        <w:t>6</w:t>
      </w:r>
      <w:r w:rsidR="004A22D7" w:rsidRPr="00686131">
        <w:rPr>
          <w:rFonts w:ascii="Arial" w:hAnsi="Arial" w:cs="Arial"/>
        </w:rPr>
        <w:t>%</w:t>
      </w:r>
      <w:r w:rsidR="004A22D7" w:rsidRPr="004A22D7">
        <w:rPr>
          <w:rFonts w:ascii="Arial" w:hAnsi="Arial" w:cs="Arial"/>
        </w:rPr>
        <w:t xml:space="preserve"> of the actual allocation to pooled investments of £</w:t>
      </w:r>
      <w:r w:rsidR="004A22D7">
        <w:rPr>
          <w:rFonts w:ascii="Arial" w:hAnsi="Arial" w:cs="Arial"/>
        </w:rPr>
        <w:t>4</w:t>
      </w:r>
      <w:r w:rsidR="004A22D7" w:rsidRPr="004A22D7">
        <w:rPr>
          <w:rFonts w:ascii="Arial" w:hAnsi="Arial" w:cs="Arial"/>
        </w:rPr>
        <w:t>m.</w:t>
      </w:r>
    </w:p>
    <w:p w14:paraId="34B8DAC0" w14:textId="1037768A" w:rsidR="00EF2757" w:rsidRPr="003F15BC" w:rsidRDefault="00EF2757" w:rsidP="00AC502A">
      <w:pPr>
        <w:pStyle w:val="ListParagraph"/>
        <w:numPr>
          <w:ilvl w:val="1"/>
          <w:numId w:val="2"/>
        </w:numPr>
        <w:spacing w:after="240"/>
        <w:ind w:left="720" w:hanging="720"/>
        <w:rPr>
          <w:rFonts w:ascii="Arial" w:hAnsi="Arial" w:cs="Arial"/>
        </w:rPr>
      </w:pPr>
      <w:r w:rsidRPr="003F15BC">
        <w:rPr>
          <w:rFonts w:ascii="Arial" w:hAnsi="Arial" w:cs="Arial"/>
        </w:rPr>
        <w:t xml:space="preserve">In April 2023 the Department for Levelling Up, Housing and Communities (DLUHC) published the full outcome of the consultation on the extension of the statutory override on accounting for gains and losses on pooled investment funds. The override has been extended until 31 March 2025, but no other changes have been made; whether the override will be extended beyond this date is unknown but commentary to the consultation outcome suggests it will not. The </w:t>
      </w:r>
      <w:r w:rsidR="00E86233">
        <w:rPr>
          <w:rFonts w:ascii="Arial" w:hAnsi="Arial" w:cs="Arial"/>
        </w:rPr>
        <w:t>PCC</w:t>
      </w:r>
      <w:r w:rsidRPr="003F15BC">
        <w:rPr>
          <w:rFonts w:ascii="Arial" w:hAnsi="Arial" w:cs="Arial"/>
        </w:rPr>
        <w:t xml:space="preserve"> will discuss with Arlingclose the implications for the investment strategy and what action may need to be taken.</w:t>
      </w:r>
    </w:p>
    <w:p w14:paraId="645E9547" w14:textId="77777777" w:rsidR="00823953" w:rsidRPr="00486D75" w:rsidRDefault="00823953" w:rsidP="00E86233">
      <w:pPr>
        <w:keepNext/>
        <w:numPr>
          <w:ilvl w:val="0"/>
          <w:numId w:val="2"/>
        </w:numPr>
        <w:tabs>
          <w:tab w:val="num" w:pos="720"/>
        </w:tabs>
        <w:spacing w:after="240"/>
        <w:ind w:left="431" w:hanging="431"/>
        <w:outlineLvl w:val="0"/>
        <w:rPr>
          <w:rFonts w:ascii="Arial" w:hAnsi="Arial" w:cs="Arial"/>
          <w:b/>
        </w:rPr>
      </w:pPr>
      <w:r w:rsidRPr="00486D75">
        <w:rPr>
          <w:rFonts w:ascii="Arial" w:hAnsi="Arial" w:cs="Arial"/>
          <w:b/>
        </w:rPr>
        <w:t>Financial Implications</w:t>
      </w:r>
    </w:p>
    <w:p w14:paraId="1B91A4DB" w14:textId="11E55075" w:rsidR="00823953" w:rsidRPr="00D8228F" w:rsidRDefault="00823953" w:rsidP="003C3808">
      <w:pPr>
        <w:pStyle w:val="ListParagraph"/>
        <w:numPr>
          <w:ilvl w:val="1"/>
          <w:numId w:val="2"/>
        </w:numPr>
        <w:spacing w:after="240"/>
        <w:ind w:left="720" w:hanging="720"/>
        <w:rPr>
          <w:rFonts w:ascii="Arial" w:hAnsi="Arial" w:cs="Arial"/>
        </w:rPr>
      </w:pPr>
      <w:r w:rsidRPr="00E46F0B">
        <w:rPr>
          <w:rFonts w:ascii="Arial" w:hAnsi="Arial" w:cs="Arial"/>
        </w:rPr>
        <w:t xml:space="preserve">The outturn for debt interest paid in </w:t>
      </w:r>
      <w:r w:rsidR="00014703" w:rsidRPr="00657B22">
        <w:rPr>
          <w:rFonts w:ascii="Arial" w:hAnsi="Arial" w:cs="Arial"/>
        </w:rPr>
        <w:t>202</w:t>
      </w:r>
      <w:r w:rsidR="00E86233">
        <w:rPr>
          <w:rFonts w:ascii="Arial" w:hAnsi="Arial" w:cs="Arial"/>
        </w:rPr>
        <w:t>3</w:t>
      </w:r>
      <w:r w:rsidR="00014703" w:rsidRPr="00657B22">
        <w:rPr>
          <w:rFonts w:ascii="Arial" w:hAnsi="Arial" w:cs="Arial"/>
        </w:rPr>
        <w:t>/</w:t>
      </w:r>
      <w:r w:rsidR="00014703" w:rsidRPr="00D8228F">
        <w:rPr>
          <w:rFonts w:ascii="Arial" w:hAnsi="Arial" w:cs="Arial"/>
        </w:rPr>
        <w:t>2</w:t>
      </w:r>
      <w:r w:rsidR="00E86233" w:rsidRPr="00D8228F">
        <w:rPr>
          <w:rFonts w:ascii="Arial" w:hAnsi="Arial" w:cs="Arial"/>
        </w:rPr>
        <w:t>4</w:t>
      </w:r>
      <w:r w:rsidRPr="00D8228F">
        <w:rPr>
          <w:rFonts w:ascii="Arial" w:hAnsi="Arial" w:cs="Arial"/>
        </w:rPr>
        <w:t xml:space="preserve"> was £</w:t>
      </w:r>
      <w:r w:rsidR="00520DA1" w:rsidRPr="00D8228F">
        <w:rPr>
          <w:rFonts w:ascii="Arial" w:hAnsi="Arial" w:cs="Arial"/>
        </w:rPr>
        <w:t>1</w:t>
      </w:r>
      <w:r w:rsidRPr="00D8228F">
        <w:rPr>
          <w:rFonts w:ascii="Arial" w:hAnsi="Arial" w:cs="Arial"/>
        </w:rPr>
        <w:t>m on an average debt portfolio of £</w:t>
      </w:r>
      <w:r w:rsidR="00B34C79" w:rsidRPr="00D8228F">
        <w:rPr>
          <w:rFonts w:ascii="Arial" w:hAnsi="Arial" w:cs="Arial"/>
        </w:rPr>
        <w:t>23.01</w:t>
      </w:r>
      <w:r w:rsidRPr="00D8228F">
        <w:rPr>
          <w:rFonts w:ascii="Arial" w:hAnsi="Arial" w:cs="Arial"/>
        </w:rPr>
        <w:t>m</w:t>
      </w:r>
      <w:r w:rsidR="00FE03F7" w:rsidRPr="00D8228F">
        <w:rPr>
          <w:rFonts w:ascii="Arial" w:hAnsi="Arial" w:cs="Arial"/>
        </w:rPr>
        <w:t>.</w:t>
      </w:r>
    </w:p>
    <w:p w14:paraId="3D6E13CA" w14:textId="6036FCE5" w:rsidR="00823953" w:rsidRPr="00D8228F" w:rsidRDefault="00823953" w:rsidP="00E40338">
      <w:pPr>
        <w:pStyle w:val="ListParagraph"/>
        <w:numPr>
          <w:ilvl w:val="1"/>
          <w:numId w:val="2"/>
        </w:numPr>
        <w:spacing w:after="240"/>
        <w:ind w:left="720" w:hanging="720"/>
        <w:rPr>
          <w:rFonts w:ascii="Arial" w:hAnsi="Arial" w:cs="Arial"/>
        </w:rPr>
      </w:pPr>
      <w:r w:rsidRPr="00D8228F">
        <w:rPr>
          <w:rFonts w:ascii="Arial" w:hAnsi="Arial" w:cs="Arial"/>
        </w:rPr>
        <w:t>The outturn for investment incom</w:t>
      </w:r>
      <w:r w:rsidR="00C34C42" w:rsidRPr="00D8228F">
        <w:rPr>
          <w:rFonts w:ascii="Arial" w:hAnsi="Arial" w:cs="Arial"/>
        </w:rPr>
        <w:t xml:space="preserve">e received in </w:t>
      </w:r>
      <w:r w:rsidR="00965D3F" w:rsidRPr="00D8228F">
        <w:rPr>
          <w:rFonts w:ascii="Arial" w:hAnsi="Arial" w:cs="Arial"/>
        </w:rPr>
        <w:t>202</w:t>
      </w:r>
      <w:r w:rsidR="00A70BFF" w:rsidRPr="00D8228F">
        <w:rPr>
          <w:rFonts w:ascii="Arial" w:hAnsi="Arial" w:cs="Arial"/>
        </w:rPr>
        <w:t>3</w:t>
      </w:r>
      <w:r w:rsidR="00965D3F" w:rsidRPr="00D8228F">
        <w:rPr>
          <w:rFonts w:ascii="Arial" w:hAnsi="Arial" w:cs="Arial"/>
        </w:rPr>
        <w:t>/2</w:t>
      </w:r>
      <w:r w:rsidR="00A70BFF" w:rsidRPr="00D8228F">
        <w:rPr>
          <w:rFonts w:ascii="Arial" w:hAnsi="Arial" w:cs="Arial"/>
        </w:rPr>
        <w:t>4</w:t>
      </w:r>
      <w:r w:rsidR="00965D3F" w:rsidRPr="00D8228F">
        <w:rPr>
          <w:rFonts w:ascii="Arial" w:hAnsi="Arial" w:cs="Arial"/>
        </w:rPr>
        <w:t xml:space="preserve"> </w:t>
      </w:r>
      <w:r w:rsidR="00C34C42" w:rsidRPr="00D8228F">
        <w:rPr>
          <w:rFonts w:ascii="Arial" w:hAnsi="Arial" w:cs="Arial"/>
        </w:rPr>
        <w:t>was £</w:t>
      </w:r>
      <w:r w:rsidR="00520DA1" w:rsidRPr="00D8228F">
        <w:rPr>
          <w:rFonts w:ascii="Arial" w:hAnsi="Arial" w:cs="Arial"/>
        </w:rPr>
        <w:t>6.1m</w:t>
      </w:r>
      <w:r w:rsidR="00A70BFF" w:rsidRPr="00D8228F">
        <w:rPr>
          <w:rFonts w:ascii="Arial" w:hAnsi="Arial" w:cs="Arial"/>
        </w:rPr>
        <w:t>,</w:t>
      </w:r>
      <w:r w:rsidR="00E40338" w:rsidRPr="00D8228F">
        <w:rPr>
          <w:rFonts w:ascii="Arial" w:hAnsi="Arial" w:cs="Arial"/>
        </w:rPr>
        <w:t xml:space="preserve"> (against a budget of </w:t>
      </w:r>
      <w:r w:rsidR="00A70BFF" w:rsidRPr="00D8228F">
        <w:rPr>
          <w:rFonts w:ascii="Arial" w:hAnsi="Arial" w:cs="Arial"/>
        </w:rPr>
        <w:t>£</w:t>
      </w:r>
      <w:r w:rsidR="00520DA1" w:rsidRPr="00D8228F">
        <w:rPr>
          <w:rFonts w:ascii="Arial" w:hAnsi="Arial" w:cs="Arial"/>
        </w:rPr>
        <w:t>2m</w:t>
      </w:r>
      <w:r w:rsidR="00E40338" w:rsidRPr="00D8228F">
        <w:rPr>
          <w:rFonts w:ascii="Arial" w:hAnsi="Arial" w:cs="Arial"/>
        </w:rPr>
        <w:t>)</w:t>
      </w:r>
      <w:r w:rsidRPr="00D8228F">
        <w:rPr>
          <w:rFonts w:ascii="Arial" w:hAnsi="Arial" w:cs="Arial"/>
        </w:rPr>
        <w:t xml:space="preserve"> on an ave</w:t>
      </w:r>
      <w:r w:rsidR="00C34C42" w:rsidRPr="00D8228F">
        <w:rPr>
          <w:rFonts w:ascii="Arial" w:hAnsi="Arial" w:cs="Arial"/>
        </w:rPr>
        <w:t>rage investment portfolio of £</w:t>
      </w:r>
      <w:r w:rsidR="00D47EC9" w:rsidRPr="00D8228F">
        <w:rPr>
          <w:rFonts w:ascii="Arial" w:hAnsi="Arial" w:cs="Arial"/>
        </w:rPr>
        <w:t>117.87</w:t>
      </w:r>
      <w:r w:rsidRPr="00D8228F">
        <w:rPr>
          <w:rFonts w:ascii="Arial" w:hAnsi="Arial" w:cs="Arial"/>
        </w:rPr>
        <w:t>m, therefore giving a</w:t>
      </w:r>
      <w:r w:rsidR="00D50033" w:rsidRPr="00D8228F">
        <w:rPr>
          <w:rFonts w:ascii="Arial" w:hAnsi="Arial" w:cs="Arial"/>
        </w:rPr>
        <w:t>n average</w:t>
      </w:r>
      <w:r w:rsidRPr="00D8228F">
        <w:rPr>
          <w:rFonts w:ascii="Arial" w:hAnsi="Arial" w:cs="Arial"/>
        </w:rPr>
        <w:t xml:space="preserve"> yield</w:t>
      </w:r>
      <w:r w:rsidR="00D50033" w:rsidRPr="00D8228F">
        <w:rPr>
          <w:rFonts w:ascii="Arial" w:hAnsi="Arial" w:cs="Arial"/>
        </w:rPr>
        <w:t xml:space="preserve"> for the year</w:t>
      </w:r>
      <w:r w:rsidRPr="00D8228F">
        <w:rPr>
          <w:rFonts w:ascii="Arial" w:hAnsi="Arial" w:cs="Arial"/>
        </w:rPr>
        <w:t xml:space="preserve"> of </w:t>
      </w:r>
      <w:r w:rsidR="00520DA1" w:rsidRPr="00D8228F">
        <w:rPr>
          <w:rFonts w:ascii="Arial" w:hAnsi="Arial" w:cs="Arial"/>
        </w:rPr>
        <w:t>5.2</w:t>
      </w:r>
      <w:r w:rsidRPr="00D8228F">
        <w:rPr>
          <w:rFonts w:ascii="Arial" w:hAnsi="Arial" w:cs="Arial"/>
        </w:rPr>
        <w:t>%</w:t>
      </w:r>
      <w:r w:rsidR="00E40338" w:rsidRPr="00D8228F">
        <w:rPr>
          <w:rFonts w:ascii="Arial" w:hAnsi="Arial" w:cs="Arial"/>
        </w:rPr>
        <w:t>.</w:t>
      </w:r>
      <w:r w:rsidRPr="00D8228F">
        <w:rPr>
          <w:rFonts w:ascii="Arial" w:hAnsi="Arial" w:cs="Arial"/>
        </w:rPr>
        <w:t xml:space="preserve"> </w:t>
      </w:r>
      <w:r w:rsidR="00E40338" w:rsidRPr="00D8228F">
        <w:rPr>
          <w:rFonts w:ascii="Arial" w:hAnsi="Arial" w:cs="Arial"/>
        </w:rPr>
        <w:t xml:space="preserve"> </w:t>
      </w:r>
    </w:p>
    <w:p w14:paraId="42FA08FF" w14:textId="752908C5" w:rsidR="00823953" w:rsidRPr="006514BD" w:rsidRDefault="00823953" w:rsidP="003C3808">
      <w:pPr>
        <w:keepNext/>
        <w:numPr>
          <w:ilvl w:val="0"/>
          <w:numId w:val="2"/>
        </w:numPr>
        <w:tabs>
          <w:tab w:val="num" w:pos="720"/>
        </w:tabs>
        <w:spacing w:after="240"/>
        <w:ind w:left="431" w:hanging="431"/>
        <w:outlineLvl w:val="0"/>
        <w:rPr>
          <w:rFonts w:ascii="Arial" w:hAnsi="Arial" w:cs="Arial"/>
          <w:b/>
        </w:rPr>
      </w:pPr>
      <w:r w:rsidRPr="006514BD">
        <w:rPr>
          <w:rFonts w:ascii="Arial" w:hAnsi="Arial" w:cs="Arial"/>
          <w:b/>
        </w:rPr>
        <w:t xml:space="preserve">Non-Treasury </w:t>
      </w:r>
      <w:r w:rsidR="007A4625" w:rsidRPr="006514BD">
        <w:rPr>
          <w:rFonts w:ascii="Arial" w:hAnsi="Arial" w:cs="Arial"/>
          <w:b/>
        </w:rPr>
        <w:t>Investments</w:t>
      </w:r>
    </w:p>
    <w:p w14:paraId="0C013B96" w14:textId="74220522" w:rsidR="006514BD" w:rsidRPr="006514BD" w:rsidRDefault="006514BD" w:rsidP="006514BD">
      <w:pPr>
        <w:pStyle w:val="ListParagraph"/>
        <w:numPr>
          <w:ilvl w:val="1"/>
          <w:numId w:val="2"/>
        </w:numPr>
        <w:spacing w:after="240"/>
        <w:ind w:left="720" w:hanging="720"/>
        <w:rPr>
          <w:rFonts w:ascii="Arial" w:hAnsi="Arial" w:cs="Arial"/>
        </w:rPr>
      </w:pPr>
      <w:r w:rsidRPr="006514BD">
        <w:rPr>
          <w:rFonts w:ascii="Arial" w:hAnsi="Arial" w:cs="Arial"/>
        </w:rPr>
        <w:t xml:space="preserve">The definition of investments in CIPFA’s revised Treasury Management Code now covers all the financial assets of the PCC as well as other non-financial </w:t>
      </w:r>
      <w:r w:rsidRPr="006514BD">
        <w:rPr>
          <w:rFonts w:ascii="Arial" w:hAnsi="Arial" w:cs="Arial"/>
        </w:rPr>
        <w:lastRenderedPageBreak/>
        <w:t>assets which the PCC holds primarily for financial return. Investments that do not meet the definition of treasury management investments (i.e. management of surplus cash) are categorised as either for service purposes (made explicitly to further service objectives) and or for commercial purposes (made primarily for financial return).</w:t>
      </w:r>
    </w:p>
    <w:p w14:paraId="26579C38" w14:textId="0C1D43B3" w:rsidR="006514BD" w:rsidRDefault="006514BD" w:rsidP="006514BD">
      <w:pPr>
        <w:pStyle w:val="ListParagraph"/>
        <w:numPr>
          <w:ilvl w:val="1"/>
          <w:numId w:val="2"/>
        </w:numPr>
        <w:spacing w:after="240"/>
        <w:ind w:left="720" w:hanging="720"/>
        <w:rPr>
          <w:rFonts w:ascii="Arial" w:hAnsi="Arial" w:cs="Arial"/>
        </w:rPr>
      </w:pPr>
      <w:r w:rsidRPr="006514BD">
        <w:rPr>
          <w:rFonts w:ascii="Arial" w:hAnsi="Arial" w:cs="Arial"/>
        </w:rPr>
        <w:t xml:space="preserve">Investment Guidance issued by DLUHC also broadens the definition of investments to include all such assets held partially or wholly for financial return. </w:t>
      </w:r>
      <w:r w:rsidR="006A1909" w:rsidRPr="006A1909">
        <w:rPr>
          <w:rFonts w:ascii="Arial" w:hAnsi="Arial" w:cs="Arial"/>
        </w:rPr>
        <w:t xml:space="preserve">The Investment Guidance applies to all authorities defined as local authorities under the Local Government Act 2003, section 23, which includes </w:t>
      </w:r>
      <w:r w:rsidR="00407C3B">
        <w:rPr>
          <w:rFonts w:ascii="Arial" w:hAnsi="Arial" w:cs="Arial"/>
        </w:rPr>
        <w:t>P</w:t>
      </w:r>
      <w:r w:rsidR="00407C3B" w:rsidRPr="006A1909">
        <w:rPr>
          <w:rFonts w:ascii="Arial" w:hAnsi="Arial" w:cs="Arial"/>
        </w:rPr>
        <w:t xml:space="preserve">olice </w:t>
      </w:r>
      <w:r w:rsidR="006A1909" w:rsidRPr="006A1909">
        <w:rPr>
          <w:rFonts w:ascii="Arial" w:hAnsi="Arial" w:cs="Arial"/>
        </w:rPr>
        <w:t xml:space="preserve">and </w:t>
      </w:r>
      <w:r w:rsidR="00407C3B">
        <w:rPr>
          <w:rFonts w:ascii="Arial" w:hAnsi="Arial" w:cs="Arial"/>
        </w:rPr>
        <w:t>C</w:t>
      </w:r>
      <w:r w:rsidR="00407C3B" w:rsidRPr="006A1909">
        <w:rPr>
          <w:rFonts w:ascii="Arial" w:hAnsi="Arial" w:cs="Arial"/>
        </w:rPr>
        <w:t xml:space="preserve">rime </w:t>
      </w:r>
      <w:r w:rsidR="00407C3B">
        <w:rPr>
          <w:rFonts w:ascii="Arial" w:hAnsi="Arial" w:cs="Arial"/>
        </w:rPr>
        <w:t>C</w:t>
      </w:r>
      <w:r w:rsidR="00407C3B" w:rsidRPr="006A1909">
        <w:rPr>
          <w:rFonts w:ascii="Arial" w:hAnsi="Arial" w:cs="Arial"/>
        </w:rPr>
        <w:t>ommissioners</w:t>
      </w:r>
      <w:r w:rsidR="006A1909" w:rsidRPr="006A1909">
        <w:rPr>
          <w:rFonts w:ascii="Arial" w:hAnsi="Arial" w:cs="Arial"/>
        </w:rPr>
        <w:t>.</w:t>
      </w:r>
    </w:p>
    <w:p w14:paraId="7BE43422" w14:textId="37A620C3" w:rsidR="00A40E5A" w:rsidRDefault="00A40E5A" w:rsidP="006514BD">
      <w:pPr>
        <w:pStyle w:val="ListParagraph"/>
        <w:numPr>
          <w:ilvl w:val="1"/>
          <w:numId w:val="2"/>
        </w:numPr>
        <w:spacing w:after="240"/>
        <w:ind w:left="720" w:hanging="720"/>
        <w:rPr>
          <w:rFonts w:ascii="Arial" w:hAnsi="Arial" w:cs="Arial"/>
        </w:rPr>
      </w:pPr>
      <w:r>
        <w:rPr>
          <w:rFonts w:ascii="Arial" w:hAnsi="Arial" w:cs="Arial"/>
        </w:rPr>
        <w:t xml:space="preserve">This </w:t>
      </w:r>
      <w:r w:rsidR="001A4214" w:rsidRPr="00667FB0">
        <w:rPr>
          <w:rFonts w:ascii="Arial" w:hAnsi="Arial" w:cs="Arial"/>
        </w:rPr>
        <w:t>could include the direct purchase of land or property and any such loans and investments will be subject to the PCC’s normal approval processes for revenue and capital expenditure and need not comply with the treasury management strategy. The PCC does not have any existing non-treasury investments.</w:t>
      </w:r>
    </w:p>
    <w:p w14:paraId="2CA123BB" w14:textId="77777777" w:rsidR="00D07A7B" w:rsidRPr="00D07A7B" w:rsidRDefault="00D07A7B" w:rsidP="00AC502A">
      <w:pPr>
        <w:keepNext/>
        <w:numPr>
          <w:ilvl w:val="0"/>
          <w:numId w:val="2"/>
        </w:numPr>
        <w:tabs>
          <w:tab w:val="num" w:pos="720"/>
        </w:tabs>
        <w:spacing w:after="240"/>
        <w:ind w:left="431" w:hanging="431"/>
        <w:outlineLvl w:val="0"/>
        <w:rPr>
          <w:rFonts w:ascii="Arial" w:hAnsi="Arial" w:cs="Arial"/>
          <w:b/>
        </w:rPr>
      </w:pPr>
      <w:r w:rsidRPr="00D07A7B">
        <w:rPr>
          <w:rFonts w:ascii="Arial" w:hAnsi="Arial" w:cs="Arial"/>
          <w:b/>
        </w:rPr>
        <w:t>Consultations</w:t>
      </w:r>
    </w:p>
    <w:p w14:paraId="3CE47EDF" w14:textId="77777777" w:rsidR="00D07A7B" w:rsidRPr="00EE6058" w:rsidRDefault="00D07A7B" w:rsidP="00AC502A">
      <w:pPr>
        <w:pStyle w:val="ListParagraph"/>
        <w:numPr>
          <w:ilvl w:val="1"/>
          <w:numId w:val="2"/>
        </w:numPr>
        <w:spacing w:after="240"/>
        <w:ind w:left="720" w:hanging="720"/>
        <w:rPr>
          <w:rFonts w:ascii="Arial" w:hAnsi="Arial" w:cs="Arial"/>
        </w:rPr>
      </w:pPr>
      <w:r w:rsidRPr="00420BB7">
        <w:rPr>
          <w:rFonts w:ascii="Arial" w:hAnsi="Arial" w:cs="Arial"/>
        </w:rPr>
        <w:t xml:space="preserve">Following three rounds of consultation, the Department for Levelling Up, Housing and Communities (DLUHC) </w:t>
      </w:r>
      <w:r w:rsidRPr="00EE6058">
        <w:rPr>
          <w:rFonts w:ascii="Arial" w:hAnsi="Arial" w:cs="Arial"/>
        </w:rPr>
        <w:t>has published its final consultation response, amendment regulations and revised statutory guidance on Minimum Revenue Provision (MRP). The statutory guidance also incorporates an informal commentary. There are three main changes:</w:t>
      </w:r>
    </w:p>
    <w:p w14:paraId="24E404DC" w14:textId="07270B0E" w:rsidR="00D07A7B" w:rsidRPr="00420BB7" w:rsidRDefault="00D07A7B" w:rsidP="00AC502A">
      <w:pPr>
        <w:pStyle w:val="ListParagraph"/>
        <w:spacing w:after="240"/>
        <w:rPr>
          <w:rFonts w:ascii="Arial" w:hAnsi="Arial" w:cs="Arial"/>
        </w:rPr>
      </w:pPr>
      <w:r w:rsidRPr="00420BB7">
        <w:rPr>
          <w:rFonts w:ascii="Arial" w:hAnsi="Arial" w:cs="Arial"/>
        </w:rPr>
        <w:t xml:space="preserve">• Local authorities </w:t>
      </w:r>
      <w:r w:rsidR="00822ED2">
        <w:rPr>
          <w:rFonts w:ascii="Arial" w:hAnsi="Arial" w:cs="Arial"/>
        </w:rPr>
        <w:t>(including police and crime commissioners)</w:t>
      </w:r>
      <w:r w:rsidRPr="00420BB7">
        <w:rPr>
          <w:rFonts w:ascii="Arial" w:hAnsi="Arial" w:cs="Arial"/>
        </w:rPr>
        <w:t xml:space="preserve"> cannot exclude any amount of their Capital Financing Requirement (CFR) from their MRP calculation, unless by an exception set out in law.</w:t>
      </w:r>
    </w:p>
    <w:p w14:paraId="5A9B2936" w14:textId="77777777" w:rsidR="00D07A7B" w:rsidRPr="00420BB7" w:rsidRDefault="00D07A7B" w:rsidP="00AC502A">
      <w:pPr>
        <w:pStyle w:val="ListParagraph"/>
        <w:spacing w:after="240"/>
        <w:rPr>
          <w:rFonts w:ascii="Arial" w:hAnsi="Arial" w:cs="Arial"/>
        </w:rPr>
      </w:pPr>
      <w:r w:rsidRPr="00420BB7">
        <w:rPr>
          <w:rFonts w:ascii="Arial" w:hAnsi="Arial" w:cs="Arial"/>
        </w:rPr>
        <w:t>• Capital receipts cannot be used to directly replace, in whole or part, the prudent charge to revenue</w:t>
      </w:r>
      <w:r>
        <w:rPr>
          <w:rFonts w:ascii="Arial" w:hAnsi="Arial" w:cs="Arial"/>
        </w:rPr>
        <w:t xml:space="preserve"> </w:t>
      </w:r>
      <w:r w:rsidRPr="00420BB7">
        <w:rPr>
          <w:rFonts w:ascii="Arial" w:hAnsi="Arial" w:cs="Arial"/>
        </w:rPr>
        <w:t>for MRP, with specific exceptions for capital loans and leased assets.</w:t>
      </w:r>
    </w:p>
    <w:p w14:paraId="0D88ECCA" w14:textId="77777777" w:rsidR="00D07A7B" w:rsidRPr="00420BB7" w:rsidRDefault="00D07A7B" w:rsidP="00AC502A">
      <w:pPr>
        <w:pStyle w:val="ListParagraph"/>
        <w:spacing w:after="240"/>
        <w:rPr>
          <w:rFonts w:ascii="Arial" w:hAnsi="Arial" w:cs="Arial"/>
        </w:rPr>
      </w:pPr>
      <w:r w:rsidRPr="00420BB7">
        <w:rPr>
          <w:rFonts w:ascii="Arial" w:hAnsi="Arial" w:cs="Arial"/>
        </w:rPr>
        <w:t>• For capital loans given on or after 7 May 2024, sufficient MRP must be charged so that the outstanding CFR in respect of the loan is no higher than the principal outstanding minus any</w:t>
      </w:r>
      <w:r>
        <w:rPr>
          <w:rFonts w:ascii="Arial" w:hAnsi="Arial" w:cs="Arial"/>
        </w:rPr>
        <w:t xml:space="preserve"> </w:t>
      </w:r>
      <w:r w:rsidRPr="00420BB7">
        <w:rPr>
          <w:rFonts w:ascii="Arial" w:hAnsi="Arial" w:cs="Arial"/>
        </w:rPr>
        <w:t>expected credit loss.</w:t>
      </w:r>
    </w:p>
    <w:p w14:paraId="58F0B1A3" w14:textId="0C66D337" w:rsidR="00D07A7B" w:rsidRPr="004127B7" w:rsidRDefault="00D07A7B" w:rsidP="00822ED2">
      <w:pPr>
        <w:pStyle w:val="ListParagraph"/>
        <w:numPr>
          <w:ilvl w:val="1"/>
          <w:numId w:val="2"/>
        </w:numPr>
        <w:spacing w:after="240"/>
        <w:ind w:left="720" w:hanging="720"/>
        <w:rPr>
          <w:rFonts w:ascii="Arial" w:hAnsi="Arial" w:cs="Arial"/>
        </w:rPr>
      </w:pPr>
      <w:r w:rsidRPr="004127B7">
        <w:rPr>
          <w:rFonts w:ascii="Arial" w:hAnsi="Arial" w:cs="Arial"/>
        </w:rPr>
        <w:t>Changes will take effect from the 2025/26 financial year, except in respect of expected credit losses which take effect from the current 2024/25 year.</w:t>
      </w:r>
    </w:p>
    <w:p w14:paraId="093C1B3B" w14:textId="6506BE23" w:rsidR="00D07A7B" w:rsidRDefault="00D07A7B" w:rsidP="00E73BDF">
      <w:pPr>
        <w:pStyle w:val="ListParagraph"/>
        <w:spacing w:after="240"/>
        <w:rPr>
          <w:rFonts w:ascii="Arial" w:hAnsi="Arial" w:cs="Arial"/>
        </w:rPr>
      </w:pPr>
    </w:p>
    <w:p w14:paraId="346FD295" w14:textId="1FEAB1BB" w:rsidR="0031250C" w:rsidRPr="00667FB0" w:rsidRDefault="0031250C" w:rsidP="003C3808">
      <w:pPr>
        <w:keepNext/>
        <w:numPr>
          <w:ilvl w:val="0"/>
          <w:numId w:val="2"/>
        </w:numPr>
        <w:tabs>
          <w:tab w:val="num" w:pos="720"/>
        </w:tabs>
        <w:spacing w:after="240"/>
        <w:ind w:left="431" w:hanging="431"/>
        <w:outlineLvl w:val="0"/>
        <w:rPr>
          <w:rFonts w:ascii="Arial" w:hAnsi="Arial" w:cs="Arial"/>
          <w:b/>
        </w:rPr>
      </w:pPr>
      <w:r w:rsidRPr="00667FB0">
        <w:rPr>
          <w:rFonts w:ascii="Arial" w:hAnsi="Arial" w:cs="Arial"/>
          <w:b/>
        </w:rPr>
        <w:lastRenderedPageBreak/>
        <w:t xml:space="preserve">Compliance </w:t>
      </w:r>
      <w:r w:rsidR="00067763" w:rsidRPr="00667FB0">
        <w:rPr>
          <w:rFonts w:ascii="Arial" w:hAnsi="Arial" w:cs="Arial"/>
          <w:b/>
        </w:rPr>
        <w:t>Report</w:t>
      </w:r>
    </w:p>
    <w:p w14:paraId="2430EEAD" w14:textId="6E69BF75" w:rsidR="007C45E1" w:rsidRPr="00667FB0" w:rsidRDefault="007407F1" w:rsidP="003C3808">
      <w:pPr>
        <w:pStyle w:val="ListParagraph"/>
        <w:numPr>
          <w:ilvl w:val="1"/>
          <w:numId w:val="2"/>
        </w:numPr>
        <w:spacing w:after="240"/>
        <w:ind w:left="720" w:hanging="720"/>
        <w:rPr>
          <w:rFonts w:ascii="Arial" w:hAnsi="Arial" w:cs="Arial"/>
        </w:rPr>
      </w:pPr>
      <w:r w:rsidRPr="00667FB0">
        <w:rPr>
          <w:rFonts w:ascii="Arial" w:hAnsi="Arial" w:cs="Arial"/>
        </w:rPr>
        <w:t xml:space="preserve">The </w:t>
      </w:r>
      <w:r w:rsidR="00547880" w:rsidRPr="00667FB0">
        <w:rPr>
          <w:rFonts w:ascii="Arial" w:hAnsi="Arial" w:cs="Arial"/>
        </w:rPr>
        <w:t>PCC</w:t>
      </w:r>
      <w:r w:rsidR="004F6834" w:rsidRPr="00667FB0">
        <w:rPr>
          <w:rFonts w:ascii="Arial" w:hAnsi="Arial" w:cs="Arial"/>
        </w:rPr>
        <w:t xml:space="preserve"> </w:t>
      </w:r>
      <w:r w:rsidR="00E64D09">
        <w:rPr>
          <w:rFonts w:ascii="Arial" w:hAnsi="Arial" w:cs="Arial"/>
        </w:rPr>
        <w:t xml:space="preserve">CFO </w:t>
      </w:r>
      <w:r w:rsidRPr="00667FB0">
        <w:rPr>
          <w:rFonts w:ascii="Arial" w:hAnsi="Arial" w:cs="Arial"/>
        </w:rPr>
        <w:t>confirm</w:t>
      </w:r>
      <w:r w:rsidR="004F6834" w:rsidRPr="00667FB0">
        <w:rPr>
          <w:rFonts w:ascii="Arial" w:hAnsi="Arial" w:cs="Arial"/>
        </w:rPr>
        <w:t>s</w:t>
      </w:r>
      <w:r w:rsidRPr="00667FB0">
        <w:rPr>
          <w:rFonts w:ascii="Arial" w:hAnsi="Arial" w:cs="Arial"/>
        </w:rPr>
        <w:t xml:space="preserve"> </w:t>
      </w:r>
      <w:r w:rsidR="004F6834" w:rsidRPr="00667FB0">
        <w:rPr>
          <w:rFonts w:ascii="Arial" w:hAnsi="Arial" w:cs="Arial"/>
        </w:rPr>
        <w:t>compliance</w:t>
      </w:r>
      <w:r w:rsidR="006A2DD0" w:rsidRPr="00667FB0">
        <w:rPr>
          <w:rFonts w:ascii="Arial" w:hAnsi="Arial" w:cs="Arial"/>
        </w:rPr>
        <w:t xml:space="preserve"> </w:t>
      </w:r>
      <w:r w:rsidR="00067763" w:rsidRPr="00667FB0">
        <w:rPr>
          <w:rFonts w:ascii="Arial" w:hAnsi="Arial" w:cs="Arial"/>
        </w:rPr>
        <w:t>of all treasury management activities undertaken during</w:t>
      </w:r>
      <w:r w:rsidR="009F0DD9" w:rsidRPr="00667FB0">
        <w:rPr>
          <w:rFonts w:ascii="Arial" w:hAnsi="Arial" w:cs="Arial"/>
        </w:rPr>
        <w:t xml:space="preserve"> 20</w:t>
      </w:r>
      <w:r w:rsidR="00ED6B3B" w:rsidRPr="00667FB0">
        <w:rPr>
          <w:rFonts w:ascii="Arial" w:hAnsi="Arial" w:cs="Arial"/>
        </w:rPr>
        <w:t>2</w:t>
      </w:r>
      <w:r w:rsidR="003009B9">
        <w:rPr>
          <w:rFonts w:ascii="Arial" w:hAnsi="Arial" w:cs="Arial"/>
        </w:rPr>
        <w:t>3</w:t>
      </w:r>
      <w:r w:rsidR="003E7DC0" w:rsidRPr="00667FB0">
        <w:rPr>
          <w:rFonts w:ascii="Arial" w:hAnsi="Arial" w:cs="Arial"/>
        </w:rPr>
        <w:t>/2</w:t>
      </w:r>
      <w:r w:rsidR="003009B9">
        <w:rPr>
          <w:rFonts w:ascii="Arial" w:hAnsi="Arial" w:cs="Arial"/>
        </w:rPr>
        <w:t>4</w:t>
      </w:r>
      <w:r w:rsidR="006A2DD0" w:rsidRPr="00667FB0">
        <w:rPr>
          <w:rFonts w:ascii="Arial" w:hAnsi="Arial" w:cs="Arial"/>
        </w:rPr>
        <w:t xml:space="preserve"> </w:t>
      </w:r>
      <w:r w:rsidR="00067763" w:rsidRPr="00667FB0">
        <w:rPr>
          <w:rFonts w:ascii="Arial" w:hAnsi="Arial" w:cs="Arial"/>
        </w:rPr>
        <w:t xml:space="preserve">with the CIPFA </w:t>
      </w:r>
      <w:r w:rsidR="004A0F40">
        <w:rPr>
          <w:rFonts w:ascii="Arial" w:hAnsi="Arial" w:cs="Arial"/>
        </w:rPr>
        <w:t xml:space="preserve">Treasury Management </w:t>
      </w:r>
      <w:r w:rsidR="00067763" w:rsidRPr="00667FB0">
        <w:rPr>
          <w:rFonts w:ascii="Arial" w:hAnsi="Arial" w:cs="Arial"/>
        </w:rPr>
        <w:t xml:space="preserve">Code and the </w:t>
      </w:r>
      <w:r w:rsidR="00ED6B3B" w:rsidRPr="00667FB0">
        <w:rPr>
          <w:rFonts w:ascii="Arial" w:hAnsi="Arial" w:cs="Arial"/>
        </w:rPr>
        <w:t xml:space="preserve">PCC’s </w:t>
      </w:r>
      <w:r w:rsidR="00067763" w:rsidRPr="00667FB0">
        <w:rPr>
          <w:rFonts w:ascii="Arial" w:hAnsi="Arial" w:cs="Arial"/>
        </w:rPr>
        <w:t>approved Treasury Management Strategy.</w:t>
      </w:r>
    </w:p>
    <w:p w14:paraId="40EE7A37" w14:textId="69E2E363" w:rsidR="006A2DD0" w:rsidRPr="00667FB0" w:rsidRDefault="007C45E1" w:rsidP="003C3808">
      <w:pPr>
        <w:pStyle w:val="ListParagraph"/>
        <w:numPr>
          <w:ilvl w:val="1"/>
          <w:numId w:val="2"/>
        </w:numPr>
        <w:spacing w:after="240"/>
        <w:ind w:left="720" w:hanging="720"/>
        <w:rPr>
          <w:rFonts w:ascii="Arial" w:hAnsi="Arial" w:cs="Arial"/>
        </w:rPr>
      </w:pPr>
      <w:r w:rsidRPr="00667FB0">
        <w:rPr>
          <w:rFonts w:ascii="Arial" w:hAnsi="Arial" w:cs="Arial"/>
        </w:rPr>
        <w:t xml:space="preserve">Compliance with the authorised limit and operational boundary for external debt, is demonstrated in Table </w:t>
      </w:r>
      <w:r w:rsidR="003009B9">
        <w:rPr>
          <w:rFonts w:ascii="Arial" w:hAnsi="Arial" w:cs="Arial"/>
        </w:rPr>
        <w:t>6</w:t>
      </w:r>
      <w:r w:rsidR="00067763" w:rsidRPr="00667FB0">
        <w:rPr>
          <w:rFonts w:ascii="Arial" w:hAnsi="Arial" w:cs="Arial"/>
        </w:rPr>
        <w:t xml:space="preserve">. </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417"/>
        <w:gridCol w:w="1276"/>
        <w:gridCol w:w="1559"/>
        <w:gridCol w:w="1560"/>
        <w:gridCol w:w="1556"/>
      </w:tblGrid>
      <w:tr w:rsidR="00067763" w:rsidRPr="00FE62AE" w14:paraId="302263EF" w14:textId="77777777" w:rsidTr="00AC502A">
        <w:trPr>
          <w:jc w:val="center"/>
        </w:trPr>
        <w:tc>
          <w:tcPr>
            <w:tcW w:w="2978" w:type="dxa"/>
            <w:tcBorders>
              <w:top w:val="single" w:sz="4" w:space="0" w:color="auto"/>
            </w:tcBorders>
            <w:shd w:val="clear" w:color="auto" w:fill="auto"/>
          </w:tcPr>
          <w:p w14:paraId="11586555" w14:textId="403A3EC8" w:rsidR="00067763" w:rsidRPr="00FE62AE" w:rsidRDefault="00E21A3E" w:rsidP="00C30CBC">
            <w:pPr>
              <w:pStyle w:val="ListParagraph"/>
              <w:keepNext/>
              <w:keepLines/>
              <w:ind w:left="0"/>
              <w:rPr>
                <w:rFonts w:ascii="Arial" w:hAnsi="Arial" w:cs="Arial"/>
                <w:b/>
                <w:bCs/>
              </w:rPr>
            </w:pPr>
            <w:r w:rsidRPr="00FE62AE">
              <w:rPr>
                <w:rFonts w:ascii="Arial" w:hAnsi="Arial" w:cs="Arial"/>
                <w:b/>
                <w:bCs/>
              </w:rPr>
              <w:t xml:space="preserve">Table </w:t>
            </w:r>
            <w:r w:rsidR="003009B9">
              <w:rPr>
                <w:rFonts w:ascii="Arial" w:hAnsi="Arial" w:cs="Arial"/>
                <w:b/>
                <w:bCs/>
              </w:rPr>
              <w:t>6</w:t>
            </w:r>
            <w:r w:rsidRPr="00FE62AE">
              <w:rPr>
                <w:rFonts w:ascii="Arial" w:hAnsi="Arial" w:cs="Arial"/>
                <w:b/>
                <w:bCs/>
              </w:rPr>
              <w:t>: Debt limits</w:t>
            </w:r>
          </w:p>
        </w:tc>
        <w:tc>
          <w:tcPr>
            <w:tcW w:w="1417" w:type="dxa"/>
            <w:tcBorders>
              <w:top w:val="single" w:sz="4" w:space="0" w:color="auto"/>
              <w:bottom w:val="single" w:sz="4" w:space="0" w:color="auto"/>
            </w:tcBorders>
            <w:shd w:val="clear" w:color="auto" w:fill="auto"/>
            <w:vAlign w:val="bottom"/>
          </w:tcPr>
          <w:p w14:paraId="07341F09" w14:textId="03D977A2" w:rsidR="00067763" w:rsidRPr="00FE62AE" w:rsidRDefault="00067763" w:rsidP="00C30CBC">
            <w:pPr>
              <w:pStyle w:val="ListParagraph"/>
              <w:keepNext/>
              <w:keepLines/>
              <w:ind w:left="0"/>
              <w:jc w:val="right"/>
              <w:rPr>
                <w:rFonts w:ascii="Arial" w:hAnsi="Arial" w:cs="Arial"/>
                <w:b/>
                <w:bCs/>
              </w:rPr>
            </w:pPr>
            <w:r w:rsidRPr="00FE62AE">
              <w:rPr>
                <w:rFonts w:ascii="Arial" w:hAnsi="Arial" w:cs="Arial"/>
                <w:b/>
                <w:bCs/>
              </w:rPr>
              <w:t>20</w:t>
            </w:r>
            <w:r w:rsidR="00847D71" w:rsidRPr="00FE62AE">
              <w:rPr>
                <w:rFonts w:ascii="Arial" w:hAnsi="Arial" w:cs="Arial"/>
                <w:b/>
                <w:bCs/>
              </w:rPr>
              <w:t>2</w:t>
            </w:r>
            <w:r w:rsidR="00A467DD">
              <w:rPr>
                <w:rFonts w:ascii="Arial" w:hAnsi="Arial" w:cs="Arial"/>
                <w:b/>
                <w:bCs/>
              </w:rPr>
              <w:t>3</w:t>
            </w:r>
            <w:r w:rsidR="00E21A3E" w:rsidRPr="00FE62AE">
              <w:rPr>
                <w:rFonts w:ascii="Arial" w:hAnsi="Arial" w:cs="Arial"/>
                <w:b/>
                <w:bCs/>
              </w:rPr>
              <w:t>/2</w:t>
            </w:r>
            <w:r w:rsidR="00A467DD">
              <w:rPr>
                <w:rFonts w:ascii="Arial" w:hAnsi="Arial" w:cs="Arial"/>
                <w:b/>
                <w:bCs/>
              </w:rPr>
              <w:t>4</w:t>
            </w:r>
            <w:r w:rsidRPr="00FE62AE">
              <w:rPr>
                <w:rFonts w:ascii="Arial" w:hAnsi="Arial" w:cs="Arial"/>
                <w:b/>
                <w:bCs/>
              </w:rPr>
              <w:br/>
              <w:t>Maximum</w:t>
            </w:r>
            <w:r w:rsidR="006D590C" w:rsidRPr="00FE62AE">
              <w:rPr>
                <w:rFonts w:ascii="Arial" w:hAnsi="Arial" w:cs="Arial"/>
                <w:b/>
                <w:bCs/>
              </w:rPr>
              <w:br/>
            </w:r>
            <w:r w:rsidRPr="00FE62AE">
              <w:rPr>
                <w:rFonts w:ascii="Arial" w:hAnsi="Arial" w:cs="Arial"/>
                <w:b/>
                <w:bCs/>
              </w:rPr>
              <w:br/>
              <w:t>£m</w:t>
            </w:r>
          </w:p>
        </w:tc>
        <w:tc>
          <w:tcPr>
            <w:tcW w:w="1276" w:type="dxa"/>
            <w:tcBorders>
              <w:top w:val="single" w:sz="4" w:space="0" w:color="auto"/>
            </w:tcBorders>
            <w:shd w:val="clear" w:color="auto" w:fill="auto"/>
            <w:vAlign w:val="bottom"/>
          </w:tcPr>
          <w:p w14:paraId="759755BD" w14:textId="48CF2E82" w:rsidR="00067763" w:rsidRPr="00FE62AE" w:rsidRDefault="00067763" w:rsidP="00C30CBC">
            <w:pPr>
              <w:pStyle w:val="ListParagraph"/>
              <w:keepNext/>
              <w:keepLines/>
              <w:ind w:left="0"/>
              <w:jc w:val="right"/>
              <w:rPr>
                <w:rFonts w:ascii="Arial" w:hAnsi="Arial" w:cs="Arial"/>
                <w:b/>
                <w:bCs/>
              </w:rPr>
            </w:pPr>
            <w:r w:rsidRPr="00FE62AE">
              <w:rPr>
                <w:rFonts w:ascii="Arial" w:hAnsi="Arial" w:cs="Arial"/>
                <w:b/>
                <w:bCs/>
              </w:rPr>
              <w:t>31/03/</w:t>
            </w:r>
            <w:r w:rsidR="004470C8" w:rsidRPr="00FE62AE">
              <w:rPr>
                <w:rFonts w:ascii="Arial" w:hAnsi="Arial" w:cs="Arial"/>
                <w:b/>
                <w:bCs/>
              </w:rPr>
              <w:t>2</w:t>
            </w:r>
            <w:r w:rsidR="00A467DD">
              <w:rPr>
                <w:rFonts w:ascii="Arial" w:hAnsi="Arial" w:cs="Arial"/>
                <w:b/>
                <w:bCs/>
              </w:rPr>
              <w:t>4</w:t>
            </w:r>
            <w:r w:rsidRPr="00FE62AE">
              <w:rPr>
                <w:rFonts w:ascii="Arial" w:hAnsi="Arial" w:cs="Arial"/>
                <w:b/>
                <w:bCs/>
              </w:rPr>
              <w:t xml:space="preserve"> Actual</w:t>
            </w:r>
            <w:r w:rsidR="006D590C" w:rsidRPr="00FE62AE">
              <w:rPr>
                <w:rFonts w:ascii="Arial" w:hAnsi="Arial" w:cs="Arial"/>
                <w:b/>
                <w:bCs/>
              </w:rPr>
              <w:br/>
            </w:r>
            <w:r w:rsidRPr="00FE62AE">
              <w:rPr>
                <w:rFonts w:ascii="Arial" w:hAnsi="Arial" w:cs="Arial"/>
                <w:b/>
                <w:bCs/>
              </w:rPr>
              <w:br/>
              <w:t>£m</w:t>
            </w:r>
          </w:p>
        </w:tc>
        <w:tc>
          <w:tcPr>
            <w:tcW w:w="1559" w:type="dxa"/>
            <w:tcBorders>
              <w:top w:val="single" w:sz="4" w:space="0" w:color="auto"/>
            </w:tcBorders>
            <w:shd w:val="clear" w:color="auto" w:fill="auto"/>
            <w:vAlign w:val="bottom"/>
          </w:tcPr>
          <w:p w14:paraId="49C119B6" w14:textId="3588CBC7" w:rsidR="00067763" w:rsidRPr="00FE62AE" w:rsidRDefault="00067763" w:rsidP="00C30CBC">
            <w:pPr>
              <w:pStyle w:val="ListParagraph"/>
              <w:keepNext/>
              <w:keepLines/>
              <w:ind w:left="0"/>
              <w:jc w:val="right"/>
              <w:rPr>
                <w:rFonts w:ascii="Arial" w:hAnsi="Arial" w:cs="Arial"/>
                <w:b/>
                <w:bCs/>
              </w:rPr>
            </w:pPr>
            <w:r w:rsidRPr="00FE62AE">
              <w:rPr>
                <w:rFonts w:ascii="Arial" w:hAnsi="Arial" w:cs="Arial"/>
                <w:b/>
                <w:bCs/>
              </w:rPr>
              <w:t>20</w:t>
            </w:r>
            <w:r w:rsidR="004470C8" w:rsidRPr="00FE62AE">
              <w:rPr>
                <w:rFonts w:ascii="Arial" w:hAnsi="Arial" w:cs="Arial"/>
                <w:b/>
                <w:bCs/>
              </w:rPr>
              <w:t>2</w:t>
            </w:r>
            <w:r w:rsidR="00A467DD">
              <w:rPr>
                <w:rFonts w:ascii="Arial" w:hAnsi="Arial" w:cs="Arial"/>
                <w:b/>
                <w:bCs/>
              </w:rPr>
              <w:t>3</w:t>
            </w:r>
            <w:r w:rsidR="006D590C" w:rsidRPr="00FE62AE">
              <w:rPr>
                <w:rFonts w:ascii="Arial" w:hAnsi="Arial" w:cs="Arial"/>
                <w:b/>
                <w:bCs/>
              </w:rPr>
              <w:t>/2</w:t>
            </w:r>
            <w:r w:rsidR="00A467DD">
              <w:rPr>
                <w:rFonts w:ascii="Arial" w:hAnsi="Arial" w:cs="Arial"/>
                <w:b/>
                <w:bCs/>
              </w:rPr>
              <w:t>4</w:t>
            </w:r>
            <w:r w:rsidRPr="00FE62AE">
              <w:rPr>
                <w:rFonts w:ascii="Arial" w:hAnsi="Arial" w:cs="Arial"/>
                <w:b/>
                <w:bCs/>
              </w:rPr>
              <w:br/>
              <w:t>Operational Boundary</w:t>
            </w:r>
            <w:r w:rsidRPr="00FE62AE">
              <w:rPr>
                <w:rFonts w:ascii="Arial" w:hAnsi="Arial" w:cs="Arial"/>
                <w:b/>
                <w:bCs/>
              </w:rPr>
              <w:br/>
              <w:t>£m</w:t>
            </w:r>
          </w:p>
        </w:tc>
        <w:tc>
          <w:tcPr>
            <w:tcW w:w="1560" w:type="dxa"/>
            <w:tcBorders>
              <w:top w:val="single" w:sz="4" w:space="0" w:color="auto"/>
            </w:tcBorders>
            <w:shd w:val="clear" w:color="auto" w:fill="auto"/>
            <w:vAlign w:val="bottom"/>
          </w:tcPr>
          <w:p w14:paraId="1004443F" w14:textId="33D2014C" w:rsidR="00067763" w:rsidRPr="00FE62AE" w:rsidRDefault="00A467DD" w:rsidP="00C30CBC">
            <w:pPr>
              <w:pStyle w:val="ListParagraph"/>
              <w:keepNext/>
              <w:keepLines/>
              <w:ind w:left="0"/>
              <w:jc w:val="right"/>
              <w:rPr>
                <w:rFonts w:ascii="Arial" w:hAnsi="Arial" w:cs="Arial"/>
                <w:b/>
                <w:bCs/>
              </w:rPr>
            </w:pPr>
            <w:r w:rsidRPr="00FE62AE">
              <w:rPr>
                <w:rFonts w:ascii="Arial" w:hAnsi="Arial" w:cs="Arial"/>
                <w:b/>
                <w:bCs/>
              </w:rPr>
              <w:t>202</w:t>
            </w:r>
            <w:r>
              <w:rPr>
                <w:rFonts w:ascii="Arial" w:hAnsi="Arial" w:cs="Arial"/>
                <w:b/>
                <w:bCs/>
              </w:rPr>
              <w:t>3</w:t>
            </w:r>
            <w:r w:rsidRPr="00FE62AE">
              <w:rPr>
                <w:rFonts w:ascii="Arial" w:hAnsi="Arial" w:cs="Arial"/>
                <w:b/>
                <w:bCs/>
              </w:rPr>
              <w:t>/2</w:t>
            </w:r>
            <w:r>
              <w:rPr>
                <w:rFonts w:ascii="Arial" w:hAnsi="Arial" w:cs="Arial"/>
                <w:b/>
                <w:bCs/>
              </w:rPr>
              <w:t>4</w:t>
            </w:r>
            <w:r w:rsidR="00067763" w:rsidRPr="00FE62AE">
              <w:rPr>
                <w:rFonts w:ascii="Arial" w:hAnsi="Arial" w:cs="Arial"/>
                <w:b/>
                <w:bCs/>
              </w:rPr>
              <w:br/>
              <w:t>Authorised Limit</w:t>
            </w:r>
            <w:r w:rsidR="00067763" w:rsidRPr="00FE62AE">
              <w:rPr>
                <w:rFonts w:ascii="Arial" w:hAnsi="Arial" w:cs="Arial"/>
                <w:b/>
                <w:bCs/>
              </w:rPr>
              <w:br/>
              <w:t>£m</w:t>
            </w:r>
          </w:p>
        </w:tc>
        <w:tc>
          <w:tcPr>
            <w:tcW w:w="1556" w:type="dxa"/>
            <w:tcBorders>
              <w:top w:val="single" w:sz="4" w:space="0" w:color="auto"/>
            </w:tcBorders>
            <w:shd w:val="clear" w:color="auto" w:fill="auto"/>
          </w:tcPr>
          <w:p w14:paraId="0EBAD24C" w14:textId="6D3E84D4" w:rsidR="00067763" w:rsidRPr="00FE62AE" w:rsidRDefault="00067763" w:rsidP="00AC15AD">
            <w:pPr>
              <w:pStyle w:val="ListParagraph"/>
              <w:keepNext/>
              <w:keepLines/>
              <w:ind w:left="0"/>
              <w:jc w:val="right"/>
              <w:rPr>
                <w:rFonts w:ascii="Arial" w:hAnsi="Arial" w:cs="Arial"/>
                <w:b/>
                <w:bCs/>
              </w:rPr>
            </w:pPr>
            <w:r w:rsidRPr="00FE62AE">
              <w:rPr>
                <w:rFonts w:ascii="Arial" w:hAnsi="Arial" w:cs="Arial"/>
                <w:b/>
                <w:bCs/>
              </w:rPr>
              <w:t>Complied</w:t>
            </w:r>
            <w:r w:rsidR="009D46FD" w:rsidRPr="00FE62AE">
              <w:rPr>
                <w:rFonts w:ascii="Arial" w:hAnsi="Arial" w:cs="Arial"/>
                <w:b/>
                <w:bCs/>
              </w:rPr>
              <w:t>?</w:t>
            </w:r>
          </w:p>
        </w:tc>
      </w:tr>
      <w:tr w:rsidR="00A467DD" w:rsidRPr="00FE62AE" w14:paraId="1E0B995E" w14:textId="77777777" w:rsidTr="00AC502A">
        <w:trPr>
          <w:jc w:val="center"/>
        </w:trPr>
        <w:tc>
          <w:tcPr>
            <w:tcW w:w="2978" w:type="dxa"/>
            <w:shd w:val="clear" w:color="auto" w:fill="auto"/>
          </w:tcPr>
          <w:p w14:paraId="326095C0" w14:textId="77777777" w:rsidR="00A467DD" w:rsidRPr="00FE62AE" w:rsidRDefault="00A467DD" w:rsidP="00A467DD">
            <w:pPr>
              <w:pStyle w:val="ListParagraph"/>
              <w:keepNext/>
              <w:keepLines/>
              <w:ind w:left="0"/>
              <w:rPr>
                <w:rFonts w:ascii="Arial" w:hAnsi="Arial" w:cs="Arial"/>
              </w:rPr>
            </w:pPr>
            <w:r w:rsidRPr="00FE62AE">
              <w:rPr>
                <w:rFonts w:ascii="Arial" w:hAnsi="Arial" w:cs="Arial"/>
              </w:rPr>
              <w:t>Borrowing</w:t>
            </w:r>
          </w:p>
        </w:tc>
        <w:tc>
          <w:tcPr>
            <w:tcW w:w="1417" w:type="dxa"/>
            <w:shd w:val="clear" w:color="auto" w:fill="auto"/>
            <w:vAlign w:val="center"/>
          </w:tcPr>
          <w:p w14:paraId="3E5DBCFE" w14:textId="1A887EA7" w:rsidR="00A467DD" w:rsidRPr="00E05549" w:rsidRDefault="00A467DD" w:rsidP="00A467DD">
            <w:pPr>
              <w:pStyle w:val="ListParagraph"/>
              <w:keepNext/>
              <w:keepLines/>
              <w:ind w:left="0"/>
              <w:jc w:val="right"/>
              <w:rPr>
                <w:rFonts w:ascii="Arial" w:hAnsi="Arial" w:cs="Arial"/>
              </w:rPr>
            </w:pPr>
            <w:r>
              <w:rPr>
                <w:rFonts w:ascii="Arial" w:hAnsi="Arial" w:cs="Arial"/>
              </w:rPr>
              <w:t>(30.73)</w:t>
            </w:r>
          </w:p>
        </w:tc>
        <w:tc>
          <w:tcPr>
            <w:tcW w:w="1276" w:type="dxa"/>
            <w:shd w:val="clear" w:color="auto" w:fill="auto"/>
            <w:vAlign w:val="center"/>
          </w:tcPr>
          <w:p w14:paraId="2D2838BD" w14:textId="016F8F6F" w:rsidR="00A467DD" w:rsidRPr="00FE62AE" w:rsidRDefault="00A467DD" w:rsidP="00A467DD">
            <w:pPr>
              <w:pStyle w:val="ListParagraph"/>
              <w:keepNext/>
              <w:keepLines/>
              <w:ind w:left="0"/>
              <w:jc w:val="right"/>
              <w:rPr>
                <w:rFonts w:ascii="Arial" w:hAnsi="Arial" w:cs="Arial"/>
              </w:rPr>
            </w:pPr>
            <w:r>
              <w:rPr>
                <w:rFonts w:ascii="Arial" w:hAnsi="Arial" w:cs="Arial"/>
              </w:rPr>
              <w:t>(19.35)</w:t>
            </w:r>
          </w:p>
        </w:tc>
        <w:tc>
          <w:tcPr>
            <w:tcW w:w="1559" w:type="dxa"/>
            <w:shd w:val="clear" w:color="auto" w:fill="auto"/>
            <w:vAlign w:val="center"/>
          </w:tcPr>
          <w:p w14:paraId="7B1563AD" w14:textId="2FDE42BB" w:rsidR="00A467DD" w:rsidRPr="00FE62AE" w:rsidRDefault="00A467DD" w:rsidP="00A467DD">
            <w:pPr>
              <w:pStyle w:val="ListParagraph"/>
              <w:keepNext/>
              <w:keepLines/>
              <w:ind w:left="0"/>
              <w:jc w:val="right"/>
              <w:rPr>
                <w:rFonts w:ascii="Arial" w:hAnsi="Arial" w:cs="Arial"/>
              </w:rPr>
            </w:pPr>
            <w:r>
              <w:rPr>
                <w:rFonts w:ascii="Arial" w:hAnsi="Arial" w:cs="Arial"/>
              </w:rPr>
              <w:t>(70.50)</w:t>
            </w:r>
          </w:p>
        </w:tc>
        <w:tc>
          <w:tcPr>
            <w:tcW w:w="1560" w:type="dxa"/>
            <w:shd w:val="clear" w:color="auto" w:fill="auto"/>
            <w:vAlign w:val="center"/>
          </w:tcPr>
          <w:p w14:paraId="7E9DECD0" w14:textId="7CB2DC9E" w:rsidR="00A467DD" w:rsidRPr="00FE62AE" w:rsidRDefault="00A467DD" w:rsidP="00A467DD">
            <w:pPr>
              <w:pStyle w:val="ListParagraph"/>
              <w:keepNext/>
              <w:keepLines/>
              <w:ind w:left="0"/>
              <w:jc w:val="right"/>
              <w:rPr>
                <w:rFonts w:ascii="Arial" w:hAnsi="Arial" w:cs="Arial"/>
              </w:rPr>
            </w:pPr>
            <w:r>
              <w:rPr>
                <w:rFonts w:ascii="Arial" w:hAnsi="Arial" w:cs="Arial"/>
              </w:rPr>
              <w:t>(87.50)</w:t>
            </w:r>
          </w:p>
        </w:tc>
        <w:tc>
          <w:tcPr>
            <w:tcW w:w="1556" w:type="dxa"/>
            <w:shd w:val="clear" w:color="auto" w:fill="auto"/>
            <w:vAlign w:val="center"/>
          </w:tcPr>
          <w:p w14:paraId="0B92E944" w14:textId="77777777" w:rsidR="00A467DD" w:rsidRPr="00FE62AE" w:rsidRDefault="00A467DD" w:rsidP="00A467DD">
            <w:pPr>
              <w:keepNext/>
              <w:keepLines/>
              <w:numPr>
                <w:ilvl w:val="0"/>
                <w:numId w:val="4"/>
              </w:numPr>
              <w:jc w:val="center"/>
              <w:rPr>
                <w:rFonts w:ascii="Arial" w:hAnsi="Arial" w:cs="Arial"/>
              </w:rPr>
            </w:pPr>
          </w:p>
        </w:tc>
      </w:tr>
      <w:tr w:rsidR="00A467DD" w:rsidRPr="00FE62AE" w14:paraId="18BAD155" w14:textId="77777777" w:rsidTr="00AC502A">
        <w:trPr>
          <w:jc w:val="center"/>
        </w:trPr>
        <w:tc>
          <w:tcPr>
            <w:tcW w:w="2978" w:type="dxa"/>
            <w:shd w:val="clear" w:color="auto" w:fill="auto"/>
          </w:tcPr>
          <w:p w14:paraId="3E075F73" w14:textId="77777777" w:rsidR="00A467DD" w:rsidRPr="00FE62AE" w:rsidRDefault="00A467DD" w:rsidP="00A467DD">
            <w:pPr>
              <w:pStyle w:val="ListParagraph"/>
              <w:keepNext/>
              <w:keepLines/>
              <w:ind w:left="0"/>
              <w:rPr>
                <w:rFonts w:ascii="Arial" w:hAnsi="Arial" w:cs="Arial"/>
              </w:rPr>
            </w:pPr>
            <w:r w:rsidRPr="00FE62AE">
              <w:rPr>
                <w:rFonts w:ascii="Arial" w:hAnsi="Arial" w:cs="Arial"/>
              </w:rPr>
              <w:t>Other long term liabilities</w:t>
            </w:r>
          </w:p>
        </w:tc>
        <w:tc>
          <w:tcPr>
            <w:tcW w:w="1417" w:type="dxa"/>
            <w:shd w:val="clear" w:color="auto" w:fill="auto"/>
            <w:vAlign w:val="center"/>
          </w:tcPr>
          <w:p w14:paraId="3BE59060" w14:textId="74C69930" w:rsidR="00A467DD" w:rsidRPr="00E05549" w:rsidRDefault="00A467DD" w:rsidP="00A467DD">
            <w:pPr>
              <w:pStyle w:val="ListParagraph"/>
              <w:keepNext/>
              <w:keepLines/>
              <w:ind w:left="0"/>
              <w:jc w:val="right"/>
              <w:rPr>
                <w:rFonts w:ascii="Arial" w:hAnsi="Arial" w:cs="Arial"/>
              </w:rPr>
            </w:pPr>
            <w:r>
              <w:rPr>
                <w:rFonts w:ascii="Arial" w:hAnsi="Arial" w:cs="Arial"/>
              </w:rPr>
              <w:t>0.00</w:t>
            </w:r>
          </w:p>
        </w:tc>
        <w:tc>
          <w:tcPr>
            <w:tcW w:w="1276" w:type="dxa"/>
            <w:shd w:val="clear" w:color="auto" w:fill="auto"/>
            <w:vAlign w:val="center"/>
          </w:tcPr>
          <w:p w14:paraId="70E0854B" w14:textId="01EFAB5F" w:rsidR="00A467DD" w:rsidRPr="00FE62AE" w:rsidRDefault="00A467DD" w:rsidP="00A467DD">
            <w:pPr>
              <w:pStyle w:val="ListParagraph"/>
              <w:keepNext/>
              <w:keepLines/>
              <w:ind w:left="0"/>
              <w:jc w:val="right"/>
              <w:rPr>
                <w:rFonts w:ascii="Arial" w:hAnsi="Arial" w:cs="Arial"/>
              </w:rPr>
            </w:pPr>
            <w:r>
              <w:rPr>
                <w:rFonts w:ascii="Arial" w:hAnsi="Arial" w:cs="Arial"/>
              </w:rPr>
              <w:t>0.00</w:t>
            </w:r>
          </w:p>
        </w:tc>
        <w:tc>
          <w:tcPr>
            <w:tcW w:w="1559" w:type="dxa"/>
            <w:shd w:val="clear" w:color="auto" w:fill="auto"/>
            <w:vAlign w:val="center"/>
          </w:tcPr>
          <w:p w14:paraId="706686F4" w14:textId="628E0266" w:rsidR="00A467DD" w:rsidRPr="00FE62AE" w:rsidRDefault="00A467DD" w:rsidP="00A467DD">
            <w:pPr>
              <w:pStyle w:val="ListParagraph"/>
              <w:keepNext/>
              <w:keepLines/>
              <w:ind w:left="0"/>
              <w:jc w:val="right"/>
              <w:rPr>
                <w:rFonts w:ascii="Arial" w:hAnsi="Arial" w:cs="Arial"/>
              </w:rPr>
            </w:pPr>
            <w:r>
              <w:rPr>
                <w:rFonts w:ascii="Arial" w:hAnsi="Arial" w:cs="Arial"/>
              </w:rPr>
              <w:t>0.00</w:t>
            </w:r>
          </w:p>
        </w:tc>
        <w:tc>
          <w:tcPr>
            <w:tcW w:w="1560" w:type="dxa"/>
            <w:shd w:val="clear" w:color="auto" w:fill="auto"/>
            <w:vAlign w:val="center"/>
          </w:tcPr>
          <w:p w14:paraId="28543075" w14:textId="7CFEE74F" w:rsidR="00A467DD" w:rsidRPr="00FE62AE" w:rsidRDefault="00A467DD" w:rsidP="00A467DD">
            <w:pPr>
              <w:pStyle w:val="ListParagraph"/>
              <w:keepNext/>
              <w:keepLines/>
              <w:ind w:left="0"/>
              <w:jc w:val="right"/>
              <w:rPr>
                <w:rFonts w:ascii="Arial" w:hAnsi="Arial" w:cs="Arial"/>
              </w:rPr>
            </w:pPr>
            <w:r>
              <w:rPr>
                <w:rFonts w:ascii="Arial" w:hAnsi="Arial" w:cs="Arial"/>
              </w:rPr>
              <w:t>0.00</w:t>
            </w:r>
          </w:p>
        </w:tc>
        <w:tc>
          <w:tcPr>
            <w:tcW w:w="1556" w:type="dxa"/>
            <w:shd w:val="clear" w:color="auto" w:fill="auto"/>
            <w:vAlign w:val="center"/>
          </w:tcPr>
          <w:p w14:paraId="40D3CF0C" w14:textId="77777777" w:rsidR="00A467DD" w:rsidRPr="00FE62AE" w:rsidRDefault="00A467DD" w:rsidP="00A467DD">
            <w:pPr>
              <w:keepNext/>
              <w:keepLines/>
              <w:numPr>
                <w:ilvl w:val="0"/>
                <w:numId w:val="4"/>
              </w:numPr>
              <w:jc w:val="center"/>
              <w:rPr>
                <w:rFonts w:ascii="Arial" w:hAnsi="Arial" w:cs="Arial"/>
              </w:rPr>
            </w:pPr>
          </w:p>
        </w:tc>
      </w:tr>
      <w:tr w:rsidR="00A467DD" w:rsidRPr="00BA4271" w14:paraId="055CCEAB" w14:textId="77777777" w:rsidTr="00AC502A">
        <w:trPr>
          <w:jc w:val="center"/>
        </w:trPr>
        <w:tc>
          <w:tcPr>
            <w:tcW w:w="2978" w:type="dxa"/>
            <w:shd w:val="clear" w:color="auto" w:fill="auto"/>
          </w:tcPr>
          <w:p w14:paraId="51FD78C7" w14:textId="77777777" w:rsidR="00A467DD" w:rsidRPr="00FE62AE" w:rsidRDefault="00A467DD" w:rsidP="00A467DD">
            <w:pPr>
              <w:pStyle w:val="ListParagraph"/>
              <w:keepNext/>
              <w:keepLines/>
              <w:ind w:left="0"/>
              <w:rPr>
                <w:rFonts w:ascii="Arial" w:hAnsi="Arial" w:cs="Arial"/>
                <w:b/>
                <w:bCs/>
              </w:rPr>
            </w:pPr>
            <w:r w:rsidRPr="00FE62AE">
              <w:rPr>
                <w:rFonts w:ascii="Arial" w:hAnsi="Arial" w:cs="Arial"/>
                <w:b/>
                <w:bCs/>
              </w:rPr>
              <w:t>Total debt</w:t>
            </w:r>
          </w:p>
        </w:tc>
        <w:tc>
          <w:tcPr>
            <w:tcW w:w="1417" w:type="dxa"/>
            <w:shd w:val="clear" w:color="auto" w:fill="auto"/>
            <w:vAlign w:val="center"/>
          </w:tcPr>
          <w:p w14:paraId="040F4E67" w14:textId="59FCB3E4" w:rsidR="00A467DD" w:rsidRPr="00FC6F5A" w:rsidRDefault="00A467DD" w:rsidP="00A467DD">
            <w:pPr>
              <w:pStyle w:val="ListParagraph"/>
              <w:keepNext/>
              <w:keepLines/>
              <w:ind w:left="0"/>
              <w:jc w:val="right"/>
              <w:rPr>
                <w:rFonts w:ascii="Arial" w:hAnsi="Arial" w:cs="Arial"/>
                <w:b/>
              </w:rPr>
            </w:pPr>
            <w:r>
              <w:rPr>
                <w:rFonts w:ascii="Arial" w:hAnsi="Arial" w:cs="Arial"/>
                <w:b/>
                <w:bCs/>
              </w:rPr>
              <w:t>(30.73)</w:t>
            </w:r>
          </w:p>
        </w:tc>
        <w:tc>
          <w:tcPr>
            <w:tcW w:w="1276" w:type="dxa"/>
            <w:shd w:val="clear" w:color="auto" w:fill="auto"/>
            <w:vAlign w:val="center"/>
          </w:tcPr>
          <w:p w14:paraId="5A3F6C4E" w14:textId="4E8E04C6" w:rsidR="00A467DD" w:rsidRPr="00FE62AE" w:rsidRDefault="00A467DD" w:rsidP="00A467DD">
            <w:pPr>
              <w:pStyle w:val="ListParagraph"/>
              <w:keepNext/>
              <w:keepLines/>
              <w:ind w:left="0"/>
              <w:jc w:val="right"/>
              <w:rPr>
                <w:rFonts w:ascii="Arial" w:hAnsi="Arial" w:cs="Arial"/>
                <w:b/>
                <w:bCs/>
              </w:rPr>
            </w:pPr>
            <w:r>
              <w:rPr>
                <w:rFonts w:ascii="Arial" w:hAnsi="Arial" w:cs="Arial"/>
                <w:b/>
                <w:bCs/>
              </w:rPr>
              <w:t>(19.35)</w:t>
            </w:r>
          </w:p>
        </w:tc>
        <w:tc>
          <w:tcPr>
            <w:tcW w:w="1559" w:type="dxa"/>
            <w:shd w:val="clear" w:color="auto" w:fill="auto"/>
            <w:vAlign w:val="center"/>
          </w:tcPr>
          <w:p w14:paraId="4E2AD097" w14:textId="3959FCB1" w:rsidR="00A467DD" w:rsidRPr="00FE62AE" w:rsidRDefault="00A467DD" w:rsidP="00A467DD">
            <w:pPr>
              <w:pStyle w:val="ListParagraph"/>
              <w:keepNext/>
              <w:keepLines/>
              <w:ind w:left="0"/>
              <w:jc w:val="right"/>
              <w:rPr>
                <w:rFonts w:ascii="Arial" w:hAnsi="Arial" w:cs="Arial"/>
                <w:b/>
                <w:bCs/>
              </w:rPr>
            </w:pPr>
            <w:r>
              <w:rPr>
                <w:rFonts w:ascii="Arial" w:hAnsi="Arial" w:cs="Arial"/>
                <w:b/>
                <w:bCs/>
              </w:rPr>
              <w:t>(70.50)</w:t>
            </w:r>
          </w:p>
        </w:tc>
        <w:tc>
          <w:tcPr>
            <w:tcW w:w="1560" w:type="dxa"/>
            <w:shd w:val="clear" w:color="auto" w:fill="auto"/>
            <w:vAlign w:val="center"/>
          </w:tcPr>
          <w:p w14:paraId="5B910C0B" w14:textId="4A953B49" w:rsidR="00A467DD" w:rsidRPr="00FE62AE" w:rsidRDefault="00A467DD" w:rsidP="00A467DD">
            <w:pPr>
              <w:pStyle w:val="ListParagraph"/>
              <w:keepNext/>
              <w:keepLines/>
              <w:ind w:left="0"/>
              <w:jc w:val="right"/>
              <w:rPr>
                <w:rFonts w:ascii="Arial" w:hAnsi="Arial" w:cs="Arial"/>
                <w:b/>
                <w:bCs/>
              </w:rPr>
            </w:pPr>
            <w:r>
              <w:rPr>
                <w:rFonts w:ascii="Arial" w:hAnsi="Arial" w:cs="Arial"/>
                <w:b/>
                <w:bCs/>
              </w:rPr>
              <w:t>(87.50)</w:t>
            </w:r>
          </w:p>
        </w:tc>
        <w:tc>
          <w:tcPr>
            <w:tcW w:w="1556" w:type="dxa"/>
            <w:shd w:val="clear" w:color="auto" w:fill="auto"/>
            <w:vAlign w:val="center"/>
          </w:tcPr>
          <w:p w14:paraId="6687DE02" w14:textId="77777777" w:rsidR="00A467DD" w:rsidRPr="00FE62AE" w:rsidRDefault="00A467DD" w:rsidP="00A467DD">
            <w:pPr>
              <w:keepNext/>
              <w:keepLines/>
              <w:numPr>
                <w:ilvl w:val="0"/>
                <w:numId w:val="4"/>
              </w:numPr>
              <w:jc w:val="center"/>
              <w:rPr>
                <w:rFonts w:ascii="Arial" w:hAnsi="Arial" w:cs="Arial"/>
                <w:b/>
                <w:bCs/>
              </w:rPr>
            </w:pPr>
          </w:p>
        </w:tc>
      </w:tr>
    </w:tbl>
    <w:p w14:paraId="16380573" w14:textId="77777777" w:rsidR="007F3B25" w:rsidRDefault="007F3B25" w:rsidP="00AC502A">
      <w:pPr>
        <w:pStyle w:val="ListParagraph"/>
        <w:spacing w:after="240"/>
        <w:rPr>
          <w:rFonts w:ascii="Arial" w:hAnsi="Arial" w:cs="Arial"/>
        </w:rPr>
      </w:pPr>
    </w:p>
    <w:p w14:paraId="71F6E37A" w14:textId="6E9CF38B" w:rsidR="007F3B25" w:rsidRPr="0058127F" w:rsidRDefault="007F3B25" w:rsidP="00AC502A">
      <w:pPr>
        <w:pStyle w:val="ListParagraph"/>
        <w:numPr>
          <w:ilvl w:val="1"/>
          <w:numId w:val="2"/>
        </w:numPr>
        <w:spacing w:after="240"/>
        <w:ind w:left="720" w:hanging="720"/>
        <w:rPr>
          <w:rFonts w:ascii="Arial" w:hAnsi="Arial" w:cs="Arial"/>
        </w:rPr>
      </w:pPr>
      <w:r w:rsidRPr="0058127F">
        <w:rPr>
          <w:rFonts w:ascii="Arial" w:hAnsi="Arial" w:cs="Arial"/>
        </w:rPr>
        <w:t>Since the operational boundary is a management tool for in-year monitoring it is not significant if the operational boundary is breached on occasions due to variations in cash flow, and this is not counted as a compliance failure.  However this limit was not breached during the financial year.</w:t>
      </w:r>
    </w:p>
    <w:p w14:paraId="292C0478" w14:textId="77777777" w:rsidR="005F19D8" w:rsidRPr="005C38BC" w:rsidRDefault="005F19D8" w:rsidP="003C3808">
      <w:pPr>
        <w:keepNext/>
        <w:numPr>
          <w:ilvl w:val="0"/>
          <w:numId w:val="2"/>
        </w:numPr>
        <w:tabs>
          <w:tab w:val="num" w:pos="720"/>
        </w:tabs>
        <w:spacing w:after="240"/>
        <w:ind w:left="431" w:hanging="431"/>
        <w:outlineLvl w:val="0"/>
        <w:rPr>
          <w:rFonts w:ascii="Arial" w:hAnsi="Arial" w:cs="Arial"/>
          <w:b/>
        </w:rPr>
      </w:pPr>
      <w:r w:rsidRPr="005C38BC">
        <w:rPr>
          <w:rFonts w:ascii="Arial" w:hAnsi="Arial" w:cs="Arial"/>
          <w:b/>
        </w:rPr>
        <w:t>Treasury Management Indicators</w:t>
      </w:r>
    </w:p>
    <w:p w14:paraId="14369E73" w14:textId="26245F33" w:rsidR="00691E77" w:rsidRDefault="007F3B25" w:rsidP="00691E77">
      <w:pPr>
        <w:pStyle w:val="ListParagraph"/>
        <w:numPr>
          <w:ilvl w:val="1"/>
          <w:numId w:val="2"/>
        </w:numPr>
        <w:spacing w:after="240"/>
        <w:ind w:left="720" w:hanging="720"/>
        <w:rPr>
          <w:rFonts w:ascii="Arial" w:hAnsi="Arial" w:cs="Arial"/>
        </w:rPr>
      </w:pPr>
      <w:r>
        <w:rPr>
          <w:rFonts w:ascii="Arial" w:hAnsi="Arial" w:cs="Arial"/>
        </w:rPr>
        <w:t>As required by the 2021 CIPFA Treasury Management Code, t</w:t>
      </w:r>
      <w:r w:rsidR="005F19D8" w:rsidRPr="005C38BC">
        <w:rPr>
          <w:rFonts w:ascii="Arial" w:hAnsi="Arial" w:cs="Arial"/>
        </w:rPr>
        <w:t xml:space="preserve">he </w:t>
      </w:r>
      <w:r w:rsidR="00547880" w:rsidRPr="005C38BC">
        <w:rPr>
          <w:rFonts w:ascii="Arial" w:hAnsi="Arial" w:cs="Arial"/>
        </w:rPr>
        <w:t>PCC</w:t>
      </w:r>
      <w:r w:rsidR="005F19D8" w:rsidRPr="005C38BC">
        <w:rPr>
          <w:rFonts w:ascii="Arial" w:hAnsi="Arial" w:cs="Arial"/>
        </w:rPr>
        <w:t xml:space="preserve"> measures and manages </w:t>
      </w:r>
      <w:r>
        <w:rPr>
          <w:rFonts w:ascii="Arial" w:hAnsi="Arial" w:cs="Arial"/>
        </w:rPr>
        <w:t>the following</w:t>
      </w:r>
      <w:r w:rsidR="005F19D8" w:rsidRPr="005C38BC">
        <w:rPr>
          <w:rFonts w:ascii="Arial" w:hAnsi="Arial" w:cs="Arial"/>
        </w:rPr>
        <w:t xml:space="preserve"> treasury management </w:t>
      </w:r>
      <w:r w:rsidR="00520C98">
        <w:rPr>
          <w:rFonts w:ascii="Arial" w:hAnsi="Arial" w:cs="Arial"/>
        </w:rPr>
        <w:t>prudential</w:t>
      </w:r>
      <w:r w:rsidR="005F19D8" w:rsidRPr="005C38BC">
        <w:rPr>
          <w:rFonts w:ascii="Arial" w:hAnsi="Arial" w:cs="Arial"/>
        </w:rPr>
        <w:t xml:space="preserve"> indicators.</w:t>
      </w:r>
    </w:p>
    <w:p w14:paraId="708367AB" w14:textId="1A82DC9F" w:rsidR="00B10791" w:rsidRPr="00AC502A" w:rsidRDefault="00B10791" w:rsidP="00AC502A">
      <w:pPr>
        <w:pStyle w:val="ListParagraph"/>
        <w:spacing w:after="240"/>
        <w:rPr>
          <w:rFonts w:ascii="Arial" w:hAnsi="Arial" w:cs="Arial"/>
          <w:b/>
          <w:bCs/>
        </w:rPr>
      </w:pPr>
      <w:r w:rsidRPr="00AC502A">
        <w:rPr>
          <w:rFonts w:ascii="Arial" w:hAnsi="Arial" w:cs="Arial"/>
          <w:b/>
          <w:bCs/>
        </w:rPr>
        <w:t>Liability benchmark</w:t>
      </w:r>
    </w:p>
    <w:p w14:paraId="5ACD734D" w14:textId="4562C6FA" w:rsidR="00691E77" w:rsidRDefault="00691E77" w:rsidP="00691E77">
      <w:pPr>
        <w:pStyle w:val="ListParagraph"/>
        <w:numPr>
          <w:ilvl w:val="1"/>
          <w:numId w:val="2"/>
        </w:numPr>
        <w:spacing w:after="240"/>
        <w:ind w:left="720" w:hanging="720"/>
        <w:rPr>
          <w:rFonts w:ascii="Arial" w:hAnsi="Arial" w:cs="Arial"/>
        </w:rPr>
      </w:pPr>
      <w:r w:rsidRPr="00AC502A">
        <w:rPr>
          <w:rFonts w:ascii="Arial" w:hAnsi="Arial" w:cs="Arial"/>
        </w:rPr>
        <w:t xml:space="preserve">This new indicator compares the </w:t>
      </w:r>
      <w:r w:rsidR="00B10791">
        <w:rPr>
          <w:rFonts w:ascii="Arial" w:hAnsi="Arial" w:cs="Arial"/>
        </w:rPr>
        <w:t>PCC’s</w:t>
      </w:r>
      <w:r w:rsidRPr="00AC502A">
        <w:rPr>
          <w:rFonts w:ascii="Arial" w:hAnsi="Arial" w:cs="Arial"/>
        </w:rPr>
        <w:t xml:space="preserve"> actual existing borrowing against a liability benchmark that has been calculated to show the lowest risk level of borrowing. The liability benchmark is an important tool to help establish whether the </w:t>
      </w:r>
      <w:r w:rsidR="00B10791">
        <w:rPr>
          <w:rFonts w:ascii="Arial" w:hAnsi="Arial" w:cs="Arial"/>
        </w:rPr>
        <w:t>PCC</w:t>
      </w:r>
      <w:r w:rsidRPr="00AC502A">
        <w:rPr>
          <w:rFonts w:ascii="Arial" w:hAnsi="Arial" w:cs="Arial"/>
        </w:rPr>
        <w:t xml:space="preserve"> is likely to be a long-term borrower or long-term investor in the future, and so shape its strategic focus and decision making. It represents an estimate of the cumulative amount of external borrowing the </w:t>
      </w:r>
      <w:r w:rsidR="00B10791">
        <w:rPr>
          <w:rFonts w:ascii="Arial" w:hAnsi="Arial" w:cs="Arial"/>
        </w:rPr>
        <w:t xml:space="preserve">PCC </w:t>
      </w:r>
      <w:r w:rsidRPr="00AC502A">
        <w:rPr>
          <w:rFonts w:ascii="Arial" w:hAnsi="Arial" w:cs="Arial"/>
        </w:rPr>
        <w:t>must hold to fund its current capital and revenue plans while keeping treasury investments at the minimum level required to manage day-to-day cash flow.</w:t>
      </w:r>
    </w:p>
    <w:p w14:paraId="540EF50D" w14:textId="77777777" w:rsidR="00A467DD" w:rsidRDefault="00A467DD" w:rsidP="00A467DD">
      <w:pPr>
        <w:spacing w:after="240"/>
        <w:rPr>
          <w:rFonts w:ascii="Arial" w:hAnsi="Arial" w:cs="Arial"/>
        </w:rPr>
      </w:pPr>
    </w:p>
    <w:p w14:paraId="53818569" w14:textId="77777777" w:rsidR="00A467DD" w:rsidRDefault="00A467DD" w:rsidP="00A467DD">
      <w:pPr>
        <w:spacing w:after="240"/>
        <w:rPr>
          <w:rFonts w:ascii="Arial" w:hAnsi="Arial" w:cs="Arial"/>
        </w:rPr>
      </w:pPr>
    </w:p>
    <w:p w14:paraId="41649E44" w14:textId="77777777" w:rsidR="00A467DD" w:rsidRPr="00AC502A" w:rsidRDefault="00A467DD" w:rsidP="00AC502A">
      <w:pPr>
        <w:spacing w:after="240"/>
        <w:rPr>
          <w:rFonts w:ascii="Arial" w:hAnsi="Arial" w:cs="Arial"/>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1248"/>
        <w:gridCol w:w="1153"/>
        <w:gridCol w:w="1258"/>
        <w:gridCol w:w="1635"/>
      </w:tblGrid>
      <w:tr w:rsidR="00691E77" w:rsidRPr="0099228C" w14:paraId="4D07FCE4" w14:textId="77777777" w:rsidTr="00AC502A">
        <w:trPr>
          <w:trHeight w:val="340"/>
          <w:jc w:val="center"/>
        </w:trPr>
        <w:tc>
          <w:tcPr>
            <w:tcW w:w="3791" w:type="dxa"/>
            <w:tcBorders>
              <w:top w:val="single" w:sz="4" w:space="0" w:color="auto"/>
            </w:tcBorders>
            <w:shd w:val="clear" w:color="auto" w:fill="auto"/>
          </w:tcPr>
          <w:p w14:paraId="16CD2DE3" w14:textId="22961C66" w:rsidR="00691E77" w:rsidRPr="0099228C" w:rsidRDefault="00691E77" w:rsidP="00A65CB2">
            <w:pPr>
              <w:keepLines/>
              <w:widowControl w:val="0"/>
              <w:rPr>
                <w:rFonts w:ascii="Arial" w:hAnsi="Arial" w:cs="Arial"/>
                <w:b/>
              </w:rPr>
            </w:pPr>
            <w:r w:rsidRPr="0099228C">
              <w:rPr>
                <w:rFonts w:ascii="Arial" w:hAnsi="Arial" w:cs="Arial"/>
                <w:b/>
              </w:rPr>
              <w:lastRenderedPageBreak/>
              <w:t>Table 8 – Liability Benchmark</w:t>
            </w:r>
          </w:p>
        </w:tc>
        <w:tc>
          <w:tcPr>
            <w:tcW w:w="1249" w:type="dxa"/>
            <w:tcBorders>
              <w:top w:val="single" w:sz="4" w:space="0" w:color="auto"/>
            </w:tcBorders>
            <w:shd w:val="clear" w:color="auto" w:fill="auto"/>
          </w:tcPr>
          <w:p w14:paraId="586619EE" w14:textId="77777777" w:rsidR="00691E77" w:rsidRPr="0099228C" w:rsidRDefault="00691E77" w:rsidP="00A65CB2">
            <w:pPr>
              <w:keepLines/>
              <w:widowControl w:val="0"/>
              <w:jc w:val="center"/>
              <w:rPr>
                <w:rFonts w:ascii="Arial" w:hAnsi="Arial" w:cs="Arial"/>
                <w:b/>
                <w:bCs/>
              </w:rPr>
            </w:pPr>
            <w:r w:rsidRPr="0099228C">
              <w:rPr>
                <w:rFonts w:ascii="Arial" w:hAnsi="Arial" w:cs="Arial"/>
                <w:b/>
              </w:rPr>
              <w:t>31/03/</w:t>
            </w:r>
            <w:r w:rsidRPr="0099228C">
              <w:rPr>
                <w:rFonts w:ascii="Arial" w:hAnsi="Arial" w:cs="Arial"/>
                <w:b/>
                <w:bCs/>
              </w:rPr>
              <w:t>23</w:t>
            </w:r>
          </w:p>
          <w:p w14:paraId="5FFDAFB4" w14:textId="77777777" w:rsidR="00691E77" w:rsidRPr="0099228C" w:rsidRDefault="00691E77" w:rsidP="00A65CB2">
            <w:pPr>
              <w:keepLines/>
              <w:widowControl w:val="0"/>
              <w:jc w:val="center"/>
              <w:rPr>
                <w:rFonts w:ascii="Arial" w:hAnsi="Arial" w:cs="Arial"/>
                <w:b/>
                <w:color w:val="FF0000"/>
              </w:rPr>
            </w:pPr>
            <w:r w:rsidRPr="0099228C">
              <w:rPr>
                <w:rFonts w:ascii="Arial" w:hAnsi="Arial" w:cs="Arial"/>
                <w:b/>
              </w:rPr>
              <w:t>Actual</w:t>
            </w:r>
          </w:p>
        </w:tc>
        <w:tc>
          <w:tcPr>
            <w:tcW w:w="1153" w:type="dxa"/>
            <w:tcBorders>
              <w:top w:val="single" w:sz="4" w:space="0" w:color="auto"/>
            </w:tcBorders>
          </w:tcPr>
          <w:p w14:paraId="224A69FA" w14:textId="77777777" w:rsidR="00691E77" w:rsidRPr="0099228C" w:rsidRDefault="00691E77" w:rsidP="00A65CB2">
            <w:pPr>
              <w:keepLines/>
              <w:widowControl w:val="0"/>
              <w:jc w:val="center"/>
              <w:rPr>
                <w:rFonts w:ascii="Arial" w:hAnsi="Arial" w:cs="Arial"/>
                <w:b/>
              </w:rPr>
            </w:pPr>
            <w:commentRangeStart w:id="2"/>
            <w:r w:rsidRPr="0099228C">
              <w:rPr>
                <w:rFonts w:ascii="Arial" w:hAnsi="Arial" w:cs="Arial"/>
                <w:b/>
              </w:rPr>
              <w:t>31/03/24</w:t>
            </w:r>
            <w:r w:rsidRPr="0099228C">
              <w:rPr>
                <w:rFonts w:ascii="Arial" w:hAnsi="Arial" w:cs="Arial"/>
                <w:b/>
              </w:rPr>
              <w:br/>
              <w:t>Actual</w:t>
            </w:r>
          </w:p>
        </w:tc>
        <w:tc>
          <w:tcPr>
            <w:tcW w:w="1258" w:type="dxa"/>
            <w:tcBorders>
              <w:top w:val="single" w:sz="4" w:space="0" w:color="auto"/>
            </w:tcBorders>
          </w:tcPr>
          <w:p w14:paraId="1BD070A4" w14:textId="77777777" w:rsidR="00691E77" w:rsidRPr="0099228C" w:rsidRDefault="00691E77" w:rsidP="00A65CB2">
            <w:pPr>
              <w:keepLines/>
              <w:widowControl w:val="0"/>
              <w:jc w:val="center"/>
              <w:rPr>
                <w:rFonts w:ascii="Arial" w:hAnsi="Arial" w:cs="Arial"/>
                <w:b/>
              </w:rPr>
            </w:pPr>
            <w:r w:rsidRPr="0099228C">
              <w:rPr>
                <w:rFonts w:ascii="Arial" w:hAnsi="Arial" w:cs="Arial"/>
                <w:b/>
              </w:rPr>
              <w:t>31/03/25</w:t>
            </w:r>
            <w:r w:rsidRPr="0099228C">
              <w:rPr>
                <w:rFonts w:ascii="Arial" w:hAnsi="Arial" w:cs="Arial"/>
                <w:b/>
              </w:rPr>
              <w:br/>
              <w:t>Forecast</w:t>
            </w:r>
          </w:p>
        </w:tc>
        <w:tc>
          <w:tcPr>
            <w:tcW w:w="1622" w:type="dxa"/>
            <w:tcBorders>
              <w:top w:val="single" w:sz="4" w:space="0" w:color="auto"/>
            </w:tcBorders>
          </w:tcPr>
          <w:p w14:paraId="267E0EBC" w14:textId="77777777" w:rsidR="00691E77" w:rsidRPr="0099228C" w:rsidRDefault="00691E77" w:rsidP="00A65CB2">
            <w:pPr>
              <w:keepLines/>
              <w:widowControl w:val="0"/>
              <w:jc w:val="center"/>
              <w:rPr>
                <w:rFonts w:ascii="Arial" w:hAnsi="Arial" w:cs="Arial"/>
                <w:b/>
              </w:rPr>
            </w:pPr>
            <w:r w:rsidRPr="0099228C">
              <w:rPr>
                <w:rFonts w:ascii="Arial" w:hAnsi="Arial" w:cs="Arial"/>
                <w:b/>
              </w:rPr>
              <w:t>31/03/26</w:t>
            </w:r>
            <w:r w:rsidRPr="0099228C">
              <w:rPr>
                <w:rFonts w:ascii="Arial" w:hAnsi="Arial" w:cs="Arial"/>
                <w:b/>
              </w:rPr>
              <w:br/>
              <w:t>Forecast</w:t>
            </w:r>
            <w:commentRangeEnd w:id="2"/>
            <w:r w:rsidR="00C7638B">
              <w:rPr>
                <w:rStyle w:val="CommentReference"/>
              </w:rPr>
              <w:commentReference w:id="2"/>
            </w:r>
          </w:p>
        </w:tc>
      </w:tr>
      <w:tr w:rsidR="00476BD4" w:rsidRPr="0099228C" w14:paraId="4DDC3741" w14:textId="77777777" w:rsidTr="00AC502A">
        <w:trPr>
          <w:trHeight w:val="340"/>
          <w:jc w:val="center"/>
        </w:trPr>
        <w:tc>
          <w:tcPr>
            <w:tcW w:w="3791" w:type="dxa"/>
            <w:tcBorders>
              <w:top w:val="single" w:sz="4" w:space="0" w:color="auto"/>
            </w:tcBorders>
            <w:shd w:val="clear" w:color="auto" w:fill="auto"/>
            <w:vAlign w:val="center"/>
          </w:tcPr>
          <w:p w14:paraId="467D9251" w14:textId="77777777" w:rsidR="00476BD4" w:rsidRPr="0099228C" w:rsidRDefault="00476BD4" w:rsidP="00476BD4">
            <w:pPr>
              <w:keepLines/>
              <w:widowControl w:val="0"/>
              <w:rPr>
                <w:rFonts w:ascii="Arial" w:hAnsi="Arial" w:cs="Arial"/>
              </w:rPr>
            </w:pPr>
            <w:r w:rsidRPr="0099228C">
              <w:rPr>
                <w:rFonts w:ascii="Arial" w:hAnsi="Arial" w:cs="Arial"/>
              </w:rPr>
              <w:t>Loans CFR</w:t>
            </w:r>
          </w:p>
        </w:tc>
        <w:tc>
          <w:tcPr>
            <w:tcW w:w="1249" w:type="dxa"/>
            <w:tcBorders>
              <w:top w:val="single" w:sz="4" w:space="0" w:color="auto"/>
            </w:tcBorders>
            <w:shd w:val="clear" w:color="auto" w:fill="auto"/>
            <w:vAlign w:val="center"/>
          </w:tcPr>
          <w:p w14:paraId="5A62FEF2" w14:textId="2B757379" w:rsidR="00476BD4" w:rsidRPr="0099228C" w:rsidRDefault="00476BD4" w:rsidP="00476BD4">
            <w:pPr>
              <w:keepLines/>
              <w:widowControl w:val="0"/>
              <w:jc w:val="right"/>
              <w:rPr>
                <w:rFonts w:ascii="Arial" w:hAnsi="Arial" w:cs="Arial"/>
              </w:rPr>
            </w:pPr>
            <w:r>
              <w:rPr>
                <w:rFonts w:ascii="Arial" w:hAnsi="Arial" w:cs="Arial"/>
                <w:color w:val="000000"/>
              </w:rPr>
              <w:t>51.70</w:t>
            </w:r>
          </w:p>
        </w:tc>
        <w:tc>
          <w:tcPr>
            <w:tcW w:w="1153" w:type="dxa"/>
            <w:tcBorders>
              <w:top w:val="single" w:sz="4" w:space="0" w:color="auto"/>
            </w:tcBorders>
            <w:vAlign w:val="center"/>
          </w:tcPr>
          <w:p w14:paraId="22DB7BBB" w14:textId="2BDE672C" w:rsidR="00476BD4" w:rsidRPr="0099228C" w:rsidRDefault="00870853" w:rsidP="00476BD4">
            <w:pPr>
              <w:keepLines/>
              <w:widowControl w:val="0"/>
              <w:jc w:val="right"/>
              <w:rPr>
                <w:rFonts w:ascii="Arial" w:hAnsi="Arial" w:cs="Arial"/>
              </w:rPr>
            </w:pPr>
            <w:r>
              <w:rPr>
                <w:rFonts w:ascii="Arial" w:hAnsi="Arial" w:cs="Arial"/>
              </w:rPr>
              <w:t>49.3</w:t>
            </w:r>
            <w:r w:rsidR="003F569D">
              <w:rPr>
                <w:rFonts w:ascii="Arial" w:hAnsi="Arial" w:cs="Arial"/>
              </w:rPr>
              <w:t>0</w:t>
            </w:r>
          </w:p>
        </w:tc>
        <w:tc>
          <w:tcPr>
            <w:tcW w:w="1258" w:type="dxa"/>
            <w:tcBorders>
              <w:top w:val="single" w:sz="4" w:space="0" w:color="auto"/>
            </w:tcBorders>
            <w:vAlign w:val="center"/>
          </w:tcPr>
          <w:p w14:paraId="59268B66" w14:textId="2CC5435E" w:rsidR="00476BD4" w:rsidRPr="0099228C" w:rsidRDefault="00870853" w:rsidP="00476BD4">
            <w:pPr>
              <w:keepLines/>
              <w:widowControl w:val="0"/>
              <w:jc w:val="right"/>
              <w:rPr>
                <w:rFonts w:ascii="Arial" w:hAnsi="Arial" w:cs="Arial"/>
              </w:rPr>
            </w:pPr>
            <w:r>
              <w:rPr>
                <w:rFonts w:ascii="Arial" w:hAnsi="Arial" w:cs="Arial"/>
              </w:rPr>
              <w:t>47.6</w:t>
            </w:r>
            <w:r w:rsidR="003F569D">
              <w:rPr>
                <w:rFonts w:ascii="Arial" w:hAnsi="Arial" w:cs="Arial"/>
              </w:rPr>
              <w:t>0</w:t>
            </w:r>
          </w:p>
        </w:tc>
        <w:tc>
          <w:tcPr>
            <w:tcW w:w="1622" w:type="dxa"/>
            <w:tcBorders>
              <w:top w:val="single" w:sz="4" w:space="0" w:color="auto"/>
            </w:tcBorders>
            <w:vAlign w:val="center"/>
          </w:tcPr>
          <w:p w14:paraId="36BEB96C" w14:textId="03DCEA7F" w:rsidR="00476BD4" w:rsidRPr="0099228C" w:rsidRDefault="00870853" w:rsidP="00476BD4">
            <w:pPr>
              <w:keepLines/>
              <w:widowControl w:val="0"/>
              <w:jc w:val="right"/>
              <w:rPr>
                <w:rFonts w:ascii="Arial" w:hAnsi="Arial" w:cs="Arial"/>
              </w:rPr>
            </w:pPr>
            <w:r>
              <w:rPr>
                <w:rFonts w:ascii="Arial" w:hAnsi="Arial" w:cs="Arial"/>
              </w:rPr>
              <w:t>46.0</w:t>
            </w:r>
            <w:r w:rsidR="003F569D">
              <w:rPr>
                <w:rFonts w:ascii="Arial" w:hAnsi="Arial" w:cs="Arial"/>
              </w:rPr>
              <w:t>0</w:t>
            </w:r>
          </w:p>
        </w:tc>
      </w:tr>
      <w:tr w:rsidR="00476BD4" w:rsidRPr="0099228C" w14:paraId="5C433A0B" w14:textId="77777777" w:rsidTr="00AC502A">
        <w:trPr>
          <w:trHeight w:val="340"/>
          <w:jc w:val="center"/>
        </w:trPr>
        <w:tc>
          <w:tcPr>
            <w:tcW w:w="3791" w:type="dxa"/>
            <w:shd w:val="clear" w:color="auto" w:fill="auto"/>
            <w:vAlign w:val="center"/>
          </w:tcPr>
          <w:p w14:paraId="14409C59" w14:textId="77777777" w:rsidR="00476BD4" w:rsidRPr="0099228C" w:rsidRDefault="00476BD4" w:rsidP="00476BD4">
            <w:pPr>
              <w:keepLines/>
              <w:widowControl w:val="0"/>
              <w:rPr>
                <w:rFonts w:ascii="Arial" w:hAnsi="Arial" w:cs="Arial"/>
              </w:rPr>
            </w:pPr>
            <w:r w:rsidRPr="0099228C">
              <w:rPr>
                <w:rFonts w:ascii="Arial" w:hAnsi="Arial" w:cs="Arial"/>
              </w:rPr>
              <w:t>Less: Balance sheet resources</w:t>
            </w:r>
          </w:p>
        </w:tc>
        <w:tc>
          <w:tcPr>
            <w:tcW w:w="1249" w:type="dxa"/>
            <w:shd w:val="clear" w:color="auto" w:fill="auto"/>
            <w:vAlign w:val="center"/>
          </w:tcPr>
          <w:p w14:paraId="0DBAACBF" w14:textId="53DBBEF9" w:rsidR="00476BD4" w:rsidRPr="0099228C" w:rsidRDefault="00476BD4" w:rsidP="00476BD4">
            <w:pPr>
              <w:keepLines/>
              <w:widowControl w:val="0"/>
              <w:jc w:val="right"/>
              <w:rPr>
                <w:rFonts w:ascii="Arial" w:hAnsi="Arial" w:cs="Arial"/>
              </w:rPr>
            </w:pPr>
            <w:r>
              <w:rPr>
                <w:rFonts w:ascii="Arial" w:hAnsi="Arial" w:cs="Arial"/>
                <w:color w:val="000000"/>
              </w:rPr>
              <w:t>(131.20)</w:t>
            </w:r>
          </w:p>
        </w:tc>
        <w:tc>
          <w:tcPr>
            <w:tcW w:w="1153" w:type="dxa"/>
            <w:vAlign w:val="center"/>
          </w:tcPr>
          <w:p w14:paraId="4D81C785" w14:textId="4558E77D" w:rsidR="00476BD4" w:rsidRPr="0099228C" w:rsidRDefault="00870853" w:rsidP="00476BD4">
            <w:pPr>
              <w:keepLines/>
              <w:widowControl w:val="0"/>
              <w:jc w:val="right"/>
              <w:rPr>
                <w:rFonts w:ascii="Arial" w:hAnsi="Arial" w:cs="Arial"/>
              </w:rPr>
            </w:pPr>
            <w:r>
              <w:rPr>
                <w:rFonts w:ascii="Arial" w:hAnsi="Arial" w:cs="Arial"/>
              </w:rPr>
              <w:t>(134.6</w:t>
            </w:r>
            <w:r w:rsidR="003F569D">
              <w:rPr>
                <w:rFonts w:ascii="Arial" w:hAnsi="Arial" w:cs="Arial"/>
              </w:rPr>
              <w:t>0)</w:t>
            </w:r>
          </w:p>
        </w:tc>
        <w:tc>
          <w:tcPr>
            <w:tcW w:w="1258" w:type="dxa"/>
            <w:vAlign w:val="center"/>
          </w:tcPr>
          <w:p w14:paraId="06D012A2" w14:textId="1D707A65" w:rsidR="00476BD4" w:rsidRPr="0099228C" w:rsidRDefault="00870853" w:rsidP="00476BD4">
            <w:pPr>
              <w:keepLines/>
              <w:widowControl w:val="0"/>
              <w:jc w:val="right"/>
              <w:rPr>
                <w:rFonts w:ascii="Arial" w:hAnsi="Arial" w:cs="Arial"/>
              </w:rPr>
            </w:pPr>
            <w:r>
              <w:rPr>
                <w:rFonts w:ascii="Arial" w:hAnsi="Arial" w:cs="Arial"/>
              </w:rPr>
              <w:t>(117.8</w:t>
            </w:r>
            <w:r w:rsidR="003F569D">
              <w:rPr>
                <w:rFonts w:ascii="Arial" w:hAnsi="Arial" w:cs="Arial"/>
              </w:rPr>
              <w:t>0)</w:t>
            </w:r>
          </w:p>
        </w:tc>
        <w:tc>
          <w:tcPr>
            <w:tcW w:w="1622" w:type="dxa"/>
            <w:vAlign w:val="center"/>
          </w:tcPr>
          <w:p w14:paraId="7767981B" w14:textId="47C04952" w:rsidR="00476BD4" w:rsidRPr="0099228C" w:rsidRDefault="00870853" w:rsidP="00476BD4">
            <w:pPr>
              <w:keepLines/>
              <w:widowControl w:val="0"/>
              <w:jc w:val="right"/>
              <w:rPr>
                <w:rFonts w:ascii="Arial" w:hAnsi="Arial" w:cs="Arial"/>
              </w:rPr>
            </w:pPr>
            <w:r>
              <w:rPr>
                <w:rFonts w:ascii="Arial" w:hAnsi="Arial" w:cs="Arial"/>
              </w:rPr>
              <w:t>(91.3</w:t>
            </w:r>
            <w:r w:rsidR="003F569D">
              <w:rPr>
                <w:rFonts w:ascii="Arial" w:hAnsi="Arial" w:cs="Arial"/>
              </w:rPr>
              <w:t>0)</w:t>
            </w:r>
          </w:p>
        </w:tc>
      </w:tr>
      <w:tr w:rsidR="00476BD4" w:rsidRPr="0099228C" w14:paraId="1C8137B4" w14:textId="77777777" w:rsidTr="00AC502A">
        <w:trPr>
          <w:trHeight w:val="340"/>
          <w:jc w:val="center"/>
        </w:trPr>
        <w:tc>
          <w:tcPr>
            <w:tcW w:w="3791" w:type="dxa"/>
            <w:shd w:val="clear" w:color="auto" w:fill="auto"/>
            <w:vAlign w:val="center"/>
          </w:tcPr>
          <w:p w14:paraId="1A16AA1D" w14:textId="77777777" w:rsidR="00476BD4" w:rsidRPr="0099228C" w:rsidRDefault="00476BD4" w:rsidP="00476BD4">
            <w:pPr>
              <w:keepLines/>
              <w:widowControl w:val="0"/>
              <w:rPr>
                <w:rFonts w:ascii="Arial" w:hAnsi="Arial" w:cs="Arial"/>
              </w:rPr>
            </w:pPr>
            <w:r w:rsidRPr="0099228C">
              <w:rPr>
                <w:rFonts w:ascii="Arial" w:hAnsi="Arial" w:cs="Arial"/>
              </w:rPr>
              <w:t>Net loans requirement</w:t>
            </w:r>
          </w:p>
        </w:tc>
        <w:tc>
          <w:tcPr>
            <w:tcW w:w="1249" w:type="dxa"/>
            <w:shd w:val="clear" w:color="auto" w:fill="auto"/>
            <w:vAlign w:val="center"/>
          </w:tcPr>
          <w:p w14:paraId="7288E682" w14:textId="303A4461" w:rsidR="00476BD4" w:rsidRPr="0099228C" w:rsidRDefault="00476BD4" w:rsidP="00476BD4">
            <w:pPr>
              <w:keepLines/>
              <w:widowControl w:val="0"/>
              <w:jc w:val="right"/>
              <w:rPr>
                <w:rFonts w:ascii="Arial" w:hAnsi="Arial" w:cs="Arial"/>
              </w:rPr>
            </w:pPr>
            <w:r>
              <w:rPr>
                <w:rFonts w:ascii="Arial" w:hAnsi="Arial" w:cs="Arial"/>
                <w:b/>
                <w:bCs/>
                <w:color w:val="000000"/>
              </w:rPr>
              <w:t>(79.50)</w:t>
            </w:r>
          </w:p>
        </w:tc>
        <w:tc>
          <w:tcPr>
            <w:tcW w:w="1153" w:type="dxa"/>
            <w:vAlign w:val="center"/>
          </w:tcPr>
          <w:p w14:paraId="0900107A" w14:textId="7E0EE505" w:rsidR="00476BD4" w:rsidRPr="003F569D" w:rsidRDefault="003F569D" w:rsidP="00476BD4">
            <w:pPr>
              <w:keepLines/>
              <w:widowControl w:val="0"/>
              <w:jc w:val="right"/>
              <w:rPr>
                <w:rFonts w:ascii="Arial" w:hAnsi="Arial" w:cs="Arial"/>
                <w:b/>
              </w:rPr>
            </w:pPr>
            <w:r w:rsidRPr="003F569D">
              <w:rPr>
                <w:rFonts w:ascii="Arial" w:hAnsi="Arial" w:cs="Arial"/>
                <w:b/>
              </w:rPr>
              <w:t>(85.30)</w:t>
            </w:r>
          </w:p>
        </w:tc>
        <w:tc>
          <w:tcPr>
            <w:tcW w:w="1258" w:type="dxa"/>
            <w:vAlign w:val="center"/>
          </w:tcPr>
          <w:p w14:paraId="6284C68D" w14:textId="52C8FE71" w:rsidR="00476BD4" w:rsidRPr="003F569D" w:rsidRDefault="003F569D" w:rsidP="00476BD4">
            <w:pPr>
              <w:keepLines/>
              <w:widowControl w:val="0"/>
              <w:jc w:val="right"/>
              <w:rPr>
                <w:rFonts w:ascii="Arial" w:hAnsi="Arial" w:cs="Arial"/>
                <w:b/>
              </w:rPr>
            </w:pPr>
            <w:r w:rsidRPr="003F569D">
              <w:rPr>
                <w:rFonts w:ascii="Arial" w:hAnsi="Arial" w:cs="Arial"/>
                <w:b/>
              </w:rPr>
              <w:t>(70.20)</w:t>
            </w:r>
          </w:p>
        </w:tc>
        <w:tc>
          <w:tcPr>
            <w:tcW w:w="1622" w:type="dxa"/>
            <w:vAlign w:val="center"/>
          </w:tcPr>
          <w:p w14:paraId="1AC1EBD6" w14:textId="38EA1673" w:rsidR="00476BD4" w:rsidRPr="003F569D" w:rsidRDefault="003F569D" w:rsidP="00476BD4">
            <w:pPr>
              <w:keepLines/>
              <w:widowControl w:val="0"/>
              <w:jc w:val="right"/>
              <w:rPr>
                <w:rFonts w:ascii="Arial" w:hAnsi="Arial" w:cs="Arial"/>
                <w:b/>
              </w:rPr>
            </w:pPr>
            <w:r w:rsidRPr="003F569D">
              <w:rPr>
                <w:rFonts w:ascii="Arial" w:hAnsi="Arial" w:cs="Arial"/>
                <w:b/>
              </w:rPr>
              <w:t>(45.30)</w:t>
            </w:r>
          </w:p>
        </w:tc>
      </w:tr>
      <w:tr w:rsidR="00476BD4" w:rsidRPr="0099228C" w14:paraId="54083A06" w14:textId="77777777" w:rsidTr="00AC502A">
        <w:trPr>
          <w:trHeight w:val="340"/>
          <w:jc w:val="center"/>
        </w:trPr>
        <w:tc>
          <w:tcPr>
            <w:tcW w:w="3791" w:type="dxa"/>
            <w:shd w:val="clear" w:color="auto" w:fill="auto"/>
            <w:vAlign w:val="center"/>
          </w:tcPr>
          <w:p w14:paraId="2442A865" w14:textId="77777777" w:rsidR="00476BD4" w:rsidRPr="0099228C" w:rsidRDefault="00476BD4" w:rsidP="00476BD4">
            <w:pPr>
              <w:keepLines/>
              <w:widowControl w:val="0"/>
              <w:rPr>
                <w:rFonts w:ascii="Arial" w:hAnsi="Arial" w:cs="Arial"/>
              </w:rPr>
            </w:pPr>
            <w:r w:rsidRPr="0099228C">
              <w:rPr>
                <w:rFonts w:ascii="Arial" w:hAnsi="Arial" w:cs="Arial"/>
              </w:rPr>
              <w:t>Plus: Liquidity allowance</w:t>
            </w:r>
          </w:p>
        </w:tc>
        <w:tc>
          <w:tcPr>
            <w:tcW w:w="1249" w:type="dxa"/>
            <w:shd w:val="clear" w:color="auto" w:fill="auto"/>
            <w:vAlign w:val="center"/>
          </w:tcPr>
          <w:p w14:paraId="2C42E06B" w14:textId="465E029F" w:rsidR="00476BD4" w:rsidRPr="0099228C" w:rsidRDefault="00476BD4" w:rsidP="00476BD4">
            <w:pPr>
              <w:keepLines/>
              <w:widowControl w:val="0"/>
              <w:jc w:val="right"/>
              <w:rPr>
                <w:rFonts w:ascii="Arial" w:hAnsi="Arial" w:cs="Arial"/>
              </w:rPr>
            </w:pPr>
            <w:r>
              <w:rPr>
                <w:rFonts w:ascii="Arial" w:hAnsi="Arial" w:cs="Arial"/>
                <w:color w:val="000000"/>
              </w:rPr>
              <w:t>10.00</w:t>
            </w:r>
          </w:p>
        </w:tc>
        <w:tc>
          <w:tcPr>
            <w:tcW w:w="1153" w:type="dxa"/>
            <w:vAlign w:val="center"/>
          </w:tcPr>
          <w:p w14:paraId="1CA8256A" w14:textId="264697D7" w:rsidR="00476BD4" w:rsidRPr="0099228C" w:rsidRDefault="003F569D" w:rsidP="00476BD4">
            <w:pPr>
              <w:keepLines/>
              <w:widowControl w:val="0"/>
              <w:jc w:val="right"/>
              <w:rPr>
                <w:rFonts w:ascii="Arial" w:hAnsi="Arial" w:cs="Arial"/>
              </w:rPr>
            </w:pPr>
            <w:r>
              <w:rPr>
                <w:rFonts w:ascii="Arial" w:hAnsi="Arial" w:cs="Arial"/>
              </w:rPr>
              <w:t>10.00</w:t>
            </w:r>
          </w:p>
        </w:tc>
        <w:tc>
          <w:tcPr>
            <w:tcW w:w="1258" w:type="dxa"/>
            <w:vAlign w:val="center"/>
          </w:tcPr>
          <w:p w14:paraId="79B0245A" w14:textId="09138A82" w:rsidR="00476BD4" w:rsidRPr="0099228C" w:rsidRDefault="003F569D" w:rsidP="00476BD4">
            <w:pPr>
              <w:keepLines/>
              <w:widowControl w:val="0"/>
              <w:jc w:val="right"/>
              <w:rPr>
                <w:rFonts w:ascii="Arial" w:hAnsi="Arial" w:cs="Arial"/>
              </w:rPr>
            </w:pPr>
            <w:r>
              <w:rPr>
                <w:rFonts w:ascii="Arial" w:hAnsi="Arial" w:cs="Arial"/>
              </w:rPr>
              <w:t>10.00</w:t>
            </w:r>
          </w:p>
        </w:tc>
        <w:tc>
          <w:tcPr>
            <w:tcW w:w="1622" w:type="dxa"/>
            <w:vAlign w:val="center"/>
          </w:tcPr>
          <w:p w14:paraId="756F9085" w14:textId="1C2CDAB9" w:rsidR="00476BD4" w:rsidRPr="0099228C" w:rsidRDefault="003F569D" w:rsidP="00476BD4">
            <w:pPr>
              <w:keepLines/>
              <w:widowControl w:val="0"/>
              <w:jc w:val="right"/>
              <w:rPr>
                <w:rFonts w:ascii="Arial" w:hAnsi="Arial" w:cs="Arial"/>
              </w:rPr>
            </w:pPr>
            <w:r>
              <w:rPr>
                <w:rFonts w:ascii="Arial" w:hAnsi="Arial" w:cs="Arial"/>
              </w:rPr>
              <w:t>10.00</w:t>
            </w:r>
          </w:p>
        </w:tc>
      </w:tr>
      <w:tr w:rsidR="00476BD4" w:rsidRPr="0099228C" w14:paraId="7A0F6CDF" w14:textId="77777777" w:rsidTr="00AC502A">
        <w:trPr>
          <w:trHeight w:val="340"/>
          <w:jc w:val="center"/>
        </w:trPr>
        <w:tc>
          <w:tcPr>
            <w:tcW w:w="3791" w:type="dxa"/>
            <w:shd w:val="clear" w:color="auto" w:fill="auto"/>
            <w:vAlign w:val="center"/>
          </w:tcPr>
          <w:p w14:paraId="5AA6CDD2" w14:textId="77777777" w:rsidR="00476BD4" w:rsidRPr="0099228C" w:rsidRDefault="00476BD4" w:rsidP="00476BD4">
            <w:pPr>
              <w:keepLines/>
              <w:widowControl w:val="0"/>
              <w:rPr>
                <w:rFonts w:ascii="Arial" w:hAnsi="Arial" w:cs="Arial"/>
              </w:rPr>
            </w:pPr>
            <w:r w:rsidRPr="0099228C">
              <w:rPr>
                <w:rFonts w:ascii="Arial" w:hAnsi="Arial" w:cs="Arial"/>
              </w:rPr>
              <w:t>Liability benchmark</w:t>
            </w:r>
          </w:p>
        </w:tc>
        <w:tc>
          <w:tcPr>
            <w:tcW w:w="1249" w:type="dxa"/>
            <w:shd w:val="clear" w:color="auto" w:fill="auto"/>
            <w:vAlign w:val="center"/>
          </w:tcPr>
          <w:p w14:paraId="4C32E2BB" w14:textId="1F976F3F" w:rsidR="00476BD4" w:rsidRPr="0099228C" w:rsidRDefault="00476BD4" w:rsidP="00476BD4">
            <w:pPr>
              <w:keepLines/>
              <w:widowControl w:val="0"/>
              <w:jc w:val="right"/>
              <w:rPr>
                <w:rFonts w:ascii="Arial" w:hAnsi="Arial" w:cs="Arial"/>
              </w:rPr>
            </w:pPr>
            <w:r>
              <w:rPr>
                <w:rFonts w:ascii="Arial" w:hAnsi="Arial" w:cs="Arial"/>
                <w:b/>
                <w:bCs/>
                <w:color w:val="000000"/>
              </w:rPr>
              <w:t>(69.50)</w:t>
            </w:r>
          </w:p>
        </w:tc>
        <w:tc>
          <w:tcPr>
            <w:tcW w:w="1153" w:type="dxa"/>
            <w:vAlign w:val="center"/>
          </w:tcPr>
          <w:p w14:paraId="5730F9EC" w14:textId="7B3B6F5F" w:rsidR="00476BD4" w:rsidRPr="003F569D" w:rsidRDefault="003F569D" w:rsidP="00476BD4">
            <w:pPr>
              <w:keepLines/>
              <w:widowControl w:val="0"/>
              <w:jc w:val="right"/>
              <w:rPr>
                <w:rFonts w:ascii="Arial" w:hAnsi="Arial" w:cs="Arial"/>
                <w:b/>
              </w:rPr>
            </w:pPr>
            <w:r w:rsidRPr="003F569D">
              <w:rPr>
                <w:rFonts w:ascii="Arial" w:hAnsi="Arial" w:cs="Arial"/>
                <w:b/>
              </w:rPr>
              <w:t>(75.30)</w:t>
            </w:r>
          </w:p>
        </w:tc>
        <w:tc>
          <w:tcPr>
            <w:tcW w:w="1258" w:type="dxa"/>
            <w:vAlign w:val="center"/>
          </w:tcPr>
          <w:p w14:paraId="0CF0B259" w14:textId="18645834" w:rsidR="00476BD4" w:rsidRPr="003F569D" w:rsidRDefault="003F569D" w:rsidP="00476BD4">
            <w:pPr>
              <w:keepLines/>
              <w:widowControl w:val="0"/>
              <w:jc w:val="right"/>
              <w:rPr>
                <w:rFonts w:ascii="Arial" w:hAnsi="Arial" w:cs="Arial"/>
                <w:b/>
              </w:rPr>
            </w:pPr>
            <w:r w:rsidRPr="003F569D">
              <w:rPr>
                <w:rFonts w:ascii="Arial" w:hAnsi="Arial" w:cs="Arial"/>
                <w:b/>
              </w:rPr>
              <w:t>(60.20)</w:t>
            </w:r>
          </w:p>
        </w:tc>
        <w:tc>
          <w:tcPr>
            <w:tcW w:w="1622" w:type="dxa"/>
            <w:vAlign w:val="center"/>
          </w:tcPr>
          <w:p w14:paraId="08F6AB1F" w14:textId="79576C4D" w:rsidR="00476BD4" w:rsidRPr="003F569D" w:rsidRDefault="003F569D" w:rsidP="00476BD4">
            <w:pPr>
              <w:keepLines/>
              <w:widowControl w:val="0"/>
              <w:jc w:val="right"/>
              <w:rPr>
                <w:rFonts w:ascii="Arial" w:hAnsi="Arial" w:cs="Arial"/>
                <w:b/>
              </w:rPr>
            </w:pPr>
            <w:r w:rsidRPr="003F569D">
              <w:rPr>
                <w:rFonts w:ascii="Arial" w:hAnsi="Arial" w:cs="Arial"/>
                <w:b/>
              </w:rPr>
              <w:t>(35.3)</w:t>
            </w:r>
          </w:p>
        </w:tc>
      </w:tr>
      <w:tr w:rsidR="00476BD4" w:rsidRPr="00C24528" w14:paraId="49B32A8C" w14:textId="77777777" w:rsidTr="00AC502A">
        <w:trPr>
          <w:trHeight w:val="340"/>
          <w:jc w:val="center"/>
        </w:trPr>
        <w:tc>
          <w:tcPr>
            <w:tcW w:w="3791" w:type="dxa"/>
            <w:tcBorders>
              <w:bottom w:val="single" w:sz="4" w:space="0" w:color="auto"/>
            </w:tcBorders>
            <w:shd w:val="clear" w:color="auto" w:fill="auto"/>
            <w:vAlign w:val="center"/>
          </w:tcPr>
          <w:p w14:paraId="3CD09216" w14:textId="77777777" w:rsidR="00476BD4" w:rsidRDefault="00476BD4" w:rsidP="00476BD4">
            <w:pPr>
              <w:keepLines/>
              <w:widowControl w:val="0"/>
              <w:rPr>
                <w:rFonts w:ascii="Arial" w:hAnsi="Arial" w:cs="Arial"/>
              </w:rPr>
            </w:pPr>
            <w:r w:rsidRPr="0099228C">
              <w:rPr>
                <w:rFonts w:ascii="Arial" w:hAnsi="Arial" w:cs="Arial"/>
              </w:rPr>
              <w:t>Existing borrowing</w:t>
            </w:r>
          </w:p>
        </w:tc>
        <w:tc>
          <w:tcPr>
            <w:tcW w:w="1249" w:type="dxa"/>
            <w:tcBorders>
              <w:bottom w:val="single" w:sz="4" w:space="0" w:color="auto"/>
            </w:tcBorders>
            <w:shd w:val="clear" w:color="auto" w:fill="auto"/>
            <w:vAlign w:val="center"/>
          </w:tcPr>
          <w:p w14:paraId="28811F33" w14:textId="0F93836E" w:rsidR="00476BD4" w:rsidRPr="006D3E0C" w:rsidRDefault="00476BD4" w:rsidP="00476BD4">
            <w:pPr>
              <w:keepLines/>
              <w:widowControl w:val="0"/>
              <w:jc w:val="right"/>
              <w:rPr>
                <w:rFonts w:ascii="Arial" w:hAnsi="Arial" w:cs="Arial"/>
              </w:rPr>
            </w:pPr>
            <w:r>
              <w:rPr>
                <w:rFonts w:ascii="Arial" w:hAnsi="Arial" w:cs="Arial"/>
                <w:b/>
                <w:bCs/>
                <w:color w:val="000000"/>
              </w:rPr>
              <w:t>29.90</w:t>
            </w:r>
          </w:p>
        </w:tc>
        <w:tc>
          <w:tcPr>
            <w:tcW w:w="1153" w:type="dxa"/>
            <w:tcBorders>
              <w:bottom w:val="single" w:sz="4" w:space="0" w:color="auto"/>
            </w:tcBorders>
            <w:vAlign w:val="center"/>
          </w:tcPr>
          <w:p w14:paraId="7C96ACC2" w14:textId="07ACBE3C" w:rsidR="00476BD4" w:rsidRPr="003F569D" w:rsidRDefault="003F569D" w:rsidP="00476BD4">
            <w:pPr>
              <w:keepLines/>
              <w:widowControl w:val="0"/>
              <w:jc w:val="right"/>
              <w:rPr>
                <w:rFonts w:ascii="Arial" w:hAnsi="Arial" w:cs="Arial"/>
                <w:b/>
              </w:rPr>
            </w:pPr>
            <w:r w:rsidRPr="003F569D">
              <w:rPr>
                <w:rFonts w:ascii="Arial" w:hAnsi="Arial" w:cs="Arial"/>
                <w:b/>
              </w:rPr>
              <w:t>19.30</w:t>
            </w:r>
          </w:p>
        </w:tc>
        <w:tc>
          <w:tcPr>
            <w:tcW w:w="1258" w:type="dxa"/>
            <w:tcBorders>
              <w:bottom w:val="single" w:sz="4" w:space="0" w:color="auto"/>
            </w:tcBorders>
            <w:vAlign w:val="center"/>
          </w:tcPr>
          <w:p w14:paraId="3B6E8863" w14:textId="4590C145" w:rsidR="00476BD4" w:rsidRPr="003F569D" w:rsidRDefault="003F569D" w:rsidP="00476BD4">
            <w:pPr>
              <w:keepLines/>
              <w:widowControl w:val="0"/>
              <w:jc w:val="right"/>
              <w:rPr>
                <w:rFonts w:ascii="Arial" w:hAnsi="Arial" w:cs="Arial"/>
                <w:b/>
              </w:rPr>
            </w:pPr>
            <w:r w:rsidRPr="003F569D">
              <w:rPr>
                <w:rFonts w:ascii="Arial" w:hAnsi="Arial" w:cs="Arial"/>
                <w:b/>
              </w:rPr>
              <w:t>8.90</w:t>
            </w:r>
          </w:p>
        </w:tc>
        <w:tc>
          <w:tcPr>
            <w:tcW w:w="1622" w:type="dxa"/>
            <w:tcBorders>
              <w:bottom w:val="single" w:sz="4" w:space="0" w:color="auto"/>
            </w:tcBorders>
            <w:vAlign w:val="center"/>
          </w:tcPr>
          <w:p w14:paraId="1A7305D3" w14:textId="2F1D7E6C" w:rsidR="00476BD4" w:rsidRPr="003F569D" w:rsidRDefault="003F569D" w:rsidP="00476BD4">
            <w:pPr>
              <w:keepLines/>
              <w:widowControl w:val="0"/>
              <w:jc w:val="right"/>
              <w:rPr>
                <w:rFonts w:ascii="Arial" w:hAnsi="Arial" w:cs="Arial"/>
                <w:b/>
              </w:rPr>
            </w:pPr>
            <w:r w:rsidRPr="003F569D">
              <w:rPr>
                <w:rFonts w:ascii="Arial" w:hAnsi="Arial" w:cs="Arial"/>
                <w:b/>
              </w:rPr>
              <w:t>8.660</w:t>
            </w:r>
          </w:p>
        </w:tc>
      </w:tr>
    </w:tbl>
    <w:p w14:paraId="03ED9050" w14:textId="77777777" w:rsidR="004153E9" w:rsidRDefault="004153E9" w:rsidP="00AC502A">
      <w:pPr>
        <w:pStyle w:val="ListParagraph"/>
        <w:spacing w:after="240"/>
        <w:rPr>
          <w:rFonts w:ascii="Arial" w:hAnsi="Arial" w:cs="Arial"/>
        </w:rPr>
      </w:pPr>
    </w:p>
    <w:p w14:paraId="24FE9118" w14:textId="16A8A363" w:rsidR="00751E42" w:rsidRDefault="006117B6" w:rsidP="004153E9">
      <w:pPr>
        <w:pStyle w:val="ListParagraph"/>
        <w:numPr>
          <w:ilvl w:val="1"/>
          <w:numId w:val="2"/>
        </w:numPr>
        <w:spacing w:after="240"/>
        <w:ind w:left="720" w:hanging="720"/>
        <w:rPr>
          <w:rFonts w:ascii="Arial" w:hAnsi="Arial" w:cs="Arial"/>
        </w:rPr>
      </w:pPr>
      <w:r>
        <w:rPr>
          <w:rFonts w:ascii="Arial" w:hAnsi="Arial" w:cs="Arial"/>
        </w:rPr>
        <w:t xml:space="preserve">The PCC is a net investor and as the above table and </w:t>
      </w:r>
      <w:r w:rsidR="005D11E3">
        <w:rPr>
          <w:rFonts w:ascii="Arial" w:hAnsi="Arial" w:cs="Arial"/>
        </w:rPr>
        <w:t>below graph shows, the PCC expects a negative liability benchmark across the forecast period, meaning that these is no requirement to borrow for the foreseeable future.</w:t>
      </w:r>
      <w:r w:rsidR="000D4961">
        <w:rPr>
          <w:rFonts w:ascii="Arial" w:hAnsi="Arial" w:cs="Arial"/>
        </w:rPr>
        <w:t xml:space="preserve"> </w:t>
      </w:r>
    </w:p>
    <w:p w14:paraId="35464701" w14:textId="5E90C11D" w:rsidR="0033354C" w:rsidRDefault="0033354C" w:rsidP="00AC502A">
      <w:pPr>
        <w:pStyle w:val="ListParagraph"/>
        <w:spacing w:after="240"/>
        <w:rPr>
          <w:rFonts w:ascii="Arial" w:hAnsi="Arial" w:cs="Arial"/>
          <w:b/>
        </w:rPr>
      </w:pPr>
      <w:r w:rsidRPr="00AC502A">
        <w:rPr>
          <w:rFonts w:ascii="Arial" w:hAnsi="Arial" w:cs="Arial"/>
          <w:b/>
        </w:rPr>
        <w:t>Chart 1: Liability Benchmark</w:t>
      </w:r>
    </w:p>
    <w:p w14:paraId="724D5F8E" w14:textId="25BDDE23" w:rsidR="005D11E3" w:rsidRPr="00AC502A" w:rsidRDefault="005D11E3" w:rsidP="00AC502A">
      <w:pPr>
        <w:pStyle w:val="ListParagraph"/>
        <w:spacing w:after="240"/>
        <w:rPr>
          <w:rFonts w:ascii="Arial" w:hAnsi="Arial" w:cs="Arial"/>
          <w:b/>
        </w:rPr>
      </w:pPr>
      <w:r w:rsidRPr="005D11E3">
        <w:rPr>
          <w:rFonts w:ascii="Arial" w:hAnsi="Arial" w:cs="Arial"/>
          <w:b/>
        </w:rPr>
        <w:drawing>
          <wp:inline distT="0" distB="0" distL="0" distR="0" wp14:anchorId="7FFFA1B4" wp14:editId="4C54C1CC">
            <wp:extent cx="5189822" cy="3360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01532" cy="3368002"/>
                    </a:xfrm>
                    <a:prstGeom prst="rect">
                      <a:avLst/>
                    </a:prstGeom>
                  </pic:spPr>
                </pic:pic>
              </a:graphicData>
            </a:graphic>
          </wp:inline>
        </w:drawing>
      </w:r>
      <w:bookmarkStart w:id="3" w:name="_GoBack"/>
      <w:bookmarkEnd w:id="3"/>
    </w:p>
    <w:p w14:paraId="528131E6" w14:textId="7835E2F3" w:rsidR="00547880" w:rsidRPr="005C38BC" w:rsidRDefault="005F19D8" w:rsidP="00547880">
      <w:pPr>
        <w:pStyle w:val="ListParagraph"/>
        <w:spacing w:after="240"/>
        <w:rPr>
          <w:rFonts w:ascii="Arial" w:hAnsi="Arial" w:cs="Arial"/>
          <w:b/>
        </w:rPr>
      </w:pPr>
      <w:r w:rsidRPr="005C38BC">
        <w:rPr>
          <w:rFonts w:ascii="Arial" w:hAnsi="Arial" w:cs="Arial"/>
          <w:b/>
        </w:rPr>
        <w:t xml:space="preserve">Interest </w:t>
      </w:r>
      <w:r w:rsidR="00AC15AD" w:rsidRPr="005C38BC">
        <w:rPr>
          <w:rFonts w:ascii="Arial" w:hAnsi="Arial" w:cs="Arial"/>
          <w:b/>
        </w:rPr>
        <w:t>r</w:t>
      </w:r>
      <w:r w:rsidRPr="005C38BC">
        <w:rPr>
          <w:rFonts w:ascii="Arial" w:hAnsi="Arial" w:cs="Arial"/>
          <w:b/>
        </w:rPr>
        <w:t xml:space="preserve">ate </w:t>
      </w:r>
      <w:r w:rsidR="00AC15AD" w:rsidRPr="005C38BC">
        <w:rPr>
          <w:rFonts w:ascii="Arial" w:hAnsi="Arial" w:cs="Arial"/>
          <w:b/>
        </w:rPr>
        <w:t>e</w:t>
      </w:r>
      <w:r w:rsidRPr="005C38BC">
        <w:rPr>
          <w:rFonts w:ascii="Arial" w:hAnsi="Arial" w:cs="Arial"/>
          <w:b/>
        </w:rPr>
        <w:t>xposures</w:t>
      </w:r>
    </w:p>
    <w:p w14:paraId="41642822" w14:textId="246F7526" w:rsidR="005F19D8" w:rsidRPr="005C38BC" w:rsidRDefault="005F19D8" w:rsidP="003C3808">
      <w:pPr>
        <w:pStyle w:val="ListParagraph"/>
        <w:numPr>
          <w:ilvl w:val="1"/>
          <w:numId w:val="2"/>
        </w:numPr>
        <w:spacing w:after="240"/>
        <w:ind w:left="720" w:hanging="720"/>
        <w:rPr>
          <w:rFonts w:ascii="Arial" w:hAnsi="Arial" w:cs="Arial"/>
        </w:rPr>
      </w:pPr>
      <w:r w:rsidRPr="005C38BC">
        <w:rPr>
          <w:rFonts w:ascii="Arial" w:hAnsi="Arial" w:cs="Arial"/>
        </w:rPr>
        <w:t>Th</w:t>
      </w:r>
      <w:r w:rsidR="009D46FD" w:rsidRPr="005C38BC">
        <w:rPr>
          <w:rFonts w:ascii="Arial" w:hAnsi="Arial" w:cs="Arial"/>
        </w:rPr>
        <w:t>e following</w:t>
      </w:r>
      <w:r w:rsidRPr="005C38BC">
        <w:rPr>
          <w:rFonts w:ascii="Arial" w:hAnsi="Arial" w:cs="Arial"/>
        </w:rPr>
        <w:t xml:space="preserve"> indicator </w:t>
      </w:r>
      <w:r w:rsidR="007C45E1" w:rsidRPr="005C38BC">
        <w:rPr>
          <w:rFonts w:ascii="Arial" w:hAnsi="Arial" w:cs="Arial"/>
        </w:rPr>
        <w:t>shows</w:t>
      </w:r>
      <w:r w:rsidRPr="005C38BC">
        <w:rPr>
          <w:rFonts w:ascii="Arial" w:hAnsi="Arial" w:cs="Arial"/>
        </w:rPr>
        <w:t xml:space="preserve"> the</w:t>
      </w:r>
      <w:r w:rsidR="007C45E1" w:rsidRPr="005C38BC">
        <w:rPr>
          <w:rFonts w:ascii="Arial" w:hAnsi="Arial" w:cs="Arial"/>
        </w:rPr>
        <w:t xml:space="preserve"> sensitivity of the</w:t>
      </w:r>
      <w:r w:rsidRPr="005C38BC">
        <w:rPr>
          <w:rFonts w:ascii="Arial" w:hAnsi="Arial" w:cs="Arial"/>
        </w:rPr>
        <w:t xml:space="preserve"> </w:t>
      </w:r>
      <w:r w:rsidR="00547880" w:rsidRPr="005C38BC">
        <w:rPr>
          <w:rFonts w:ascii="Arial" w:hAnsi="Arial" w:cs="Arial"/>
        </w:rPr>
        <w:t>PCC</w:t>
      </w:r>
      <w:r w:rsidRPr="005C38BC">
        <w:rPr>
          <w:rFonts w:ascii="Arial" w:hAnsi="Arial" w:cs="Arial"/>
        </w:rPr>
        <w:t xml:space="preserve">’s </w:t>
      </w:r>
      <w:r w:rsidR="007C45E1" w:rsidRPr="005C38BC">
        <w:rPr>
          <w:rFonts w:ascii="Arial" w:hAnsi="Arial" w:cs="Arial"/>
        </w:rPr>
        <w:t>current investments and borrowing to a change in interest rates</w:t>
      </w:r>
      <w:r w:rsidR="009D46FD" w:rsidRPr="005C38BC">
        <w:rPr>
          <w:rFonts w:ascii="Arial" w:hAnsi="Arial" w:cs="Arial"/>
        </w:rPr>
        <w:t>.</w:t>
      </w:r>
    </w:p>
    <w:tbl>
      <w:tblPr>
        <w:tblW w:w="0" w:type="auto"/>
        <w:jc w:val="center"/>
        <w:tblLook w:val="04A0" w:firstRow="1" w:lastRow="0" w:firstColumn="1" w:lastColumn="0" w:noHBand="0" w:noVBand="1"/>
      </w:tblPr>
      <w:tblGrid>
        <w:gridCol w:w="4522"/>
        <w:gridCol w:w="1337"/>
        <w:gridCol w:w="2505"/>
      </w:tblGrid>
      <w:tr w:rsidR="007C45E1" w:rsidRPr="00BA4271" w14:paraId="19FDA6C6" w14:textId="77777777" w:rsidTr="00AC502A">
        <w:trPr>
          <w:trHeight w:val="340"/>
          <w:jc w:val="center"/>
        </w:trPr>
        <w:tc>
          <w:tcPr>
            <w:tcW w:w="4522" w:type="dxa"/>
            <w:tcBorders>
              <w:top w:val="single" w:sz="4" w:space="0" w:color="auto"/>
              <w:left w:val="single" w:sz="4" w:space="0" w:color="auto"/>
              <w:bottom w:val="single" w:sz="4" w:space="0" w:color="auto"/>
              <w:right w:val="single" w:sz="4" w:space="0" w:color="auto"/>
            </w:tcBorders>
            <w:shd w:val="clear" w:color="auto" w:fill="auto"/>
          </w:tcPr>
          <w:p w14:paraId="4AE075EF" w14:textId="15CCC190" w:rsidR="007C45E1" w:rsidRPr="005C38BC" w:rsidRDefault="00AC15AD" w:rsidP="00AC15AD">
            <w:pPr>
              <w:keepNext/>
              <w:keepLines/>
              <w:widowControl w:val="0"/>
              <w:rPr>
                <w:rFonts w:ascii="Arial" w:hAnsi="Arial" w:cs="Arial"/>
                <w:b/>
              </w:rPr>
            </w:pPr>
            <w:r w:rsidRPr="005C38BC">
              <w:rPr>
                <w:rFonts w:ascii="Arial" w:hAnsi="Arial" w:cs="Arial"/>
                <w:b/>
              </w:rPr>
              <w:lastRenderedPageBreak/>
              <w:t>Table 9: Interest rate risk indicator</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7B5572BE" w14:textId="77F0A7D8" w:rsidR="007C45E1" w:rsidRDefault="007C45E1" w:rsidP="00067763">
            <w:pPr>
              <w:keepNext/>
              <w:keepLines/>
              <w:widowControl w:val="0"/>
              <w:jc w:val="center"/>
              <w:rPr>
                <w:rFonts w:ascii="Arial" w:hAnsi="Arial" w:cs="Arial"/>
                <w:b/>
              </w:rPr>
            </w:pPr>
            <w:r w:rsidRPr="00264058">
              <w:rPr>
                <w:rFonts w:ascii="Arial" w:hAnsi="Arial" w:cs="Arial"/>
                <w:b/>
              </w:rPr>
              <w:t>31/03/</w:t>
            </w:r>
            <w:r w:rsidR="00BA2521" w:rsidRPr="00264058">
              <w:rPr>
                <w:rFonts w:ascii="Arial" w:hAnsi="Arial" w:cs="Arial"/>
                <w:b/>
              </w:rPr>
              <w:t>2</w:t>
            </w:r>
            <w:r w:rsidR="00476BD4">
              <w:rPr>
                <w:rFonts w:ascii="Arial" w:hAnsi="Arial" w:cs="Arial"/>
                <w:b/>
              </w:rPr>
              <w:t>4</w:t>
            </w:r>
            <w:r w:rsidRPr="00264058">
              <w:rPr>
                <w:rFonts w:ascii="Arial" w:hAnsi="Arial" w:cs="Arial"/>
                <w:b/>
              </w:rPr>
              <w:br/>
              <w:t>Actual</w:t>
            </w:r>
          </w:p>
          <w:p w14:paraId="20192020" w14:textId="6D374C6E" w:rsidR="00E76EC7" w:rsidRPr="00264058" w:rsidRDefault="00E76EC7" w:rsidP="00067763">
            <w:pPr>
              <w:keepNext/>
              <w:keepLines/>
              <w:widowControl w:val="0"/>
              <w:jc w:val="center"/>
              <w:rPr>
                <w:rFonts w:ascii="Arial" w:hAnsi="Arial" w:cs="Arial"/>
                <w:b/>
              </w:rPr>
            </w:pPr>
            <w:r>
              <w:rPr>
                <w:rFonts w:ascii="Arial" w:hAnsi="Arial" w:cs="Arial"/>
                <w:b/>
              </w:rPr>
              <w:t>£m</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bottom"/>
          </w:tcPr>
          <w:p w14:paraId="53CC0D57" w14:textId="77777777" w:rsidR="007C45E1" w:rsidRDefault="007C45E1" w:rsidP="00067763">
            <w:pPr>
              <w:keepNext/>
              <w:keepLines/>
              <w:widowControl w:val="0"/>
              <w:jc w:val="center"/>
              <w:rPr>
                <w:rFonts w:ascii="Arial" w:hAnsi="Arial" w:cs="Arial"/>
                <w:b/>
              </w:rPr>
            </w:pPr>
            <w:r w:rsidRPr="00264058">
              <w:rPr>
                <w:rFonts w:ascii="Arial" w:hAnsi="Arial" w:cs="Arial"/>
                <w:b/>
              </w:rPr>
              <w:t>Impact of a +/- 1% interest rate change</w:t>
            </w:r>
          </w:p>
          <w:p w14:paraId="7EF23E58" w14:textId="52B7231F" w:rsidR="00E76EC7" w:rsidRPr="00264058" w:rsidRDefault="00E76EC7" w:rsidP="00067763">
            <w:pPr>
              <w:keepNext/>
              <w:keepLines/>
              <w:widowControl w:val="0"/>
              <w:jc w:val="center"/>
              <w:rPr>
                <w:rFonts w:ascii="Arial" w:hAnsi="Arial" w:cs="Arial"/>
                <w:b/>
              </w:rPr>
            </w:pPr>
            <w:r>
              <w:rPr>
                <w:rFonts w:ascii="Arial" w:hAnsi="Arial" w:cs="Arial"/>
                <w:b/>
              </w:rPr>
              <w:t>£m</w:t>
            </w:r>
          </w:p>
        </w:tc>
      </w:tr>
      <w:tr w:rsidR="00655C52" w:rsidRPr="00BA4271" w14:paraId="3227F168" w14:textId="77777777" w:rsidTr="00AC502A">
        <w:trPr>
          <w:trHeight w:val="340"/>
          <w:jc w:val="center"/>
        </w:trPr>
        <w:tc>
          <w:tcPr>
            <w:tcW w:w="4522" w:type="dxa"/>
            <w:tcBorders>
              <w:top w:val="single" w:sz="4" w:space="0" w:color="auto"/>
              <w:left w:val="single" w:sz="4" w:space="0" w:color="auto"/>
              <w:bottom w:val="single" w:sz="4" w:space="0" w:color="auto"/>
              <w:right w:val="single" w:sz="4" w:space="0" w:color="auto"/>
            </w:tcBorders>
            <w:shd w:val="clear" w:color="auto" w:fill="auto"/>
            <w:vAlign w:val="center"/>
          </w:tcPr>
          <w:p w14:paraId="35560D5C" w14:textId="0F035437" w:rsidR="00655C52" w:rsidRPr="005C38BC" w:rsidRDefault="00655C52" w:rsidP="00655C52">
            <w:pPr>
              <w:keepNext/>
              <w:keepLines/>
              <w:widowControl w:val="0"/>
              <w:rPr>
                <w:rFonts w:ascii="Arial" w:hAnsi="Arial" w:cs="Arial"/>
                <w:bCs/>
              </w:rPr>
            </w:pPr>
            <w:r w:rsidRPr="005C38BC">
              <w:rPr>
                <w:rFonts w:ascii="Arial" w:hAnsi="Arial" w:cs="Arial"/>
                <w:bCs/>
              </w:rPr>
              <w:t>Sums subject to variable interest rates:</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414B640E" w14:textId="77777777" w:rsidR="00655C52" w:rsidRPr="00264058" w:rsidRDefault="00655C52" w:rsidP="00067763">
            <w:pPr>
              <w:keepNext/>
              <w:keepLines/>
              <w:widowControl w:val="0"/>
              <w:jc w:val="center"/>
              <w:rPr>
                <w:rFonts w:ascii="Arial" w:hAnsi="Arial" w:cs="Arial"/>
                <w:bCs/>
              </w:rPr>
            </w:pPr>
          </w:p>
        </w:tc>
        <w:tc>
          <w:tcPr>
            <w:tcW w:w="2505" w:type="dxa"/>
            <w:tcBorders>
              <w:top w:val="single" w:sz="4" w:space="0" w:color="auto"/>
              <w:left w:val="single" w:sz="4" w:space="0" w:color="auto"/>
              <w:bottom w:val="single" w:sz="4" w:space="0" w:color="auto"/>
              <w:right w:val="single" w:sz="4" w:space="0" w:color="auto"/>
            </w:tcBorders>
            <w:shd w:val="clear" w:color="auto" w:fill="auto"/>
            <w:vAlign w:val="bottom"/>
          </w:tcPr>
          <w:p w14:paraId="044A5192" w14:textId="77777777" w:rsidR="00655C52" w:rsidRPr="00264058" w:rsidRDefault="00655C52" w:rsidP="00067763">
            <w:pPr>
              <w:keepNext/>
              <w:keepLines/>
              <w:widowControl w:val="0"/>
              <w:jc w:val="center"/>
              <w:rPr>
                <w:rFonts w:ascii="Arial" w:hAnsi="Arial" w:cs="Arial"/>
                <w:bCs/>
              </w:rPr>
            </w:pPr>
          </w:p>
        </w:tc>
      </w:tr>
      <w:tr w:rsidR="00E76EC7" w:rsidRPr="00BA4271" w14:paraId="3F54B061" w14:textId="77777777" w:rsidTr="00AC502A">
        <w:trPr>
          <w:trHeight w:val="340"/>
          <w:jc w:val="center"/>
        </w:trPr>
        <w:tc>
          <w:tcPr>
            <w:tcW w:w="4522" w:type="dxa"/>
            <w:tcBorders>
              <w:top w:val="single" w:sz="4" w:space="0" w:color="auto"/>
              <w:left w:val="single" w:sz="4" w:space="0" w:color="auto"/>
              <w:bottom w:val="single" w:sz="4" w:space="0" w:color="auto"/>
              <w:right w:val="single" w:sz="4" w:space="0" w:color="auto"/>
            </w:tcBorders>
            <w:shd w:val="clear" w:color="auto" w:fill="auto"/>
            <w:vAlign w:val="center"/>
          </w:tcPr>
          <w:p w14:paraId="32F3AB89" w14:textId="6801B0A3" w:rsidR="00E76EC7" w:rsidRPr="005C38BC" w:rsidRDefault="00E76EC7" w:rsidP="00E76EC7">
            <w:pPr>
              <w:keepNext/>
              <w:keepLines/>
              <w:widowControl w:val="0"/>
              <w:ind w:left="720"/>
              <w:rPr>
                <w:rFonts w:ascii="Arial" w:hAnsi="Arial" w:cs="Arial"/>
                <w:bCs/>
              </w:rPr>
            </w:pPr>
            <w:r w:rsidRPr="005C38BC">
              <w:rPr>
                <w:rFonts w:ascii="Arial" w:hAnsi="Arial" w:cs="Arial"/>
                <w:bCs/>
              </w:rPr>
              <w:t>Investment</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490863B0" w14:textId="59DCA3AB" w:rsidR="00E76EC7" w:rsidRPr="00264058" w:rsidRDefault="00E76EC7" w:rsidP="00E76EC7">
            <w:pPr>
              <w:keepNext/>
              <w:keepLines/>
              <w:widowControl w:val="0"/>
              <w:jc w:val="center"/>
              <w:rPr>
                <w:rFonts w:ascii="Arial" w:hAnsi="Arial" w:cs="Arial"/>
              </w:rPr>
            </w:pPr>
            <w:r>
              <w:rPr>
                <w:rFonts w:ascii="Arial" w:hAnsi="Arial" w:cs="Arial"/>
              </w:rPr>
              <w:t>53.13</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61E52443" w14:textId="548B6D62" w:rsidR="00E76EC7" w:rsidRPr="00264058" w:rsidRDefault="00E76EC7" w:rsidP="00E76EC7">
            <w:pPr>
              <w:keepNext/>
              <w:keepLines/>
              <w:widowControl w:val="0"/>
              <w:jc w:val="center"/>
              <w:rPr>
                <w:rFonts w:ascii="Arial" w:hAnsi="Arial" w:cs="Arial"/>
              </w:rPr>
            </w:pPr>
            <w:r>
              <w:rPr>
                <w:rFonts w:ascii="Arial" w:hAnsi="Arial" w:cs="Arial"/>
              </w:rPr>
              <w:t>0.53</w:t>
            </w:r>
          </w:p>
        </w:tc>
      </w:tr>
      <w:tr w:rsidR="00E76EC7" w:rsidRPr="00BA4271" w14:paraId="6710C892" w14:textId="77777777" w:rsidTr="00AC502A">
        <w:trPr>
          <w:trHeight w:val="340"/>
          <w:jc w:val="center"/>
        </w:trPr>
        <w:tc>
          <w:tcPr>
            <w:tcW w:w="4522" w:type="dxa"/>
            <w:tcBorders>
              <w:top w:val="single" w:sz="4" w:space="0" w:color="auto"/>
              <w:left w:val="single" w:sz="4" w:space="0" w:color="auto"/>
              <w:bottom w:val="single" w:sz="4" w:space="0" w:color="auto"/>
              <w:right w:val="single" w:sz="4" w:space="0" w:color="auto"/>
            </w:tcBorders>
            <w:shd w:val="clear" w:color="auto" w:fill="auto"/>
            <w:vAlign w:val="center"/>
          </w:tcPr>
          <w:p w14:paraId="2EFF55A0" w14:textId="37E19C34" w:rsidR="00E76EC7" w:rsidRPr="005C38BC" w:rsidRDefault="00E76EC7" w:rsidP="00E76EC7">
            <w:pPr>
              <w:keepNext/>
              <w:keepLines/>
              <w:widowControl w:val="0"/>
              <w:ind w:left="720"/>
              <w:rPr>
                <w:rFonts w:ascii="Arial" w:hAnsi="Arial" w:cs="Arial"/>
                <w:bCs/>
              </w:rPr>
            </w:pPr>
            <w:r w:rsidRPr="005C38BC">
              <w:rPr>
                <w:rFonts w:ascii="Arial" w:hAnsi="Arial" w:cs="Arial"/>
                <w:bCs/>
              </w:rPr>
              <w:t>Borrowing</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1484B38B" w14:textId="03F01AF4" w:rsidR="00E76EC7" w:rsidRPr="00264058" w:rsidRDefault="00E76EC7" w:rsidP="00E76EC7">
            <w:pPr>
              <w:keepNext/>
              <w:keepLines/>
              <w:widowControl w:val="0"/>
              <w:jc w:val="center"/>
              <w:rPr>
                <w:rFonts w:ascii="Arial" w:hAnsi="Arial" w:cs="Arial"/>
              </w:rPr>
            </w:pPr>
            <w:r>
              <w:rPr>
                <w:rFonts w:ascii="Arial" w:hAnsi="Arial" w:cs="Arial"/>
              </w:rPr>
              <w:t>(0.01)</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41E89BDC" w14:textId="2D46A7A8" w:rsidR="00E76EC7" w:rsidRPr="00264058" w:rsidRDefault="00E76EC7" w:rsidP="00E76EC7">
            <w:pPr>
              <w:keepNext/>
              <w:keepLines/>
              <w:widowControl w:val="0"/>
              <w:jc w:val="center"/>
              <w:rPr>
                <w:rFonts w:ascii="Arial" w:hAnsi="Arial" w:cs="Arial"/>
              </w:rPr>
            </w:pPr>
            <w:r>
              <w:rPr>
                <w:rFonts w:ascii="Arial" w:hAnsi="Arial" w:cs="Arial"/>
              </w:rPr>
              <w:t>(0.00)</w:t>
            </w:r>
          </w:p>
        </w:tc>
      </w:tr>
    </w:tbl>
    <w:p w14:paraId="1A254F1B" w14:textId="565DE18D" w:rsidR="00922924" w:rsidRPr="005C38BC" w:rsidRDefault="005F19D8" w:rsidP="004F54EF">
      <w:pPr>
        <w:pStyle w:val="ListParagraph"/>
        <w:numPr>
          <w:ilvl w:val="1"/>
          <w:numId w:val="2"/>
        </w:numPr>
        <w:spacing w:before="240" w:after="240"/>
        <w:ind w:left="720" w:hanging="720"/>
        <w:rPr>
          <w:rFonts w:ascii="Arial" w:hAnsi="Arial" w:cs="Arial"/>
        </w:rPr>
      </w:pPr>
      <w:r w:rsidRPr="005C38BC">
        <w:rPr>
          <w:rFonts w:ascii="Arial" w:hAnsi="Arial" w:cs="Arial"/>
        </w:rPr>
        <w:t>Fixed rate investments and borrowings are those where the rate of interest is fixed for the whole financial year. Instruments that mature during the financial year are classed as varia</w:t>
      </w:r>
      <w:r w:rsidR="00365448" w:rsidRPr="005C38BC">
        <w:rPr>
          <w:rFonts w:ascii="Arial" w:hAnsi="Arial" w:cs="Arial"/>
        </w:rPr>
        <w:t>ble rate.</w:t>
      </w:r>
    </w:p>
    <w:p w14:paraId="24588086" w14:textId="129654CB" w:rsidR="00365448" w:rsidRPr="005C38BC" w:rsidRDefault="00365448" w:rsidP="00365448">
      <w:pPr>
        <w:pStyle w:val="ListParagraph"/>
        <w:spacing w:after="240"/>
        <w:rPr>
          <w:rFonts w:ascii="Arial" w:hAnsi="Arial" w:cs="Arial"/>
          <w:b/>
        </w:rPr>
      </w:pPr>
      <w:r w:rsidRPr="005C38BC">
        <w:rPr>
          <w:rFonts w:ascii="Arial" w:hAnsi="Arial" w:cs="Arial"/>
          <w:b/>
        </w:rPr>
        <w:t xml:space="preserve">Maturity </w:t>
      </w:r>
      <w:r w:rsidR="004F69A4" w:rsidRPr="005C38BC">
        <w:rPr>
          <w:rFonts w:ascii="Arial" w:hAnsi="Arial" w:cs="Arial"/>
          <w:b/>
        </w:rPr>
        <w:t>s</w:t>
      </w:r>
      <w:r w:rsidRPr="005C38BC">
        <w:rPr>
          <w:rFonts w:ascii="Arial" w:hAnsi="Arial" w:cs="Arial"/>
          <w:b/>
        </w:rPr>
        <w:t xml:space="preserve">tructure of </w:t>
      </w:r>
      <w:r w:rsidR="004F69A4" w:rsidRPr="005C38BC">
        <w:rPr>
          <w:rFonts w:ascii="Arial" w:hAnsi="Arial" w:cs="Arial"/>
          <w:b/>
        </w:rPr>
        <w:t>b</w:t>
      </w:r>
      <w:r w:rsidRPr="005C38BC">
        <w:rPr>
          <w:rFonts w:ascii="Arial" w:hAnsi="Arial" w:cs="Arial"/>
          <w:b/>
        </w:rPr>
        <w:t>orrowing</w:t>
      </w:r>
    </w:p>
    <w:p w14:paraId="7247539E" w14:textId="5F219780" w:rsidR="005F19D8" w:rsidRPr="005C38BC" w:rsidRDefault="005F19D8" w:rsidP="003C3808">
      <w:pPr>
        <w:pStyle w:val="ListParagraph"/>
        <w:numPr>
          <w:ilvl w:val="1"/>
          <w:numId w:val="2"/>
        </w:numPr>
        <w:spacing w:after="240"/>
        <w:ind w:left="720" w:hanging="720"/>
        <w:rPr>
          <w:rFonts w:ascii="Arial" w:hAnsi="Arial" w:cs="Arial"/>
        </w:rPr>
      </w:pPr>
      <w:r w:rsidRPr="005C38BC">
        <w:rPr>
          <w:rFonts w:ascii="Arial" w:hAnsi="Arial" w:cs="Arial"/>
        </w:rPr>
        <w:t xml:space="preserve">This indicator is set to control the </w:t>
      </w:r>
      <w:r w:rsidR="00365448" w:rsidRPr="005C38BC">
        <w:rPr>
          <w:rFonts w:ascii="Arial" w:hAnsi="Arial" w:cs="Arial"/>
        </w:rPr>
        <w:t>PCC</w:t>
      </w:r>
      <w:r w:rsidRPr="005C38BC">
        <w:rPr>
          <w:rFonts w:ascii="Arial" w:hAnsi="Arial" w:cs="Arial"/>
        </w:rPr>
        <w:t xml:space="preserve">’s exposure to refinancing risk. The upper and lower limits </w:t>
      </w:r>
      <w:r w:rsidR="00514991" w:rsidRPr="005C38BC">
        <w:rPr>
          <w:rFonts w:ascii="Arial" w:hAnsi="Arial" w:cs="Arial"/>
        </w:rPr>
        <w:t xml:space="preserve">show </w:t>
      </w:r>
      <w:r w:rsidRPr="005C38BC">
        <w:rPr>
          <w:rFonts w:ascii="Arial" w:hAnsi="Arial" w:cs="Arial"/>
        </w:rPr>
        <w:t>the</w:t>
      </w:r>
      <w:r w:rsidR="00514991" w:rsidRPr="005C38BC">
        <w:rPr>
          <w:rFonts w:ascii="Arial" w:hAnsi="Arial" w:cs="Arial"/>
        </w:rPr>
        <w:t xml:space="preserve"> maximum and minimum</w:t>
      </w:r>
      <w:r w:rsidRPr="005C38BC">
        <w:rPr>
          <w:rFonts w:ascii="Arial" w:hAnsi="Arial" w:cs="Arial"/>
        </w:rPr>
        <w:t xml:space="preserve"> maturity </w:t>
      </w:r>
      <w:r w:rsidR="00385D2D" w:rsidRPr="005C38BC">
        <w:rPr>
          <w:rFonts w:ascii="Arial" w:hAnsi="Arial" w:cs="Arial"/>
        </w:rPr>
        <w:t>exposure to</w:t>
      </w:r>
      <w:r w:rsidRPr="005C38BC">
        <w:rPr>
          <w:rFonts w:ascii="Arial" w:hAnsi="Arial" w:cs="Arial"/>
        </w:rPr>
        <w:t xml:space="preserve"> fixed rate borrowing</w:t>
      </w:r>
      <w:r w:rsidR="00385D2D" w:rsidRPr="005C38BC">
        <w:rPr>
          <w:rFonts w:ascii="Arial" w:hAnsi="Arial" w:cs="Arial"/>
        </w:rPr>
        <w:t xml:space="preserve"> as agreed in the Treasury Management Strategy Statement.</w:t>
      </w:r>
    </w:p>
    <w:tbl>
      <w:tblPr>
        <w:tblW w:w="9450" w:type="dxa"/>
        <w:jc w:val="center"/>
        <w:tblLook w:val="04A0" w:firstRow="1" w:lastRow="0" w:firstColumn="1" w:lastColumn="0" w:noHBand="0" w:noVBand="1"/>
      </w:tblPr>
      <w:tblGrid>
        <w:gridCol w:w="3782"/>
        <w:gridCol w:w="1417"/>
        <w:gridCol w:w="1417"/>
        <w:gridCol w:w="1417"/>
        <w:gridCol w:w="1417"/>
      </w:tblGrid>
      <w:tr w:rsidR="001634BE" w:rsidRPr="00F97363" w14:paraId="6A45DCAC" w14:textId="77777777" w:rsidTr="00AC502A">
        <w:trPr>
          <w:trHeight w:val="340"/>
          <w:jc w:val="center"/>
        </w:trPr>
        <w:tc>
          <w:tcPr>
            <w:tcW w:w="3782" w:type="dxa"/>
            <w:tcBorders>
              <w:top w:val="single" w:sz="4" w:space="0" w:color="auto"/>
              <w:left w:val="single" w:sz="4" w:space="0" w:color="auto"/>
              <w:bottom w:val="single" w:sz="4" w:space="0" w:color="auto"/>
              <w:right w:val="single" w:sz="4" w:space="0" w:color="auto"/>
            </w:tcBorders>
            <w:shd w:val="clear" w:color="auto" w:fill="auto"/>
          </w:tcPr>
          <w:p w14:paraId="1387B347" w14:textId="6A4C235F" w:rsidR="001634BE" w:rsidRPr="00F97363" w:rsidRDefault="004F69A4" w:rsidP="00F64FC2">
            <w:pPr>
              <w:keepNext/>
              <w:keepLines/>
              <w:widowControl w:val="0"/>
              <w:rPr>
                <w:rFonts w:ascii="Arial" w:hAnsi="Arial" w:cs="Arial"/>
                <w:b/>
              </w:rPr>
            </w:pPr>
            <w:r w:rsidRPr="00F97363">
              <w:rPr>
                <w:rFonts w:ascii="Arial" w:hAnsi="Arial" w:cs="Arial"/>
                <w:b/>
              </w:rPr>
              <w:t>Table 10: Maturity structure of borrowing</w:t>
            </w:r>
          </w:p>
        </w:tc>
        <w:tc>
          <w:tcPr>
            <w:tcW w:w="1417" w:type="dxa"/>
            <w:tcBorders>
              <w:top w:val="single" w:sz="4" w:space="0" w:color="auto"/>
              <w:left w:val="single" w:sz="4" w:space="0" w:color="auto"/>
              <w:bottom w:val="single" w:sz="4" w:space="0" w:color="auto"/>
              <w:right w:val="single" w:sz="4" w:space="0" w:color="auto"/>
            </w:tcBorders>
            <w:vAlign w:val="bottom"/>
          </w:tcPr>
          <w:p w14:paraId="57F570B3" w14:textId="0A9AA789" w:rsidR="001634BE" w:rsidRPr="00F97363" w:rsidRDefault="001634BE" w:rsidP="00F64FC2">
            <w:pPr>
              <w:keepNext/>
              <w:keepLines/>
              <w:widowControl w:val="0"/>
              <w:jc w:val="center"/>
              <w:rPr>
                <w:rFonts w:ascii="Arial" w:hAnsi="Arial" w:cs="Arial"/>
                <w:b/>
              </w:rPr>
            </w:pPr>
            <w:r w:rsidRPr="00F97363">
              <w:rPr>
                <w:rFonts w:ascii="Arial" w:hAnsi="Arial" w:cs="Arial"/>
                <w:b/>
              </w:rPr>
              <w:t>31/03/</w:t>
            </w:r>
            <w:r w:rsidR="00BA2521" w:rsidRPr="00F97363">
              <w:rPr>
                <w:rFonts w:ascii="Arial" w:hAnsi="Arial" w:cs="Arial"/>
                <w:b/>
              </w:rPr>
              <w:t>2</w:t>
            </w:r>
            <w:r w:rsidR="00E76EC7">
              <w:rPr>
                <w:rFonts w:ascii="Arial" w:hAnsi="Arial" w:cs="Arial"/>
                <w:b/>
              </w:rPr>
              <w:t>4</w:t>
            </w:r>
            <w:r w:rsidRPr="00F97363">
              <w:rPr>
                <w:rFonts w:ascii="Arial" w:hAnsi="Arial" w:cs="Arial"/>
                <w:b/>
              </w:rPr>
              <w:br/>
              <w:t>Actual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DF16EEC" w14:textId="77777777" w:rsidR="001634BE" w:rsidRPr="00F97363" w:rsidRDefault="001634BE" w:rsidP="00F64FC2">
            <w:pPr>
              <w:keepNext/>
              <w:keepLines/>
              <w:widowControl w:val="0"/>
              <w:jc w:val="center"/>
              <w:rPr>
                <w:rFonts w:ascii="Arial" w:hAnsi="Arial" w:cs="Arial"/>
                <w:b/>
              </w:rPr>
            </w:pPr>
            <w:r w:rsidRPr="00F97363">
              <w:rPr>
                <w:rFonts w:ascii="Arial" w:hAnsi="Arial" w:cs="Arial"/>
                <w:b/>
              </w:rPr>
              <w:t>Upper Limit</w:t>
            </w:r>
          </w:p>
        </w:tc>
        <w:tc>
          <w:tcPr>
            <w:tcW w:w="1417" w:type="dxa"/>
            <w:tcBorders>
              <w:top w:val="single" w:sz="4" w:space="0" w:color="auto"/>
              <w:left w:val="single" w:sz="4" w:space="0" w:color="auto"/>
              <w:bottom w:val="single" w:sz="4" w:space="0" w:color="auto"/>
              <w:right w:val="single" w:sz="4" w:space="0" w:color="auto"/>
            </w:tcBorders>
            <w:vAlign w:val="bottom"/>
          </w:tcPr>
          <w:p w14:paraId="32394327" w14:textId="77777777" w:rsidR="001634BE" w:rsidRPr="00F97363" w:rsidRDefault="001634BE" w:rsidP="00F64FC2">
            <w:pPr>
              <w:keepNext/>
              <w:keepLines/>
              <w:widowControl w:val="0"/>
              <w:jc w:val="center"/>
              <w:rPr>
                <w:rFonts w:ascii="Arial" w:hAnsi="Arial" w:cs="Arial"/>
                <w:b/>
              </w:rPr>
            </w:pPr>
            <w:r w:rsidRPr="00F97363">
              <w:rPr>
                <w:rFonts w:ascii="Arial" w:hAnsi="Arial" w:cs="Arial"/>
                <w:b/>
              </w:rPr>
              <w:t>Lower Limit</w:t>
            </w:r>
          </w:p>
        </w:tc>
        <w:tc>
          <w:tcPr>
            <w:tcW w:w="1417" w:type="dxa"/>
            <w:tcBorders>
              <w:top w:val="single" w:sz="4" w:space="0" w:color="auto"/>
              <w:left w:val="single" w:sz="4" w:space="0" w:color="auto"/>
              <w:bottom w:val="single" w:sz="4" w:space="0" w:color="auto"/>
              <w:right w:val="single" w:sz="4" w:space="0" w:color="auto"/>
            </w:tcBorders>
          </w:tcPr>
          <w:p w14:paraId="59D20CE7" w14:textId="77777777" w:rsidR="001634BE" w:rsidRPr="00F97363" w:rsidRDefault="001634BE" w:rsidP="00F64FC2">
            <w:pPr>
              <w:keepNext/>
              <w:keepLines/>
              <w:widowControl w:val="0"/>
              <w:jc w:val="right"/>
              <w:rPr>
                <w:rFonts w:ascii="Arial" w:hAnsi="Arial" w:cs="Arial"/>
                <w:b/>
              </w:rPr>
            </w:pPr>
            <w:r w:rsidRPr="00F97363">
              <w:rPr>
                <w:rFonts w:ascii="Arial" w:hAnsi="Arial" w:cs="Arial"/>
                <w:b/>
              </w:rPr>
              <w:t>Complied</w:t>
            </w:r>
          </w:p>
        </w:tc>
      </w:tr>
      <w:tr w:rsidR="000A0958" w:rsidRPr="00F97363" w14:paraId="1B21A893" w14:textId="77777777" w:rsidTr="00AC502A">
        <w:trPr>
          <w:trHeight w:val="340"/>
          <w:jc w:val="center"/>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152F9BC3" w14:textId="77777777" w:rsidR="000A0958" w:rsidRPr="00F97363" w:rsidRDefault="000A0958" w:rsidP="000A0958">
            <w:pPr>
              <w:keepNext/>
              <w:keepLines/>
              <w:widowControl w:val="0"/>
              <w:rPr>
                <w:rFonts w:ascii="Arial" w:hAnsi="Arial" w:cs="Arial"/>
                <w:bCs/>
              </w:rPr>
            </w:pPr>
            <w:r w:rsidRPr="00F97363">
              <w:rPr>
                <w:rFonts w:ascii="Arial" w:hAnsi="Arial" w:cs="Arial"/>
                <w:bCs/>
              </w:rPr>
              <w:t>Under 12 months</w:t>
            </w:r>
          </w:p>
        </w:tc>
        <w:tc>
          <w:tcPr>
            <w:tcW w:w="1417" w:type="dxa"/>
            <w:tcBorders>
              <w:top w:val="single" w:sz="4" w:space="0" w:color="auto"/>
              <w:left w:val="single" w:sz="4" w:space="0" w:color="auto"/>
              <w:bottom w:val="single" w:sz="4" w:space="0" w:color="auto"/>
              <w:right w:val="single" w:sz="4" w:space="0" w:color="auto"/>
            </w:tcBorders>
            <w:vAlign w:val="center"/>
          </w:tcPr>
          <w:p w14:paraId="5E77432E" w14:textId="7D07C30C" w:rsidR="000A0958" w:rsidRPr="00F97363" w:rsidRDefault="000A0958" w:rsidP="000A0958">
            <w:pPr>
              <w:keepNext/>
              <w:keepLines/>
              <w:widowControl w:val="0"/>
              <w:jc w:val="center"/>
              <w:rPr>
                <w:rFonts w:ascii="Arial" w:hAnsi="Arial" w:cs="Arial"/>
              </w:rPr>
            </w:pPr>
            <w:r>
              <w:rPr>
                <w:rFonts w:ascii="Arial" w:hAnsi="Arial" w:cs="Arial"/>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593685" w14:textId="2DD2B0FA" w:rsidR="000A0958" w:rsidRPr="00F97363" w:rsidRDefault="000A0958" w:rsidP="000A0958">
            <w:pPr>
              <w:keepNext/>
              <w:keepLines/>
              <w:widowControl w:val="0"/>
              <w:jc w:val="center"/>
              <w:rPr>
                <w:rFonts w:ascii="Arial" w:hAnsi="Arial" w:cs="Arial"/>
              </w:rPr>
            </w:pPr>
            <w:r>
              <w:rPr>
                <w:rFonts w:ascii="Arial" w:hAnsi="Arial" w:cs="Arial"/>
              </w:rPr>
              <w:t>50%</w:t>
            </w:r>
          </w:p>
        </w:tc>
        <w:tc>
          <w:tcPr>
            <w:tcW w:w="1417" w:type="dxa"/>
            <w:tcBorders>
              <w:top w:val="single" w:sz="4" w:space="0" w:color="auto"/>
              <w:left w:val="single" w:sz="4" w:space="0" w:color="auto"/>
              <w:bottom w:val="single" w:sz="4" w:space="0" w:color="auto"/>
              <w:right w:val="single" w:sz="4" w:space="0" w:color="auto"/>
            </w:tcBorders>
            <w:vAlign w:val="center"/>
          </w:tcPr>
          <w:p w14:paraId="198D5AFE" w14:textId="06DC25FD" w:rsidR="000A0958" w:rsidRPr="00F97363" w:rsidRDefault="000A0958" w:rsidP="000A0958">
            <w:pPr>
              <w:keepNext/>
              <w:keepLines/>
              <w:widowControl w:val="0"/>
              <w:jc w:val="center"/>
              <w:rPr>
                <w:rFonts w:ascii="Arial" w:hAnsi="Arial" w:cs="Arial"/>
              </w:rPr>
            </w:pPr>
            <w:r>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vAlign w:val="center"/>
          </w:tcPr>
          <w:p w14:paraId="5EE89179" w14:textId="77777777" w:rsidR="000A0958" w:rsidRPr="00F97363" w:rsidRDefault="000A0958" w:rsidP="000A0958">
            <w:pPr>
              <w:keepNext/>
              <w:keepLines/>
              <w:widowControl w:val="0"/>
              <w:numPr>
                <w:ilvl w:val="0"/>
                <w:numId w:val="4"/>
              </w:numPr>
              <w:jc w:val="center"/>
              <w:rPr>
                <w:rFonts w:ascii="Arial" w:hAnsi="Arial" w:cs="Arial"/>
              </w:rPr>
            </w:pPr>
          </w:p>
        </w:tc>
      </w:tr>
      <w:tr w:rsidR="000A0958" w:rsidRPr="00F97363" w14:paraId="0298A41D" w14:textId="77777777" w:rsidTr="00AC502A">
        <w:trPr>
          <w:trHeight w:val="340"/>
          <w:jc w:val="center"/>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754CCC2B" w14:textId="77777777" w:rsidR="000A0958" w:rsidRPr="00F97363" w:rsidRDefault="000A0958" w:rsidP="000A0958">
            <w:pPr>
              <w:keepLines/>
              <w:widowControl w:val="0"/>
              <w:rPr>
                <w:rFonts w:ascii="Arial" w:hAnsi="Arial" w:cs="Arial"/>
                <w:bCs/>
              </w:rPr>
            </w:pPr>
            <w:r w:rsidRPr="00F97363">
              <w:rPr>
                <w:rFonts w:ascii="Arial" w:hAnsi="Arial" w:cs="Arial"/>
                <w:bCs/>
              </w:rPr>
              <w:t>12 months and within 24 months</w:t>
            </w:r>
          </w:p>
        </w:tc>
        <w:tc>
          <w:tcPr>
            <w:tcW w:w="1417" w:type="dxa"/>
            <w:tcBorders>
              <w:top w:val="single" w:sz="4" w:space="0" w:color="auto"/>
              <w:left w:val="single" w:sz="4" w:space="0" w:color="auto"/>
              <w:bottom w:val="single" w:sz="4" w:space="0" w:color="auto"/>
              <w:right w:val="single" w:sz="4" w:space="0" w:color="auto"/>
            </w:tcBorders>
            <w:vAlign w:val="center"/>
          </w:tcPr>
          <w:p w14:paraId="1E417360" w14:textId="05ABD57E" w:rsidR="000A0958" w:rsidRPr="00F97363" w:rsidRDefault="000A0958" w:rsidP="000A0958">
            <w:pPr>
              <w:keepLines/>
              <w:widowControl w:val="0"/>
              <w:jc w:val="center"/>
              <w:rPr>
                <w:rFonts w:ascii="Arial" w:hAnsi="Arial" w:cs="Arial"/>
              </w:rPr>
            </w:pPr>
            <w:r>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F3F720" w14:textId="2C29FEB8" w:rsidR="000A0958" w:rsidRPr="00F97363" w:rsidRDefault="000A0958" w:rsidP="000A0958">
            <w:pPr>
              <w:keepLines/>
              <w:widowControl w:val="0"/>
              <w:jc w:val="center"/>
              <w:rPr>
                <w:rFonts w:ascii="Arial" w:hAnsi="Arial" w:cs="Arial"/>
              </w:rPr>
            </w:pPr>
            <w:r>
              <w:rPr>
                <w:rFonts w:ascii="Arial" w:hAnsi="Arial" w:cs="Arial"/>
              </w:rPr>
              <w:t>50%</w:t>
            </w:r>
          </w:p>
        </w:tc>
        <w:tc>
          <w:tcPr>
            <w:tcW w:w="1417" w:type="dxa"/>
            <w:tcBorders>
              <w:top w:val="single" w:sz="4" w:space="0" w:color="auto"/>
              <w:left w:val="single" w:sz="4" w:space="0" w:color="auto"/>
              <w:bottom w:val="single" w:sz="4" w:space="0" w:color="auto"/>
              <w:right w:val="single" w:sz="4" w:space="0" w:color="auto"/>
            </w:tcBorders>
            <w:vAlign w:val="center"/>
          </w:tcPr>
          <w:p w14:paraId="5D5C6AE1" w14:textId="621D984E" w:rsidR="000A0958" w:rsidRPr="00F97363" w:rsidRDefault="000A0958" w:rsidP="000A0958">
            <w:pPr>
              <w:keepLines/>
              <w:widowControl w:val="0"/>
              <w:jc w:val="center"/>
              <w:rPr>
                <w:rFonts w:ascii="Arial" w:hAnsi="Arial" w:cs="Arial"/>
              </w:rPr>
            </w:pPr>
            <w:r>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vAlign w:val="center"/>
          </w:tcPr>
          <w:p w14:paraId="3D7D14ED" w14:textId="77777777" w:rsidR="000A0958" w:rsidRPr="00F97363" w:rsidRDefault="000A0958" w:rsidP="000A0958">
            <w:pPr>
              <w:keepNext/>
              <w:keepLines/>
              <w:widowControl w:val="0"/>
              <w:numPr>
                <w:ilvl w:val="0"/>
                <w:numId w:val="4"/>
              </w:numPr>
              <w:jc w:val="center"/>
              <w:rPr>
                <w:rFonts w:ascii="Arial" w:hAnsi="Arial" w:cs="Arial"/>
              </w:rPr>
            </w:pPr>
          </w:p>
        </w:tc>
      </w:tr>
      <w:tr w:rsidR="000A0958" w:rsidRPr="00F97363" w14:paraId="37DBCB6A" w14:textId="77777777" w:rsidTr="00AC502A">
        <w:trPr>
          <w:trHeight w:val="340"/>
          <w:jc w:val="center"/>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34DCA21C" w14:textId="77777777" w:rsidR="000A0958" w:rsidRPr="00F97363" w:rsidRDefault="000A0958" w:rsidP="000A0958">
            <w:pPr>
              <w:keepLines/>
              <w:widowControl w:val="0"/>
              <w:rPr>
                <w:rFonts w:ascii="Arial" w:hAnsi="Arial" w:cs="Arial"/>
                <w:bCs/>
              </w:rPr>
            </w:pPr>
            <w:r w:rsidRPr="00F97363">
              <w:rPr>
                <w:rFonts w:ascii="Arial" w:hAnsi="Arial" w:cs="Arial"/>
                <w:bCs/>
              </w:rPr>
              <w:t>24 months and within 5 years</w:t>
            </w:r>
          </w:p>
        </w:tc>
        <w:tc>
          <w:tcPr>
            <w:tcW w:w="1417" w:type="dxa"/>
            <w:tcBorders>
              <w:top w:val="single" w:sz="4" w:space="0" w:color="auto"/>
              <w:left w:val="single" w:sz="4" w:space="0" w:color="auto"/>
              <w:bottom w:val="single" w:sz="4" w:space="0" w:color="auto"/>
              <w:right w:val="single" w:sz="4" w:space="0" w:color="auto"/>
            </w:tcBorders>
            <w:vAlign w:val="center"/>
          </w:tcPr>
          <w:p w14:paraId="0F43E125" w14:textId="66D071C3" w:rsidR="000A0958" w:rsidRPr="00F97363" w:rsidRDefault="000A0958" w:rsidP="000A0958">
            <w:pPr>
              <w:keepLines/>
              <w:widowControl w:val="0"/>
              <w:jc w:val="center"/>
              <w:rPr>
                <w:rFonts w:ascii="Arial" w:hAnsi="Arial" w:cs="Arial"/>
              </w:rPr>
            </w:pPr>
            <w:r>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1122C" w14:textId="65A929A4" w:rsidR="000A0958" w:rsidRPr="00F97363" w:rsidRDefault="000A0958" w:rsidP="000A0958">
            <w:pPr>
              <w:keepLines/>
              <w:widowControl w:val="0"/>
              <w:jc w:val="center"/>
              <w:rPr>
                <w:rFonts w:ascii="Arial" w:hAnsi="Arial" w:cs="Arial"/>
              </w:rPr>
            </w:pPr>
            <w:r>
              <w:rPr>
                <w:rFonts w:ascii="Arial" w:hAnsi="Arial" w:cs="Arial"/>
              </w:rPr>
              <w:t>50%</w:t>
            </w:r>
          </w:p>
        </w:tc>
        <w:tc>
          <w:tcPr>
            <w:tcW w:w="1417" w:type="dxa"/>
            <w:tcBorders>
              <w:top w:val="single" w:sz="4" w:space="0" w:color="auto"/>
              <w:left w:val="single" w:sz="4" w:space="0" w:color="auto"/>
              <w:bottom w:val="single" w:sz="4" w:space="0" w:color="auto"/>
              <w:right w:val="single" w:sz="4" w:space="0" w:color="auto"/>
            </w:tcBorders>
            <w:vAlign w:val="center"/>
          </w:tcPr>
          <w:p w14:paraId="21C2F1A3" w14:textId="25AF76AF" w:rsidR="000A0958" w:rsidRPr="00F97363" w:rsidRDefault="000A0958" w:rsidP="000A0958">
            <w:pPr>
              <w:keepLines/>
              <w:widowControl w:val="0"/>
              <w:jc w:val="center"/>
              <w:rPr>
                <w:rFonts w:ascii="Arial" w:hAnsi="Arial" w:cs="Arial"/>
              </w:rPr>
            </w:pPr>
            <w:r>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vAlign w:val="center"/>
          </w:tcPr>
          <w:p w14:paraId="4EBCB0E9" w14:textId="77777777" w:rsidR="000A0958" w:rsidRPr="00F97363" w:rsidRDefault="000A0958" w:rsidP="000A0958">
            <w:pPr>
              <w:keepNext/>
              <w:keepLines/>
              <w:widowControl w:val="0"/>
              <w:numPr>
                <w:ilvl w:val="0"/>
                <w:numId w:val="4"/>
              </w:numPr>
              <w:jc w:val="center"/>
              <w:rPr>
                <w:rFonts w:ascii="Arial" w:hAnsi="Arial" w:cs="Arial"/>
              </w:rPr>
            </w:pPr>
          </w:p>
        </w:tc>
      </w:tr>
      <w:tr w:rsidR="000A0958" w:rsidRPr="00F97363" w14:paraId="5626179E" w14:textId="77777777" w:rsidTr="00AC502A">
        <w:trPr>
          <w:trHeight w:val="340"/>
          <w:jc w:val="center"/>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06176326" w14:textId="77777777" w:rsidR="000A0958" w:rsidRPr="00F97363" w:rsidRDefault="000A0958" w:rsidP="000A0958">
            <w:pPr>
              <w:keepLines/>
              <w:widowControl w:val="0"/>
              <w:rPr>
                <w:rFonts w:ascii="Arial" w:hAnsi="Arial" w:cs="Arial"/>
                <w:bCs/>
              </w:rPr>
            </w:pPr>
            <w:r w:rsidRPr="00F97363">
              <w:rPr>
                <w:rFonts w:ascii="Arial" w:hAnsi="Arial" w:cs="Arial"/>
                <w:bCs/>
              </w:rPr>
              <w:t>5 years and within 10 years</w:t>
            </w:r>
          </w:p>
        </w:tc>
        <w:tc>
          <w:tcPr>
            <w:tcW w:w="1417" w:type="dxa"/>
            <w:tcBorders>
              <w:top w:val="single" w:sz="4" w:space="0" w:color="auto"/>
              <w:left w:val="single" w:sz="4" w:space="0" w:color="auto"/>
              <w:bottom w:val="single" w:sz="4" w:space="0" w:color="auto"/>
              <w:right w:val="single" w:sz="4" w:space="0" w:color="auto"/>
            </w:tcBorders>
            <w:vAlign w:val="center"/>
          </w:tcPr>
          <w:p w14:paraId="4A4360C7" w14:textId="6E4A74F7" w:rsidR="000A0958" w:rsidRPr="00F97363" w:rsidRDefault="000A0958" w:rsidP="000A0958">
            <w:pPr>
              <w:keepLines/>
              <w:widowControl w:val="0"/>
              <w:jc w:val="center"/>
              <w:rPr>
                <w:rFonts w:ascii="Arial" w:hAnsi="Arial" w:cs="Arial"/>
              </w:rPr>
            </w:pPr>
            <w:r>
              <w:rPr>
                <w:rFonts w:ascii="Arial" w:hAnsi="Arial" w:cs="Arial"/>
              </w:rPr>
              <w:t>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E48012" w14:textId="397611D4" w:rsidR="000A0958" w:rsidRPr="00F97363" w:rsidRDefault="000A0958" w:rsidP="000A0958">
            <w:pPr>
              <w:keepLines/>
              <w:widowControl w:val="0"/>
              <w:jc w:val="center"/>
              <w:rPr>
                <w:rFonts w:ascii="Arial" w:hAnsi="Arial" w:cs="Arial"/>
              </w:rPr>
            </w:pPr>
            <w:r>
              <w:rPr>
                <w:rFonts w:ascii="Arial" w:hAnsi="Arial" w:cs="Arial"/>
              </w:rPr>
              <w:t>75%</w:t>
            </w:r>
          </w:p>
        </w:tc>
        <w:tc>
          <w:tcPr>
            <w:tcW w:w="1417" w:type="dxa"/>
            <w:tcBorders>
              <w:top w:val="single" w:sz="4" w:space="0" w:color="auto"/>
              <w:left w:val="single" w:sz="4" w:space="0" w:color="auto"/>
              <w:bottom w:val="single" w:sz="4" w:space="0" w:color="auto"/>
              <w:right w:val="single" w:sz="4" w:space="0" w:color="auto"/>
            </w:tcBorders>
            <w:vAlign w:val="center"/>
          </w:tcPr>
          <w:p w14:paraId="7A11FAD7" w14:textId="0196D3A7" w:rsidR="000A0958" w:rsidRPr="00F97363" w:rsidRDefault="000A0958" w:rsidP="000A0958">
            <w:pPr>
              <w:keepLines/>
              <w:widowControl w:val="0"/>
              <w:jc w:val="center"/>
              <w:rPr>
                <w:rFonts w:ascii="Arial" w:hAnsi="Arial" w:cs="Arial"/>
              </w:rPr>
            </w:pPr>
            <w:r>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vAlign w:val="center"/>
          </w:tcPr>
          <w:p w14:paraId="1ED1152D" w14:textId="77777777" w:rsidR="000A0958" w:rsidRPr="00F97363" w:rsidRDefault="000A0958" w:rsidP="000A0958">
            <w:pPr>
              <w:keepNext/>
              <w:keepLines/>
              <w:widowControl w:val="0"/>
              <w:numPr>
                <w:ilvl w:val="0"/>
                <w:numId w:val="4"/>
              </w:numPr>
              <w:jc w:val="center"/>
              <w:rPr>
                <w:rFonts w:ascii="Arial" w:hAnsi="Arial" w:cs="Arial"/>
              </w:rPr>
            </w:pPr>
          </w:p>
        </w:tc>
      </w:tr>
      <w:tr w:rsidR="000A0958" w:rsidRPr="00F97363" w14:paraId="35A838AF" w14:textId="77777777" w:rsidTr="00AC502A">
        <w:trPr>
          <w:trHeight w:val="340"/>
          <w:jc w:val="center"/>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0E64F20D" w14:textId="77777777" w:rsidR="000A0958" w:rsidRPr="00F97363" w:rsidRDefault="000A0958" w:rsidP="000A0958">
            <w:pPr>
              <w:keepLines/>
              <w:widowControl w:val="0"/>
              <w:rPr>
                <w:rFonts w:ascii="Arial" w:hAnsi="Arial" w:cs="Arial"/>
                <w:bCs/>
              </w:rPr>
            </w:pPr>
            <w:r w:rsidRPr="00F97363">
              <w:rPr>
                <w:rFonts w:ascii="Arial" w:hAnsi="Arial" w:cs="Arial"/>
                <w:bCs/>
              </w:rPr>
              <w:t>10 years and within 20 years</w:t>
            </w:r>
          </w:p>
        </w:tc>
        <w:tc>
          <w:tcPr>
            <w:tcW w:w="1417" w:type="dxa"/>
            <w:tcBorders>
              <w:top w:val="single" w:sz="4" w:space="0" w:color="auto"/>
              <w:left w:val="single" w:sz="4" w:space="0" w:color="auto"/>
              <w:bottom w:val="single" w:sz="4" w:space="0" w:color="auto"/>
              <w:right w:val="single" w:sz="4" w:space="0" w:color="auto"/>
            </w:tcBorders>
            <w:vAlign w:val="center"/>
          </w:tcPr>
          <w:p w14:paraId="51A6948B" w14:textId="15BB4F75" w:rsidR="000A0958" w:rsidRPr="00F97363" w:rsidRDefault="000A0958" w:rsidP="000A0958">
            <w:pPr>
              <w:keepLines/>
              <w:widowControl w:val="0"/>
              <w:jc w:val="center"/>
              <w:rPr>
                <w:rFonts w:ascii="Arial" w:hAnsi="Arial" w:cs="Arial"/>
              </w:rPr>
            </w:pPr>
            <w:r>
              <w:rPr>
                <w:rFonts w:ascii="Arial" w:hAnsi="Arial" w:cs="Arial"/>
              </w:rPr>
              <w:t>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D7EB2" w14:textId="4DE3EF77" w:rsidR="000A0958" w:rsidRPr="00F97363" w:rsidRDefault="000A0958" w:rsidP="000A0958">
            <w:pPr>
              <w:keepLines/>
              <w:widowControl w:val="0"/>
              <w:jc w:val="center"/>
              <w:rPr>
                <w:rFonts w:ascii="Arial" w:hAnsi="Arial" w:cs="Arial"/>
              </w:rPr>
            </w:pPr>
            <w:r>
              <w:rPr>
                <w:rFonts w:ascii="Arial" w:hAnsi="Arial" w:cs="Arial"/>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7B126992" w14:textId="3C669404" w:rsidR="000A0958" w:rsidRPr="00F97363" w:rsidRDefault="000A0958" w:rsidP="000A0958">
            <w:pPr>
              <w:keepLines/>
              <w:widowControl w:val="0"/>
              <w:jc w:val="center"/>
              <w:rPr>
                <w:rFonts w:ascii="Arial" w:hAnsi="Arial" w:cs="Arial"/>
              </w:rPr>
            </w:pPr>
            <w:r>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vAlign w:val="center"/>
          </w:tcPr>
          <w:p w14:paraId="0C69106F" w14:textId="77777777" w:rsidR="000A0958" w:rsidRPr="00F97363" w:rsidRDefault="000A0958" w:rsidP="000A0958">
            <w:pPr>
              <w:keepNext/>
              <w:keepLines/>
              <w:widowControl w:val="0"/>
              <w:numPr>
                <w:ilvl w:val="0"/>
                <w:numId w:val="4"/>
              </w:numPr>
              <w:jc w:val="center"/>
              <w:rPr>
                <w:rFonts w:ascii="Arial" w:hAnsi="Arial" w:cs="Arial"/>
              </w:rPr>
            </w:pPr>
          </w:p>
        </w:tc>
      </w:tr>
      <w:tr w:rsidR="000A0958" w:rsidRPr="00BA4271" w14:paraId="2FE37057" w14:textId="77777777" w:rsidTr="00AC502A">
        <w:trPr>
          <w:trHeight w:val="340"/>
          <w:jc w:val="center"/>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11935A8F" w14:textId="77777777" w:rsidR="000A0958" w:rsidRPr="00F97363" w:rsidRDefault="000A0958" w:rsidP="000A0958">
            <w:pPr>
              <w:keepLines/>
              <w:widowControl w:val="0"/>
              <w:rPr>
                <w:rFonts w:ascii="Arial" w:hAnsi="Arial" w:cs="Arial"/>
                <w:bCs/>
              </w:rPr>
            </w:pPr>
            <w:r w:rsidRPr="00F97363">
              <w:rPr>
                <w:rFonts w:ascii="Arial" w:hAnsi="Arial" w:cs="Arial"/>
                <w:bCs/>
              </w:rPr>
              <w:t>20 years and above</w:t>
            </w:r>
          </w:p>
        </w:tc>
        <w:tc>
          <w:tcPr>
            <w:tcW w:w="1417" w:type="dxa"/>
            <w:tcBorders>
              <w:top w:val="single" w:sz="4" w:space="0" w:color="auto"/>
              <w:left w:val="single" w:sz="4" w:space="0" w:color="auto"/>
              <w:bottom w:val="single" w:sz="4" w:space="0" w:color="auto"/>
              <w:right w:val="single" w:sz="4" w:space="0" w:color="auto"/>
            </w:tcBorders>
            <w:vAlign w:val="center"/>
          </w:tcPr>
          <w:p w14:paraId="5D05D047" w14:textId="46492F46" w:rsidR="000A0958" w:rsidRPr="00F97363" w:rsidRDefault="000A0958" w:rsidP="000A0958">
            <w:pPr>
              <w:keepLines/>
              <w:widowControl w:val="0"/>
              <w:jc w:val="center"/>
              <w:rPr>
                <w:rFonts w:ascii="Arial" w:hAnsi="Arial" w:cs="Arial"/>
              </w:rPr>
            </w:pPr>
            <w:r>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1413B4" w14:textId="00A777C3" w:rsidR="000A0958" w:rsidRPr="00F97363" w:rsidRDefault="000A0958" w:rsidP="000A0958">
            <w:pPr>
              <w:keepLines/>
              <w:widowControl w:val="0"/>
              <w:jc w:val="center"/>
              <w:rPr>
                <w:rFonts w:ascii="Arial" w:hAnsi="Arial" w:cs="Arial"/>
              </w:rPr>
            </w:pPr>
            <w:r>
              <w:rPr>
                <w:rFonts w:ascii="Arial" w:hAnsi="Arial" w:cs="Arial"/>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7444A70C" w14:textId="33AA1376" w:rsidR="000A0958" w:rsidRPr="00F97363" w:rsidRDefault="000A0958" w:rsidP="000A0958">
            <w:pPr>
              <w:keepLines/>
              <w:widowControl w:val="0"/>
              <w:jc w:val="center"/>
              <w:rPr>
                <w:rFonts w:ascii="Arial" w:hAnsi="Arial" w:cs="Arial"/>
              </w:rPr>
            </w:pPr>
            <w:r>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vAlign w:val="center"/>
          </w:tcPr>
          <w:p w14:paraId="08C95C37" w14:textId="77777777" w:rsidR="000A0958" w:rsidRPr="00F97363" w:rsidRDefault="000A0958" w:rsidP="000A0958">
            <w:pPr>
              <w:keepNext/>
              <w:keepLines/>
              <w:widowControl w:val="0"/>
              <w:numPr>
                <w:ilvl w:val="0"/>
                <w:numId w:val="4"/>
              </w:numPr>
              <w:jc w:val="center"/>
              <w:rPr>
                <w:rFonts w:ascii="Arial" w:hAnsi="Arial" w:cs="Arial"/>
              </w:rPr>
            </w:pPr>
          </w:p>
        </w:tc>
      </w:tr>
    </w:tbl>
    <w:p w14:paraId="43598296" w14:textId="77777777" w:rsidR="001634BE" w:rsidRPr="00BA4271" w:rsidRDefault="001634BE" w:rsidP="00365448">
      <w:pPr>
        <w:pStyle w:val="ListParagraph"/>
        <w:spacing w:after="240"/>
        <w:rPr>
          <w:rFonts w:ascii="Arial" w:hAnsi="Arial" w:cs="Arial"/>
          <w:b/>
          <w:highlight w:val="yellow"/>
        </w:rPr>
      </w:pPr>
    </w:p>
    <w:p w14:paraId="5BF38B2F" w14:textId="14EE557B" w:rsidR="00365448" w:rsidRPr="005C38BC" w:rsidRDefault="00CB57DA" w:rsidP="00365448">
      <w:pPr>
        <w:pStyle w:val="ListParagraph"/>
        <w:spacing w:after="240"/>
        <w:rPr>
          <w:rFonts w:ascii="Arial" w:hAnsi="Arial" w:cs="Arial"/>
          <w:b/>
        </w:rPr>
      </w:pPr>
      <w:r>
        <w:rPr>
          <w:rFonts w:ascii="Arial" w:hAnsi="Arial" w:cs="Arial"/>
          <w:b/>
        </w:rPr>
        <w:t>Long-term Treasury Management Investments</w:t>
      </w:r>
    </w:p>
    <w:p w14:paraId="292F69FC" w14:textId="1651F992" w:rsidR="005F19D8" w:rsidRPr="005C38BC" w:rsidRDefault="005F19D8" w:rsidP="003C3808">
      <w:pPr>
        <w:pStyle w:val="ListParagraph"/>
        <w:numPr>
          <w:ilvl w:val="1"/>
          <w:numId w:val="2"/>
        </w:numPr>
        <w:spacing w:after="240"/>
        <w:ind w:left="720" w:hanging="720"/>
        <w:rPr>
          <w:rFonts w:ascii="Arial" w:hAnsi="Arial" w:cs="Arial"/>
        </w:rPr>
      </w:pPr>
      <w:r w:rsidRPr="005C38BC">
        <w:rPr>
          <w:rFonts w:ascii="Arial" w:hAnsi="Arial" w:cs="Arial"/>
        </w:rPr>
        <w:t xml:space="preserve">The purpose of this indicator is to control the </w:t>
      </w:r>
      <w:r w:rsidR="00365448" w:rsidRPr="005C38BC">
        <w:rPr>
          <w:rFonts w:ascii="Arial" w:hAnsi="Arial" w:cs="Arial"/>
        </w:rPr>
        <w:t>PCC</w:t>
      </w:r>
      <w:r w:rsidRPr="005C38BC">
        <w:rPr>
          <w:rFonts w:ascii="Arial" w:hAnsi="Arial" w:cs="Arial"/>
        </w:rPr>
        <w:t>’s exposure to the risk of incurring losses by seeking early repayment of its investments.</w:t>
      </w:r>
      <w:r w:rsidR="00AD07AA" w:rsidRPr="005C38BC">
        <w:rPr>
          <w:rFonts w:ascii="Arial" w:hAnsi="Arial" w:cs="Arial"/>
        </w:rPr>
        <w:t xml:space="preserve">  The </w:t>
      </w:r>
      <w:r w:rsidR="00811632">
        <w:rPr>
          <w:rFonts w:ascii="Arial" w:hAnsi="Arial" w:cs="Arial"/>
        </w:rPr>
        <w:t>prudential</w:t>
      </w:r>
      <w:r w:rsidR="00AD07AA" w:rsidRPr="005C38BC">
        <w:rPr>
          <w:rFonts w:ascii="Arial" w:hAnsi="Arial" w:cs="Arial"/>
        </w:rPr>
        <w:t xml:space="preserve"> limits on the long-term </w:t>
      </w:r>
      <w:r w:rsidR="00811632">
        <w:rPr>
          <w:rFonts w:ascii="Arial" w:hAnsi="Arial" w:cs="Arial"/>
        </w:rPr>
        <w:t>treasury management limits are</w:t>
      </w:r>
      <w:r w:rsidR="00AD07AA" w:rsidRPr="005C38BC">
        <w:rPr>
          <w:rFonts w:ascii="Arial" w:hAnsi="Arial" w:cs="Arial"/>
        </w:rPr>
        <w:t>:</w:t>
      </w:r>
    </w:p>
    <w:tbl>
      <w:tblPr>
        <w:tblW w:w="10503" w:type="dxa"/>
        <w:jc w:val="center"/>
        <w:tblLayout w:type="fixed"/>
        <w:tblLook w:val="04A0" w:firstRow="1" w:lastRow="0" w:firstColumn="1" w:lastColumn="0" w:noHBand="0" w:noVBand="1"/>
      </w:tblPr>
      <w:tblGrid>
        <w:gridCol w:w="4835"/>
        <w:gridCol w:w="1417"/>
        <w:gridCol w:w="1417"/>
        <w:gridCol w:w="1417"/>
        <w:gridCol w:w="1417"/>
      </w:tblGrid>
      <w:tr w:rsidR="0018723F" w:rsidRPr="00F97363" w14:paraId="099E4C60" w14:textId="7DBE27EE" w:rsidTr="00AC502A">
        <w:trPr>
          <w:trHeight w:val="340"/>
          <w:jc w:val="center"/>
        </w:trPr>
        <w:tc>
          <w:tcPr>
            <w:tcW w:w="4835" w:type="dxa"/>
            <w:tcBorders>
              <w:top w:val="single" w:sz="4" w:space="0" w:color="auto"/>
              <w:left w:val="single" w:sz="4" w:space="0" w:color="auto"/>
              <w:bottom w:val="single" w:sz="4" w:space="0" w:color="auto"/>
              <w:right w:val="single" w:sz="4" w:space="0" w:color="auto"/>
            </w:tcBorders>
            <w:shd w:val="clear" w:color="auto" w:fill="auto"/>
          </w:tcPr>
          <w:p w14:paraId="072C5F99" w14:textId="61E01E1E" w:rsidR="0018723F" w:rsidRPr="00F97363" w:rsidRDefault="0018723F" w:rsidP="0018723F">
            <w:pPr>
              <w:rPr>
                <w:rFonts w:ascii="Arial" w:hAnsi="Arial" w:cs="Arial"/>
                <w:b/>
              </w:rPr>
            </w:pPr>
            <w:r w:rsidRPr="00F97363">
              <w:rPr>
                <w:rFonts w:ascii="Arial" w:hAnsi="Arial" w:cs="Arial"/>
                <w:b/>
              </w:rPr>
              <w:t xml:space="preserve">Table 11: </w:t>
            </w:r>
            <w:r w:rsidR="00811632">
              <w:rPr>
                <w:rFonts w:ascii="Arial" w:hAnsi="Arial" w:cs="Arial"/>
                <w:b/>
              </w:rPr>
              <w:t>Long-term Treasury Management Investments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5C2BA0" w14:textId="6DF05B0F" w:rsidR="0018723F" w:rsidRPr="00F97363" w:rsidRDefault="0018723F" w:rsidP="0018723F">
            <w:pPr>
              <w:jc w:val="center"/>
              <w:rPr>
                <w:rFonts w:ascii="Arial" w:hAnsi="Arial" w:cs="Arial"/>
                <w:b/>
              </w:rPr>
            </w:pPr>
            <w:r w:rsidRPr="00F97363">
              <w:rPr>
                <w:rFonts w:ascii="Arial" w:hAnsi="Arial" w:cs="Arial"/>
                <w:b/>
              </w:rPr>
              <w:t>2023/24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027810" w14:textId="38E23973" w:rsidR="0018723F" w:rsidRPr="00F97363" w:rsidRDefault="0018723F" w:rsidP="0018723F">
            <w:pPr>
              <w:jc w:val="center"/>
              <w:rPr>
                <w:rFonts w:ascii="Arial" w:hAnsi="Arial" w:cs="Arial"/>
                <w:b/>
              </w:rPr>
            </w:pPr>
            <w:r>
              <w:rPr>
                <w:rFonts w:ascii="Arial" w:hAnsi="Arial" w:cs="Arial"/>
                <w:b/>
              </w:rPr>
              <w:t>2024/25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C4B69D" w14:textId="1D5789F1" w:rsidR="0018723F" w:rsidRPr="00F97363" w:rsidRDefault="0018723F" w:rsidP="0018723F">
            <w:pPr>
              <w:jc w:val="center"/>
              <w:rPr>
                <w:rFonts w:ascii="Arial" w:hAnsi="Arial" w:cs="Arial"/>
                <w:b/>
              </w:rPr>
            </w:pPr>
            <w:r>
              <w:rPr>
                <w:rFonts w:ascii="Arial" w:hAnsi="Arial" w:cs="Arial"/>
                <w:b/>
              </w:rPr>
              <w:t>2025/26</w:t>
            </w:r>
          </w:p>
        </w:tc>
        <w:tc>
          <w:tcPr>
            <w:tcW w:w="1417" w:type="dxa"/>
            <w:tcBorders>
              <w:top w:val="single" w:sz="4" w:space="0" w:color="auto"/>
              <w:left w:val="single" w:sz="4" w:space="0" w:color="auto"/>
              <w:bottom w:val="single" w:sz="4" w:space="0" w:color="auto"/>
              <w:right w:val="single" w:sz="4" w:space="0" w:color="auto"/>
            </w:tcBorders>
          </w:tcPr>
          <w:p w14:paraId="030EDFB5" w14:textId="1C341664" w:rsidR="0018723F" w:rsidRDefault="0018723F" w:rsidP="0018723F">
            <w:pPr>
              <w:jc w:val="center"/>
              <w:rPr>
                <w:rFonts w:ascii="Arial" w:hAnsi="Arial" w:cs="Arial"/>
                <w:b/>
              </w:rPr>
            </w:pPr>
            <w:r>
              <w:rPr>
                <w:rFonts w:ascii="Arial" w:hAnsi="Arial" w:cs="Arial"/>
                <w:b/>
              </w:rPr>
              <w:t>No fixed date</w:t>
            </w:r>
          </w:p>
        </w:tc>
      </w:tr>
      <w:tr w:rsidR="0018723F" w:rsidRPr="00F97363" w14:paraId="2947C371" w14:textId="37BAB410" w:rsidTr="00AC502A">
        <w:trPr>
          <w:trHeight w:val="340"/>
          <w:jc w:val="cent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18E4C037" w14:textId="77777777" w:rsidR="0018723F" w:rsidRPr="00F97363" w:rsidRDefault="0018723F" w:rsidP="00B41031">
            <w:pPr>
              <w:rPr>
                <w:rFonts w:ascii="Arial" w:hAnsi="Arial" w:cs="Arial"/>
                <w:bCs/>
              </w:rPr>
            </w:pPr>
            <w:r w:rsidRPr="00F97363">
              <w:rPr>
                <w:rFonts w:ascii="Arial" w:hAnsi="Arial" w:cs="Arial"/>
                <w:bCs/>
              </w:rPr>
              <w:t>Actual principal invested beyond year end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AEC072" w14:textId="1B4DA09D" w:rsidR="0018723F" w:rsidRPr="00F97363" w:rsidRDefault="0018723F" w:rsidP="00623235">
            <w:pPr>
              <w:jc w:val="center"/>
              <w:rPr>
                <w:rFonts w:ascii="Arial" w:hAnsi="Arial" w:cs="Arial"/>
                <w:bCs/>
              </w:rPr>
            </w:pPr>
            <w:r w:rsidRPr="00F97363">
              <w:rPr>
                <w:rFonts w:ascii="Arial" w:hAnsi="Arial" w:cs="Arial"/>
                <w:bCs/>
              </w:rPr>
              <w:t>£</w:t>
            </w:r>
            <w:r w:rsidR="000A0958">
              <w:rPr>
                <w:rFonts w:ascii="Arial" w:hAnsi="Arial" w:cs="Arial"/>
                <w:bCs/>
              </w:rPr>
              <w:t>24</w:t>
            </w:r>
            <w:r w:rsidRPr="00F97363">
              <w:rPr>
                <w:rFonts w:ascii="Arial" w:hAnsi="Arial" w:cs="Arial"/>
                <w:bCs/>
              </w:rP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198D50" w14:textId="0C177317" w:rsidR="0018723F" w:rsidRPr="00F97363" w:rsidRDefault="0018723F" w:rsidP="00623235">
            <w:pPr>
              <w:jc w:val="center"/>
              <w:rPr>
                <w:rFonts w:ascii="Arial" w:hAnsi="Arial" w:cs="Arial"/>
                <w:bCs/>
              </w:rPr>
            </w:pPr>
            <w:r w:rsidRPr="00F97363">
              <w:rPr>
                <w:rFonts w:ascii="Arial" w:hAnsi="Arial" w:cs="Arial"/>
                <w:bCs/>
              </w:rPr>
              <w:t>£1</w:t>
            </w:r>
            <w:r w:rsidR="000A0958">
              <w:rPr>
                <w:rFonts w:ascii="Arial" w:hAnsi="Arial" w:cs="Arial"/>
                <w:bCs/>
              </w:rPr>
              <w:t>0</w:t>
            </w:r>
            <w:r w:rsidRPr="00F97363">
              <w:rPr>
                <w:rFonts w:ascii="Arial" w:hAnsi="Arial" w:cs="Arial"/>
                <w:bCs/>
              </w:rP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4EFCDF" w14:textId="7AA6FAD7" w:rsidR="0018723F" w:rsidRPr="00F97363" w:rsidRDefault="0018723F" w:rsidP="00623235">
            <w:pPr>
              <w:jc w:val="center"/>
              <w:rPr>
                <w:rFonts w:ascii="Arial" w:hAnsi="Arial" w:cs="Arial"/>
                <w:bCs/>
              </w:rPr>
            </w:pPr>
            <w:r w:rsidRPr="00F97363">
              <w:rPr>
                <w:rFonts w:ascii="Arial" w:hAnsi="Arial" w:cs="Arial"/>
                <w:bCs/>
              </w:rPr>
              <w:t>£1</w:t>
            </w:r>
            <w:r w:rsidR="000A0958">
              <w:rPr>
                <w:rFonts w:ascii="Arial" w:hAnsi="Arial" w:cs="Arial"/>
                <w:bCs/>
              </w:rPr>
              <w:t>0</w:t>
            </w:r>
            <w:r w:rsidRPr="00F97363">
              <w:rPr>
                <w:rFonts w:ascii="Arial" w:hAnsi="Arial" w:cs="Arial"/>
                <w:bCs/>
              </w:rPr>
              <w:t>m</w:t>
            </w:r>
          </w:p>
        </w:tc>
        <w:tc>
          <w:tcPr>
            <w:tcW w:w="1417" w:type="dxa"/>
            <w:tcBorders>
              <w:top w:val="single" w:sz="4" w:space="0" w:color="auto"/>
              <w:left w:val="single" w:sz="4" w:space="0" w:color="auto"/>
              <w:bottom w:val="single" w:sz="4" w:space="0" w:color="auto"/>
              <w:right w:val="single" w:sz="4" w:space="0" w:color="auto"/>
            </w:tcBorders>
          </w:tcPr>
          <w:p w14:paraId="109A884E" w14:textId="71F4AC8E" w:rsidR="0018723F" w:rsidRPr="00F97363" w:rsidRDefault="000A0958" w:rsidP="00623235">
            <w:pPr>
              <w:jc w:val="center"/>
              <w:rPr>
                <w:rFonts w:ascii="Arial" w:hAnsi="Arial" w:cs="Arial"/>
                <w:bCs/>
              </w:rPr>
            </w:pPr>
            <w:r>
              <w:rPr>
                <w:rFonts w:ascii="Arial" w:hAnsi="Arial" w:cs="Arial"/>
                <w:bCs/>
              </w:rPr>
              <w:t>£5m</w:t>
            </w:r>
          </w:p>
        </w:tc>
      </w:tr>
      <w:tr w:rsidR="00131ACF" w:rsidRPr="00F97363" w14:paraId="00E39E94" w14:textId="7BE38BD9" w:rsidTr="00AC502A">
        <w:trPr>
          <w:trHeight w:val="340"/>
          <w:jc w:val="cent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1218404" w14:textId="77777777" w:rsidR="00131ACF" w:rsidRPr="00F97363" w:rsidRDefault="00131ACF" w:rsidP="00131ACF">
            <w:pPr>
              <w:rPr>
                <w:rFonts w:ascii="Arial" w:hAnsi="Arial" w:cs="Arial"/>
                <w:bCs/>
              </w:rPr>
            </w:pPr>
            <w:r w:rsidRPr="00F97363">
              <w:rPr>
                <w:rFonts w:ascii="Arial" w:hAnsi="Arial" w:cs="Arial"/>
                <w:bCs/>
              </w:rPr>
              <w:t>Limit on principal invested beyond year end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D26F9C" w14:textId="3CC6B9A0" w:rsidR="00131ACF" w:rsidRPr="00F97363" w:rsidRDefault="00131ACF" w:rsidP="00131ACF">
            <w:pPr>
              <w:jc w:val="center"/>
              <w:rPr>
                <w:rFonts w:ascii="Arial" w:hAnsi="Arial" w:cs="Arial"/>
                <w:bCs/>
              </w:rPr>
            </w:pPr>
            <w:r>
              <w:rPr>
                <w:rFonts w:ascii="Arial" w:hAnsi="Arial" w:cs="Arial"/>
              </w:rPr>
              <w:t>£45m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108B90" w14:textId="7F4BBD7F" w:rsidR="00131ACF" w:rsidRPr="00F97363" w:rsidRDefault="00131ACF" w:rsidP="00131ACF">
            <w:pPr>
              <w:jc w:val="center"/>
              <w:rPr>
                <w:rFonts w:ascii="Arial" w:hAnsi="Arial" w:cs="Arial"/>
                <w:bCs/>
              </w:rPr>
            </w:pPr>
            <w:r>
              <w:rPr>
                <w:rFonts w:ascii="Arial" w:hAnsi="Arial" w:cs="Arial"/>
              </w:rPr>
              <w:t>£45m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C6EFA1" w14:textId="5FDB1A87" w:rsidR="00131ACF" w:rsidRPr="00F97363" w:rsidRDefault="00131ACF" w:rsidP="00131ACF">
            <w:pPr>
              <w:jc w:val="center"/>
              <w:rPr>
                <w:rFonts w:ascii="Arial" w:hAnsi="Arial" w:cs="Arial"/>
                <w:bCs/>
              </w:rPr>
            </w:pPr>
            <w:r>
              <w:rPr>
                <w:rFonts w:ascii="Arial" w:hAnsi="Arial" w:cs="Arial"/>
              </w:rPr>
              <w:t>£45m</w:t>
            </w:r>
          </w:p>
        </w:tc>
        <w:tc>
          <w:tcPr>
            <w:tcW w:w="1417" w:type="dxa"/>
            <w:tcBorders>
              <w:top w:val="single" w:sz="4" w:space="0" w:color="auto"/>
              <w:left w:val="single" w:sz="4" w:space="0" w:color="auto"/>
              <w:bottom w:val="single" w:sz="4" w:space="0" w:color="auto"/>
              <w:right w:val="single" w:sz="4" w:space="0" w:color="auto"/>
            </w:tcBorders>
            <w:vAlign w:val="center"/>
          </w:tcPr>
          <w:p w14:paraId="6379095A" w14:textId="55557336" w:rsidR="00131ACF" w:rsidRPr="00F97363" w:rsidRDefault="00131ACF" w:rsidP="00131ACF">
            <w:pPr>
              <w:jc w:val="center"/>
              <w:rPr>
                <w:rFonts w:ascii="Arial" w:hAnsi="Arial" w:cs="Arial"/>
                <w:bCs/>
              </w:rPr>
            </w:pPr>
            <w:r>
              <w:rPr>
                <w:rFonts w:ascii="Arial" w:hAnsi="Arial" w:cs="Arial"/>
              </w:rPr>
              <w:t>£5m</w:t>
            </w:r>
          </w:p>
        </w:tc>
      </w:tr>
      <w:tr w:rsidR="0018723F" w:rsidRPr="00BA4271" w14:paraId="4CF4EF6C" w14:textId="58D369F4" w:rsidTr="00AC502A">
        <w:trPr>
          <w:trHeight w:val="340"/>
          <w:jc w:val="cent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74731E3" w14:textId="77777777" w:rsidR="0018723F" w:rsidRPr="00F97363" w:rsidRDefault="0018723F" w:rsidP="00BA4E55">
            <w:pPr>
              <w:rPr>
                <w:rFonts w:ascii="Arial" w:hAnsi="Arial" w:cs="Arial"/>
                <w:bCs/>
              </w:rPr>
            </w:pPr>
            <w:r w:rsidRPr="00F97363">
              <w:rPr>
                <w:rFonts w:ascii="Arial" w:hAnsi="Arial" w:cs="Arial"/>
                <w:bCs/>
              </w:rPr>
              <w:t>Complied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51AC0E" w14:textId="77777777" w:rsidR="0018723F" w:rsidRPr="00F97363" w:rsidRDefault="0018723F" w:rsidP="002E3C4B">
            <w:pPr>
              <w:keepNext/>
              <w:keepLines/>
              <w:widowControl w:val="0"/>
              <w:numPr>
                <w:ilvl w:val="0"/>
                <w:numId w:val="3"/>
              </w:num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426B2D" w14:textId="77777777" w:rsidR="0018723F" w:rsidRPr="00F97363" w:rsidRDefault="0018723F" w:rsidP="002E3C4B">
            <w:pPr>
              <w:keepNext/>
              <w:keepLines/>
              <w:widowControl w:val="0"/>
              <w:numPr>
                <w:ilvl w:val="0"/>
                <w:numId w:val="3"/>
              </w:num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16923D" w14:textId="77777777" w:rsidR="0018723F" w:rsidRPr="00F97363" w:rsidRDefault="0018723F" w:rsidP="002E3C4B">
            <w:pPr>
              <w:keepNext/>
              <w:keepLines/>
              <w:widowControl w:val="0"/>
              <w:numPr>
                <w:ilvl w:val="0"/>
                <w:numId w:val="3"/>
              </w:num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19494A6" w14:textId="77777777" w:rsidR="0018723F" w:rsidRPr="00F97363" w:rsidRDefault="0018723F" w:rsidP="002E3C4B">
            <w:pPr>
              <w:keepNext/>
              <w:keepLines/>
              <w:widowControl w:val="0"/>
              <w:numPr>
                <w:ilvl w:val="0"/>
                <w:numId w:val="3"/>
              </w:numPr>
              <w:jc w:val="center"/>
              <w:rPr>
                <w:rFonts w:ascii="Arial" w:hAnsi="Arial" w:cs="Arial"/>
              </w:rPr>
            </w:pPr>
          </w:p>
        </w:tc>
      </w:tr>
    </w:tbl>
    <w:p w14:paraId="36E90CCC" w14:textId="77777777" w:rsidR="00804EDB" w:rsidRPr="005C38BC" w:rsidRDefault="00804EDB" w:rsidP="00804EDB">
      <w:pPr>
        <w:pStyle w:val="ListParagraph"/>
        <w:spacing w:after="240"/>
        <w:rPr>
          <w:rFonts w:ascii="Arial" w:hAnsi="Arial" w:cs="Arial"/>
        </w:rPr>
      </w:pPr>
    </w:p>
    <w:p w14:paraId="4611DAC2" w14:textId="79FC4CA2" w:rsidR="00F41044" w:rsidRPr="00F41044" w:rsidRDefault="00DE753B" w:rsidP="00657B22">
      <w:pPr>
        <w:pStyle w:val="ListParagraph"/>
        <w:numPr>
          <w:ilvl w:val="1"/>
          <w:numId w:val="2"/>
        </w:numPr>
        <w:spacing w:after="240"/>
        <w:ind w:left="720" w:hanging="720"/>
        <w:rPr>
          <w:rFonts w:ascii="Arial" w:hAnsi="Arial" w:cs="Arial"/>
        </w:rPr>
      </w:pPr>
      <w:r w:rsidRPr="00DE753B">
        <w:rPr>
          <w:rFonts w:ascii="Arial" w:hAnsi="Arial" w:cs="Arial"/>
        </w:rPr>
        <w:lastRenderedPageBreak/>
        <w:t>Long-term investments with no fixed maturity date include strategic pooled funds, real estate investment trusts and directly held equity but exclude money market funds and bank accounts with no fixed maturity date as these are considered short-term.</w:t>
      </w:r>
    </w:p>
    <w:sectPr w:rsidR="00F41044" w:rsidRPr="00F41044" w:rsidSect="008502E3">
      <w:headerReference w:type="default" r:id="rId15"/>
      <w:headerReference w:type="first" r:id="rId16"/>
      <w:pgSz w:w="11907" w:h="16840"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O'Rourke, Daniel" w:date="2024-05-10T10:01:00Z" w:initials="DO">
    <w:p w14:paraId="16C6D4B6" w14:textId="77777777" w:rsidR="006117B6" w:rsidRDefault="006117B6" w:rsidP="00C7638B">
      <w:pPr>
        <w:pStyle w:val="CommentText"/>
      </w:pPr>
      <w:r>
        <w:rPr>
          <w:rStyle w:val="CommentReference"/>
        </w:rPr>
        <w:annotationRef/>
      </w:r>
      <w:r>
        <w:t>Police to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C6D4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DB51B8" w16cex:dateUtc="2024-05-10T09:38:00Z"/>
  <w16cex:commentExtensible w16cex:durableId="2D75AE43" w16cex:dateUtc="2024-05-10T09:39:00Z"/>
  <w16cex:commentExtensible w16cex:durableId="78331A17" w16cex:dateUtc="2024-05-10T09:52:00Z"/>
  <w16cex:commentExtensible w16cex:durableId="5C1908E6" w16cex:dateUtc="2024-05-10T09:00:00Z"/>
  <w16cex:commentExtensible w16cex:durableId="6497C6B7" w16cex:dateUtc="2024-05-10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0DBE89" w16cid:durableId="60DB51B8"/>
  <w16cid:commentId w16cid:paraId="1957AC47" w16cid:durableId="2D75AE43"/>
  <w16cid:commentId w16cid:paraId="091DD935" w16cid:durableId="78331A17"/>
  <w16cid:commentId w16cid:paraId="0C337EA3" w16cid:durableId="5C1908E6"/>
  <w16cid:commentId w16cid:paraId="16C6D4B6" w16cid:durableId="6497C6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ADDA5" w14:textId="77777777" w:rsidR="006117B6" w:rsidRDefault="006117B6">
      <w:r>
        <w:separator/>
      </w:r>
    </w:p>
  </w:endnote>
  <w:endnote w:type="continuationSeparator" w:id="0">
    <w:p w14:paraId="03175F33" w14:textId="77777777" w:rsidR="006117B6" w:rsidRDefault="006117B6">
      <w:r>
        <w:continuationSeparator/>
      </w:r>
    </w:p>
  </w:endnote>
  <w:endnote w:type="continuationNotice" w:id="1">
    <w:p w14:paraId="059BCB70" w14:textId="77777777" w:rsidR="006117B6" w:rsidRDefault="00611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03D58" w14:textId="77777777" w:rsidR="006117B6" w:rsidRDefault="006117B6">
      <w:r>
        <w:separator/>
      </w:r>
    </w:p>
  </w:footnote>
  <w:footnote w:type="continuationSeparator" w:id="0">
    <w:p w14:paraId="150F950D" w14:textId="77777777" w:rsidR="006117B6" w:rsidRDefault="006117B6">
      <w:r>
        <w:continuationSeparator/>
      </w:r>
    </w:p>
  </w:footnote>
  <w:footnote w:type="continuationNotice" w:id="1">
    <w:p w14:paraId="4FD7D1C1" w14:textId="77777777" w:rsidR="006117B6" w:rsidRDefault="006117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66FF5" w14:textId="5816390A" w:rsidR="006117B6" w:rsidRDefault="006117B6" w:rsidP="00AC502A">
    <w:pPr>
      <w:pStyle w:val="Header"/>
      <w:ind w:left="360"/>
      <w:jc w:val="right"/>
      <w:rPr>
        <w:noProof/>
        <w:lang w:eastAsia="en-GB"/>
      </w:rPr>
    </w:pPr>
    <w:r>
      <w:rPr>
        <w:noProof/>
        <w:lang w:eastAsia="en-GB"/>
      </w:rPr>
      <w:drawing>
        <wp:inline distT="0" distB="0" distL="0" distR="0" wp14:anchorId="14B69119" wp14:editId="3AE91990">
          <wp:extent cx="1518285" cy="762000"/>
          <wp:effectExtent l="0" t="0" r="5715" b="0"/>
          <wp:docPr id="5" name="Picture 5" descr="A black and blue sign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blue sign with green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762000"/>
                  </a:xfrm>
                  <a:prstGeom prst="rect">
                    <a:avLst/>
                  </a:prstGeom>
                  <a:noFill/>
                </pic:spPr>
              </pic:pic>
            </a:graphicData>
          </a:graphic>
        </wp:inline>
      </w:drawing>
    </w:r>
  </w:p>
  <w:p w14:paraId="5E11CD5D" w14:textId="77777777" w:rsidR="006117B6" w:rsidRDefault="006117B6" w:rsidP="00AA0BC8">
    <w:pPr>
      <w:pStyle w:val="Header"/>
      <w:ind w:left="360"/>
      <w:jc w:val="center"/>
      <w:rPr>
        <w:noProof/>
        <w:lang w:eastAsia="en-GB"/>
      </w:rPr>
    </w:pPr>
  </w:p>
  <w:p w14:paraId="6C004DF0" w14:textId="77777777" w:rsidR="006117B6" w:rsidRDefault="006117B6" w:rsidP="00AA0BC8">
    <w:pPr>
      <w:pStyle w:val="Header"/>
      <w:ind w:left="360"/>
      <w:jc w:val="center"/>
    </w:pPr>
  </w:p>
  <w:p w14:paraId="62BAD244" w14:textId="77777777" w:rsidR="006117B6" w:rsidRDefault="006117B6" w:rsidP="00AA0BC8">
    <w:pPr>
      <w:pStyle w:val="Header"/>
      <w:ind w:left="360"/>
      <w:jc w:val="center"/>
    </w:pPr>
  </w:p>
  <w:p w14:paraId="34217211" w14:textId="77777777" w:rsidR="006117B6" w:rsidRDefault="006117B6" w:rsidP="001634BE">
    <w:pPr>
      <w:pStyle w:val="Header"/>
      <w:ind w:left="360"/>
      <w:jc w:val="center"/>
      <w:rPr>
        <w:rFonts w:ascii="Arial" w:hAnsi="Arial" w:cs="Arial"/>
      </w:rPr>
    </w:pPr>
    <w:r w:rsidRPr="00B23736">
      <w:rPr>
        <w:rFonts w:ascii="Arial" w:hAnsi="Arial" w:cs="Arial"/>
      </w:rPr>
      <w:t>- NOT PROTECTIVELY MARKED/PROTECT/RESTRICTED -</w:t>
    </w:r>
  </w:p>
  <w:p w14:paraId="0221B738" w14:textId="77777777" w:rsidR="006117B6" w:rsidRPr="00382A4E" w:rsidRDefault="006117B6" w:rsidP="00365448">
    <w:pPr>
      <w:pStyle w:val="Header"/>
      <w:ind w:left="360"/>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53C2" w14:textId="7F1006DA" w:rsidR="006117B6" w:rsidRDefault="006117B6" w:rsidP="0051299B">
    <w:pPr>
      <w:pStyle w:val="Header"/>
      <w:ind w:left="360"/>
      <w:jc w:val="right"/>
      <w:rPr>
        <w:rFonts w:ascii="Arial" w:hAnsi="Arial" w:cs="Arial"/>
      </w:rPr>
    </w:pPr>
    <w:r>
      <w:rPr>
        <w:noProof/>
        <w:lang w:eastAsia="en-GB"/>
      </w:rPr>
      <w:drawing>
        <wp:inline distT="0" distB="0" distL="0" distR="0" wp14:anchorId="5527190A" wp14:editId="17ED20CD">
          <wp:extent cx="2800350" cy="7874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056035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787400"/>
                  </a:xfrm>
                  <a:prstGeom prst="rect">
                    <a:avLst/>
                  </a:prstGeom>
                  <a:noFill/>
                  <a:ln>
                    <a:noFill/>
                  </a:ln>
                </pic:spPr>
              </pic:pic>
            </a:graphicData>
          </a:graphic>
        </wp:inline>
      </w:drawing>
    </w:r>
  </w:p>
  <w:p w14:paraId="01852A79" w14:textId="77777777" w:rsidR="006117B6" w:rsidRDefault="006117B6" w:rsidP="0051299B">
    <w:pPr>
      <w:pStyle w:val="Header"/>
      <w:ind w:left="360"/>
      <w:jc w:val="center"/>
      <w:rPr>
        <w:rFonts w:ascii="Arial" w:hAnsi="Arial" w:cs="Arial"/>
      </w:rPr>
    </w:pPr>
  </w:p>
  <w:p w14:paraId="6CBB1422" w14:textId="77777777" w:rsidR="006117B6" w:rsidRDefault="006117B6" w:rsidP="0051299B">
    <w:pPr>
      <w:pStyle w:val="Header"/>
      <w:ind w:left="360"/>
      <w:jc w:val="center"/>
      <w:rPr>
        <w:rFonts w:ascii="Arial" w:hAnsi="Arial" w:cs="Arial"/>
      </w:rPr>
    </w:pPr>
    <w:r>
      <w:rPr>
        <w:rFonts w:ascii="Arial" w:hAnsi="Arial" w:cs="Arial"/>
      </w:rPr>
      <w:t xml:space="preserve">- </w:t>
    </w:r>
    <w:r w:rsidRPr="00382A4E">
      <w:rPr>
        <w:rFonts w:ascii="Arial" w:hAnsi="Arial" w:cs="Arial"/>
      </w:rPr>
      <w:t>NOT PROTECTIVELY MARKED</w:t>
    </w:r>
    <w:r>
      <w:rPr>
        <w:rFonts w:ascii="Arial" w:hAnsi="Arial" w:cs="Arial"/>
      </w:rPr>
      <w:t>/PROTECT/RESTRICTED –</w:t>
    </w:r>
  </w:p>
  <w:p w14:paraId="600054B0" w14:textId="77777777" w:rsidR="006117B6" w:rsidRDefault="006117B6" w:rsidP="0051299B">
    <w:pPr>
      <w:pStyle w:val="Header"/>
      <w:ind w:left="360"/>
      <w:jc w:val="center"/>
      <w:rPr>
        <w:rFonts w:ascii="Arial" w:hAnsi="Arial" w:cs="Arial"/>
      </w:rPr>
    </w:pPr>
    <w:r>
      <w:rPr>
        <w:rFonts w:ascii="Arial" w:hAnsi="Arial" w:cs="Arial"/>
      </w:rPr>
      <w:tab/>
    </w:r>
    <w:r>
      <w:rPr>
        <w:rFonts w:ascii="Arial" w:hAnsi="Arial" w:cs="Arial"/>
      </w:rPr>
      <w:tab/>
      <w:t>Appendix 1</w:t>
    </w:r>
  </w:p>
  <w:p w14:paraId="07BDBE61" w14:textId="77777777" w:rsidR="006117B6" w:rsidRPr="00382A4E" w:rsidRDefault="006117B6" w:rsidP="0051299B">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79F"/>
    <w:multiLevelType w:val="hybridMultilevel"/>
    <w:tmpl w:val="A690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1075"/>
    <w:multiLevelType w:val="hybridMultilevel"/>
    <w:tmpl w:val="2F66C690"/>
    <w:lvl w:ilvl="0" w:tplc="EC32EF48">
      <w:start w:val="5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D93F98"/>
    <w:multiLevelType w:val="hybridMultilevel"/>
    <w:tmpl w:val="CE74D760"/>
    <w:lvl w:ilvl="0" w:tplc="8A26586A">
      <w:start w:val="2"/>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87BF7"/>
    <w:multiLevelType w:val="multilevel"/>
    <w:tmpl w:val="60F2B56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55A1B"/>
    <w:multiLevelType w:val="hybridMultilevel"/>
    <w:tmpl w:val="B380C31C"/>
    <w:lvl w:ilvl="0" w:tplc="8A26586A">
      <w:start w:val="2"/>
      <w:numFmt w:val="bullet"/>
      <w:lvlText w:val="-"/>
      <w:lvlJc w:val="left"/>
      <w:pPr>
        <w:ind w:left="720" w:hanging="360"/>
      </w:pPr>
      <w:rPr>
        <w:rFonts w:ascii="Trebuchet MS" w:eastAsia="Times New Roman" w:hAnsi="Trebuchet MS" w:cs="Arial" w:hint="default"/>
      </w:rPr>
    </w:lvl>
    <w:lvl w:ilvl="1" w:tplc="8A26586A">
      <w:start w:val="2"/>
      <w:numFmt w:val="bullet"/>
      <w:lvlText w:val="-"/>
      <w:lvlJc w:val="left"/>
      <w:pPr>
        <w:ind w:left="1440" w:hanging="360"/>
      </w:pPr>
      <w:rPr>
        <w:rFonts w:ascii="Trebuchet MS" w:eastAsia="Times New Roman" w:hAnsi="Trebuchet M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06D99"/>
    <w:multiLevelType w:val="hybridMultilevel"/>
    <w:tmpl w:val="D9B4547E"/>
    <w:lvl w:ilvl="0" w:tplc="3D36A7FC">
      <w:numFmt w:val="bullet"/>
      <w:lvlText w:val="-"/>
      <w:lvlJc w:val="left"/>
      <w:pPr>
        <w:ind w:left="-174" w:hanging="360"/>
      </w:pPr>
      <w:rPr>
        <w:rFonts w:ascii="Trebuchet MS" w:eastAsia="Times New Roman" w:hAnsi="Trebuchet MS" w:cs="Times New Roman" w:hint="default"/>
      </w:rPr>
    </w:lvl>
    <w:lvl w:ilvl="1" w:tplc="08090003" w:tentative="1">
      <w:start w:val="1"/>
      <w:numFmt w:val="bullet"/>
      <w:lvlText w:val="o"/>
      <w:lvlJc w:val="left"/>
      <w:pPr>
        <w:ind w:left="546" w:hanging="360"/>
      </w:pPr>
      <w:rPr>
        <w:rFonts w:ascii="Courier New" w:hAnsi="Courier New" w:cs="Courier New" w:hint="default"/>
      </w:rPr>
    </w:lvl>
    <w:lvl w:ilvl="2" w:tplc="08090005" w:tentative="1">
      <w:start w:val="1"/>
      <w:numFmt w:val="bullet"/>
      <w:lvlText w:val=""/>
      <w:lvlJc w:val="left"/>
      <w:pPr>
        <w:ind w:left="1266" w:hanging="360"/>
      </w:pPr>
      <w:rPr>
        <w:rFonts w:ascii="Wingdings" w:hAnsi="Wingdings" w:hint="default"/>
      </w:rPr>
    </w:lvl>
    <w:lvl w:ilvl="3" w:tplc="08090001" w:tentative="1">
      <w:start w:val="1"/>
      <w:numFmt w:val="bullet"/>
      <w:lvlText w:val=""/>
      <w:lvlJc w:val="left"/>
      <w:pPr>
        <w:ind w:left="1986" w:hanging="360"/>
      </w:pPr>
      <w:rPr>
        <w:rFonts w:ascii="Symbol" w:hAnsi="Symbol" w:hint="default"/>
      </w:rPr>
    </w:lvl>
    <w:lvl w:ilvl="4" w:tplc="08090003" w:tentative="1">
      <w:start w:val="1"/>
      <w:numFmt w:val="bullet"/>
      <w:lvlText w:val="o"/>
      <w:lvlJc w:val="left"/>
      <w:pPr>
        <w:ind w:left="2706" w:hanging="360"/>
      </w:pPr>
      <w:rPr>
        <w:rFonts w:ascii="Courier New" w:hAnsi="Courier New" w:cs="Courier New" w:hint="default"/>
      </w:rPr>
    </w:lvl>
    <w:lvl w:ilvl="5" w:tplc="08090005" w:tentative="1">
      <w:start w:val="1"/>
      <w:numFmt w:val="bullet"/>
      <w:lvlText w:val=""/>
      <w:lvlJc w:val="left"/>
      <w:pPr>
        <w:ind w:left="3426" w:hanging="360"/>
      </w:pPr>
      <w:rPr>
        <w:rFonts w:ascii="Wingdings" w:hAnsi="Wingdings" w:hint="default"/>
      </w:rPr>
    </w:lvl>
    <w:lvl w:ilvl="6" w:tplc="08090001" w:tentative="1">
      <w:start w:val="1"/>
      <w:numFmt w:val="bullet"/>
      <w:lvlText w:val=""/>
      <w:lvlJc w:val="left"/>
      <w:pPr>
        <w:ind w:left="4146" w:hanging="360"/>
      </w:pPr>
      <w:rPr>
        <w:rFonts w:ascii="Symbol" w:hAnsi="Symbol" w:hint="default"/>
      </w:rPr>
    </w:lvl>
    <w:lvl w:ilvl="7" w:tplc="08090003" w:tentative="1">
      <w:start w:val="1"/>
      <w:numFmt w:val="bullet"/>
      <w:lvlText w:val="o"/>
      <w:lvlJc w:val="left"/>
      <w:pPr>
        <w:ind w:left="4866" w:hanging="360"/>
      </w:pPr>
      <w:rPr>
        <w:rFonts w:ascii="Courier New" w:hAnsi="Courier New" w:cs="Courier New" w:hint="default"/>
      </w:rPr>
    </w:lvl>
    <w:lvl w:ilvl="8" w:tplc="08090005" w:tentative="1">
      <w:start w:val="1"/>
      <w:numFmt w:val="bullet"/>
      <w:lvlText w:val=""/>
      <w:lvlJc w:val="left"/>
      <w:pPr>
        <w:ind w:left="5586" w:hanging="360"/>
      </w:pPr>
      <w:rPr>
        <w:rFonts w:ascii="Wingdings" w:hAnsi="Wingdings" w:hint="default"/>
      </w:rPr>
    </w:lvl>
  </w:abstractNum>
  <w:abstractNum w:abstractNumId="6" w15:restartNumberingAfterBreak="0">
    <w:nsid w:val="44E42543"/>
    <w:multiLevelType w:val="hybridMultilevel"/>
    <w:tmpl w:val="B44679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34354"/>
    <w:multiLevelType w:val="hybridMultilevel"/>
    <w:tmpl w:val="49D288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8804E5C"/>
    <w:multiLevelType w:val="multilevel"/>
    <w:tmpl w:val="C7D8333E"/>
    <w:lvl w:ilvl="0">
      <w:start w:val="1"/>
      <w:numFmt w:val="decimal"/>
      <w:lvlText w:val="%1."/>
      <w:lvlJc w:val="left"/>
      <w:pPr>
        <w:ind w:left="360" w:hanging="360"/>
      </w:pPr>
    </w:lvl>
    <w:lvl w:ilvl="1">
      <w:start w:val="1"/>
      <w:numFmt w:val="decimal"/>
      <w:lvlText w:val="%1.%2."/>
      <w:lvlJc w:val="left"/>
      <w:pPr>
        <w:ind w:left="999"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3F3E80"/>
    <w:multiLevelType w:val="hybridMultilevel"/>
    <w:tmpl w:val="67D85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6"/>
  </w:num>
  <w:num w:numId="5">
    <w:abstractNumId w:val="0"/>
  </w:num>
  <w:num w:numId="6">
    <w:abstractNumId w:val="3"/>
  </w:num>
  <w:num w:numId="7">
    <w:abstractNumId w:val="1"/>
  </w:num>
  <w:num w:numId="8">
    <w:abstractNumId w:val="9"/>
  </w:num>
  <w:num w:numId="9">
    <w:abstractNumId w:val="2"/>
  </w:num>
  <w:num w:numId="10">
    <w:abstractNumId w:val="5"/>
  </w:num>
  <w:num w:numId="1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ourke, Daniel">
    <w15:presenceInfo w15:providerId="AD" w15:userId="S::ctc5do@hants.gov.uk::fc6a6065-5cde-4df2-83ae-508af048d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0C"/>
    <w:rsid w:val="00000C34"/>
    <w:rsid w:val="000012BF"/>
    <w:rsid w:val="00001AAD"/>
    <w:rsid w:val="00003E24"/>
    <w:rsid w:val="00003EA0"/>
    <w:rsid w:val="00003FC5"/>
    <w:rsid w:val="000040CD"/>
    <w:rsid w:val="00004136"/>
    <w:rsid w:val="000046E2"/>
    <w:rsid w:val="00004EFF"/>
    <w:rsid w:val="00005517"/>
    <w:rsid w:val="00005660"/>
    <w:rsid w:val="00005E19"/>
    <w:rsid w:val="00005E1C"/>
    <w:rsid w:val="00006165"/>
    <w:rsid w:val="00006BD7"/>
    <w:rsid w:val="00007AA2"/>
    <w:rsid w:val="00007E62"/>
    <w:rsid w:val="000105AF"/>
    <w:rsid w:val="0001064E"/>
    <w:rsid w:val="000108F3"/>
    <w:rsid w:val="00011951"/>
    <w:rsid w:val="00013119"/>
    <w:rsid w:val="0001331B"/>
    <w:rsid w:val="00013D13"/>
    <w:rsid w:val="00014022"/>
    <w:rsid w:val="000141BA"/>
    <w:rsid w:val="00014703"/>
    <w:rsid w:val="000148B5"/>
    <w:rsid w:val="00014B4B"/>
    <w:rsid w:val="00014F0D"/>
    <w:rsid w:val="00015059"/>
    <w:rsid w:val="00015953"/>
    <w:rsid w:val="00015F36"/>
    <w:rsid w:val="000170D8"/>
    <w:rsid w:val="00017398"/>
    <w:rsid w:val="000213A0"/>
    <w:rsid w:val="00021471"/>
    <w:rsid w:val="00021638"/>
    <w:rsid w:val="000232FE"/>
    <w:rsid w:val="00023423"/>
    <w:rsid w:val="00024916"/>
    <w:rsid w:val="000249F5"/>
    <w:rsid w:val="00024AC7"/>
    <w:rsid w:val="00024DF4"/>
    <w:rsid w:val="00025364"/>
    <w:rsid w:val="00025DF5"/>
    <w:rsid w:val="00026C9E"/>
    <w:rsid w:val="00026EBD"/>
    <w:rsid w:val="00027510"/>
    <w:rsid w:val="00027768"/>
    <w:rsid w:val="0002789D"/>
    <w:rsid w:val="00027D0F"/>
    <w:rsid w:val="00027E51"/>
    <w:rsid w:val="000305A4"/>
    <w:rsid w:val="00031FDD"/>
    <w:rsid w:val="0003290B"/>
    <w:rsid w:val="00032DF6"/>
    <w:rsid w:val="00033393"/>
    <w:rsid w:val="000342EA"/>
    <w:rsid w:val="00034B50"/>
    <w:rsid w:val="0003555B"/>
    <w:rsid w:val="00035D17"/>
    <w:rsid w:val="00035E3F"/>
    <w:rsid w:val="00036181"/>
    <w:rsid w:val="0003728D"/>
    <w:rsid w:val="0003753A"/>
    <w:rsid w:val="00037F69"/>
    <w:rsid w:val="0004183B"/>
    <w:rsid w:val="00041A67"/>
    <w:rsid w:val="000423FA"/>
    <w:rsid w:val="00042E30"/>
    <w:rsid w:val="00043816"/>
    <w:rsid w:val="00043A25"/>
    <w:rsid w:val="00043BF5"/>
    <w:rsid w:val="000441DF"/>
    <w:rsid w:val="000446C2"/>
    <w:rsid w:val="000461D1"/>
    <w:rsid w:val="000462E7"/>
    <w:rsid w:val="00046682"/>
    <w:rsid w:val="0004733F"/>
    <w:rsid w:val="0004746F"/>
    <w:rsid w:val="00047770"/>
    <w:rsid w:val="00047A0B"/>
    <w:rsid w:val="00047AF1"/>
    <w:rsid w:val="00047CDB"/>
    <w:rsid w:val="00047E7D"/>
    <w:rsid w:val="00050C91"/>
    <w:rsid w:val="00050E27"/>
    <w:rsid w:val="00051F56"/>
    <w:rsid w:val="00051F65"/>
    <w:rsid w:val="00052222"/>
    <w:rsid w:val="00052552"/>
    <w:rsid w:val="000525A4"/>
    <w:rsid w:val="00052758"/>
    <w:rsid w:val="0005293C"/>
    <w:rsid w:val="00053097"/>
    <w:rsid w:val="0005315E"/>
    <w:rsid w:val="000533C4"/>
    <w:rsid w:val="0005365D"/>
    <w:rsid w:val="000538CC"/>
    <w:rsid w:val="0005429A"/>
    <w:rsid w:val="000543DC"/>
    <w:rsid w:val="0005471A"/>
    <w:rsid w:val="000550EF"/>
    <w:rsid w:val="00055142"/>
    <w:rsid w:val="00055FE3"/>
    <w:rsid w:val="00056450"/>
    <w:rsid w:val="0005645D"/>
    <w:rsid w:val="0005665D"/>
    <w:rsid w:val="00056778"/>
    <w:rsid w:val="00057C64"/>
    <w:rsid w:val="00057D9A"/>
    <w:rsid w:val="00057EAA"/>
    <w:rsid w:val="00060720"/>
    <w:rsid w:val="000608B1"/>
    <w:rsid w:val="00062780"/>
    <w:rsid w:val="000630CC"/>
    <w:rsid w:val="00064F5A"/>
    <w:rsid w:val="00065027"/>
    <w:rsid w:val="0006597C"/>
    <w:rsid w:val="0006696B"/>
    <w:rsid w:val="00066DFB"/>
    <w:rsid w:val="000670C1"/>
    <w:rsid w:val="000676FA"/>
    <w:rsid w:val="0006772D"/>
    <w:rsid w:val="00067763"/>
    <w:rsid w:val="000678AD"/>
    <w:rsid w:val="00067DC1"/>
    <w:rsid w:val="00067EA6"/>
    <w:rsid w:val="000708D8"/>
    <w:rsid w:val="00070D9F"/>
    <w:rsid w:val="00071401"/>
    <w:rsid w:val="00071513"/>
    <w:rsid w:val="00071E26"/>
    <w:rsid w:val="00072837"/>
    <w:rsid w:val="00073115"/>
    <w:rsid w:val="000731C4"/>
    <w:rsid w:val="00074D66"/>
    <w:rsid w:val="00074DB9"/>
    <w:rsid w:val="00075E1F"/>
    <w:rsid w:val="000760AD"/>
    <w:rsid w:val="00080508"/>
    <w:rsid w:val="0008073E"/>
    <w:rsid w:val="00080B2C"/>
    <w:rsid w:val="000810A6"/>
    <w:rsid w:val="0008168E"/>
    <w:rsid w:val="00081D9C"/>
    <w:rsid w:val="00082176"/>
    <w:rsid w:val="00083249"/>
    <w:rsid w:val="00084837"/>
    <w:rsid w:val="00084865"/>
    <w:rsid w:val="000852EF"/>
    <w:rsid w:val="00085549"/>
    <w:rsid w:val="0008644C"/>
    <w:rsid w:val="00086DFA"/>
    <w:rsid w:val="00086F9E"/>
    <w:rsid w:val="000873C5"/>
    <w:rsid w:val="00090706"/>
    <w:rsid w:val="00090A81"/>
    <w:rsid w:val="00092533"/>
    <w:rsid w:val="00092C57"/>
    <w:rsid w:val="000931C3"/>
    <w:rsid w:val="0009464B"/>
    <w:rsid w:val="000947A7"/>
    <w:rsid w:val="00095454"/>
    <w:rsid w:val="0009577C"/>
    <w:rsid w:val="00095CAC"/>
    <w:rsid w:val="0009617C"/>
    <w:rsid w:val="000961B7"/>
    <w:rsid w:val="000969C9"/>
    <w:rsid w:val="000A007B"/>
    <w:rsid w:val="000A0958"/>
    <w:rsid w:val="000A134C"/>
    <w:rsid w:val="000A1BCC"/>
    <w:rsid w:val="000A1D2E"/>
    <w:rsid w:val="000A2213"/>
    <w:rsid w:val="000A2D04"/>
    <w:rsid w:val="000A34E3"/>
    <w:rsid w:val="000A382C"/>
    <w:rsid w:val="000A3A39"/>
    <w:rsid w:val="000A42A6"/>
    <w:rsid w:val="000A4678"/>
    <w:rsid w:val="000A4959"/>
    <w:rsid w:val="000A4EB0"/>
    <w:rsid w:val="000A5563"/>
    <w:rsid w:val="000A5718"/>
    <w:rsid w:val="000A6D81"/>
    <w:rsid w:val="000A7F06"/>
    <w:rsid w:val="000A7F14"/>
    <w:rsid w:val="000A7FAC"/>
    <w:rsid w:val="000B02C5"/>
    <w:rsid w:val="000B04CF"/>
    <w:rsid w:val="000B10A1"/>
    <w:rsid w:val="000B198E"/>
    <w:rsid w:val="000B35FE"/>
    <w:rsid w:val="000B3B33"/>
    <w:rsid w:val="000B6A54"/>
    <w:rsid w:val="000B6FC0"/>
    <w:rsid w:val="000C0DDA"/>
    <w:rsid w:val="000C18EB"/>
    <w:rsid w:val="000C2A6F"/>
    <w:rsid w:val="000C4398"/>
    <w:rsid w:val="000C5533"/>
    <w:rsid w:val="000C5713"/>
    <w:rsid w:val="000C695B"/>
    <w:rsid w:val="000C715F"/>
    <w:rsid w:val="000C7379"/>
    <w:rsid w:val="000C7F08"/>
    <w:rsid w:val="000D03D8"/>
    <w:rsid w:val="000D1F1F"/>
    <w:rsid w:val="000D20F5"/>
    <w:rsid w:val="000D2479"/>
    <w:rsid w:val="000D3BF7"/>
    <w:rsid w:val="000D48C6"/>
    <w:rsid w:val="000D4961"/>
    <w:rsid w:val="000D5019"/>
    <w:rsid w:val="000D662C"/>
    <w:rsid w:val="000D7217"/>
    <w:rsid w:val="000E0F9D"/>
    <w:rsid w:val="000E18FC"/>
    <w:rsid w:val="000E19CB"/>
    <w:rsid w:val="000E23EC"/>
    <w:rsid w:val="000E27CB"/>
    <w:rsid w:val="000E2E12"/>
    <w:rsid w:val="000E2E37"/>
    <w:rsid w:val="000E30E1"/>
    <w:rsid w:val="000E362F"/>
    <w:rsid w:val="000E3EEB"/>
    <w:rsid w:val="000E4B71"/>
    <w:rsid w:val="000E4BE2"/>
    <w:rsid w:val="000E5204"/>
    <w:rsid w:val="000E6710"/>
    <w:rsid w:val="000E6E0C"/>
    <w:rsid w:val="000E6E49"/>
    <w:rsid w:val="000E6FAB"/>
    <w:rsid w:val="000E70F3"/>
    <w:rsid w:val="000E74F4"/>
    <w:rsid w:val="000E794E"/>
    <w:rsid w:val="000E7BC2"/>
    <w:rsid w:val="000E7E38"/>
    <w:rsid w:val="000F01F5"/>
    <w:rsid w:val="000F1A79"/>
    <w:rsid w:val="000F1AC7"/>
    <w:rsid w:val="000F20A9"/>
    <w:rsid w:val="000F26F0"/>
    <w:rsid w:val="000F29A8"/>
    <w:rsid w:val="000F29C3"/>
    <w:rsid w:val="000F3805"/>
    <w:rsid w:val="000F476E"/>
    <w:rsid w:val="000F4A83"/>
    <w:rsid w:val="000F4C13"/>
    <w:rsid w:val="000F5BB8"/>
    <w:rsid w:val="000F6682"/>
    <w:rsid w:val="000F6C23"/>
    <w:rsid w:val="000F75EC"/>
    <w:rsid w:val="000F7DFC"/>
    <w:rsid w:val="00101648"/>
    <w:rsid w:val="00102F57"/>
    <w:rsid w:val="00103190"/>
    <w:rsid w:val="00103CAA"/>
    <w:rsid w:val="00103E74"/>
    <w:rsid w:val="00104283"/>
    <w:rsid w:val="00104982"/>
    <w:rsid w:val="00104BC3"/>
    <w:rsid w:val="00104D10"/>
    <w:rsid w:val="00104EEF"/>
    <w:rsid w:val="0010570C"/>
    <w:rsid w:val="00105B6A"/>
    <w:rsid w:val="0010655F"/>
    <w:rsid w:val="00106FC1"/>
    <w:rsid w:val="001101ED"/>
    <w:rsid w:val="00110901"/>
    <w:rsid w:val="0011092E"/>
    <w:rsid w:val="00110BB6"/>
    <w:rsid w:val="00111801"/>
    <w:rsid w:val="00111FAD"/>
    <w:rsid w:val="001127C1"/>
    <w:rsid w:val="00112D58"/>
    <w:rsid w:val="0011311A"/>
    <w:rsid w:val="00113DE0"/>
    <w:rsid w:val="001147FA"/>
    <w:rsid w:val="00114DFF"/>
    <w:rsid w:val="00115893"/>
    <w:rsid w:val="00115CB9"/>
    <w:rsid w:val="001166C6"/>
    <w:rsid w:val="001202E7"/>
    <w:rsid w:val="00120744"/>
    <w:rsid w:val="00120E42"/>
    <w:rsid w:val="00121A1B"/>
    <w:rsid w:val="00121ABA"/>
    <w:rsid w:val="0012209D"/>
    <w:rsid w:val="0012252D"/>
    <w:rsid w:val="0012254D"/>
    <w:rsid w:val="001228AE"/>
    <w:rsid w:val="00122DCF"/>
    <w:rsid w:val="00123036"/>
    <w:rsid w:val="001238E5"/>
    <w:rsid w:val="00123955"/>
    <w:rsid w:val="00123BE4"/>
    <w:rsid w:val="001248D4"/>
    <w:rsid w:val="00124FB9"/>
    <w:rsid w:val="00125466"/>
    <w:rsid w:val="00125F25"/>
    <w:rsid w:val="00127092"/>
    <w:rsid w:val="00127ABC"/>
    <w:rsid w:val="00130E0F"/>
    <w:rsid w:val="001313E7"/>
    <w:rsid w:val="00131543"/>
    <w:rsid w:val="00131ACF"/>
    <w:rsid w:val="001324C4"/>
    <w:rsid w:val="00132A58"/>
    <w:rsid w:val="00132DA3"/>
    <w:rsid w:val="00133105"/>
    <w:rsid w:val="00133499"/>
    <w:rsid w:val="001341A9"/>
    <w:rsid w:val="001346A7"/>
    <w:rsid w:val="00134E28"/>
    <w:rsid w:val="00134FBE"/>
    <w:rsid w:val="001352F5"/>
    <w:rsid w:val="0013537A"/>
    <w:rsid w:val="001354E0"/>
    <w:rsid w:val="0013577F"/>
    <w:rsid w:val="00136AB8"/>
    <w:rsid w:val="001376F5"/>
    <w:rsid w:val="00137D69"/>
    <w:rsid w:val="00140D97"/>
    <w:rsid w:val="00141385"/>
    <w:rsid w:val="0014141F"/>
    <w:rsid w:val="001416EC"/>
    <w:rsid w:val="00141B85"/>
    <w:rsid w:val="00141D46"/>
    <w:rsid w:val="0014285D"/>
    <w:rsid w:val="00142897"/>
    <w:rsid w:val="00142B74"/>
    <w:rsid w:val="00145754"/>
    <w:rsid w:val="0014638B"/>
    <w:rsid w:val="00146588"/>
    <w:rsid w:val="00147C76"/>
    <w:rsid w:val="00150300"/>
    <w:rsid w:val="001511EB"/>
    <w:rsid w:val="001512BA"/>
    <w:rsid w:val="00151E92"/>
    <w:rsid w:val="00153377"/>
    <w:rsid w:val="00153E59"/>
    <w:rsid w:val="001544D3"/>
    <w:rsid w:val="001546C7"/>
    <w:rsid w:val="00155B77"/>
    <w:rsid w:val="00155FC6"/>
    <w:rsid w:val="001563F9"/>
    <w:rsid w:val="001566C8"/>
    <w:rsid w:val="001567FC"/>
    <w:rsid w:val="001569FB"/>
    <w:rsid w:val="00157E63"/>
    <w:rsid w:val="00160C5B"/>
    <w:rsid w:val="00161292"/>
    <w:rsid w:val="0016199B"/>
    <w:rsid w:val="00161DD1"/>
    <w:rsid w:val="0016200B"/>
    <w:rsid w:val="001634BE"/>
    <w:rsid w:val="00163F84"/>
    <w:rsid w:val="001656A6"/>
    <w:rsid w:val="00165D19"/>
    <w:rsid w:val="00166802"/>
    <w:rsid w:val="00166C91"/>
    <w:rsid w:val="0016704B"/>
    <w:rsid w:val="00167542"/>
    <w:rsid w:val="00170003"/>
    <w:rsid w:val="0017056B"/>
    <w:rsid w:val="0017163D"/>
    <w:rsid w:val="0017220D"/>
    <w:rsid w:val="001722F5"/>
    <w:rsid w:val="0017251A"/>
    <w:rsid w:val="001734B2"/>
    <w:rsid w:val="001742F3"/>
    <w:rsid w:val="001748C1"/>
    <w:rsid w:val="00174EF9"/>
    <w:rsid w:val="001777CE"/>
    <w:rsid w:val="00177A4A"/>
    <w:rsid w:val="001803C9"/>
    <w:rsid w:val="001819C2"/>
    <w:rsid w:val="001826DF"/>
    <w:rsid w:val="00182748"/>
    <w:rsid w:val="001827A9"/>
    <w:rsid w:val="00182B84"/>
    <w:rsid w:val="00182E1F"/>
    <w:rsid w:val="00183950"/>
    <w:rsid w:val="00184283"/>
    <w:rsid w:val="0018463D"/>
    <w:rsid w:val="00184826"/>
    <w:rsid w:val="00186027"/>
    <w:rsid w:val="00186501"/>
    <w:rsid w:val="00186566"/>
    <w:rsid w:val="0018723F"/>
    <w:rsid w:val="00187BCD"/>
    <w:rsid w:val="00190B98"/>
    <w:rsid w:val="001919B5"/>
    <w:rsid w:val="001919F1"/>
    <w:rsid w:val="001921CB"/>
    <w:rsid w:val="00192A37"/>
    <w:rsid w:val="0019327C"/>
    <w:rsid w:val="0019400F"/>
    <w:rsid w:val="001947D4"/>
    <w:rsid w:val="00194E0E"/>
    <w:rsid w:val="001959A7"/>
    <w:rsid w:val="00195A5E"/>
    <w:rsid w:val="001961B5"/>
    <w:rsid w:val="00196801"/>
    <w:rsid w:val="00197150"/>
    <w:rsid w:val="001976A3"/>
    <w:rsid w:val="001A04A9"/>
    <w:rsid w:val="001A09D8"/>
    <w:rsid w:val="001A11CC"/>
    <w:rsid w:val="001A1493"/>
    <w:rsid w:val="001A14E6"/>
    <w:rsid w:val="001A2DE3"/>
    <w:rsid w:val="001A39FD"/>
    <w:rsid w:val="001A3D8A"/>
    <w:rsid w:val="001A4214"/>
    <w:rsid w:val="001A4572"/>
    <w:rsid w:val="001A4E20"/>
    <w:rsid w:val="001A5167"/>
    <w:rsid w:val="001A51C6"/>
    <w:rsid w:val="001A5581"/>
    <w:rsid w:val="001A62F9"/>
    <w:rsid w:val="001A72E6"/>
    <w:rsid w:val="001A7A6F"/>
    <w:rsid w:val="001B0663"/>
    <w:rsid w:val="001B0960"/>
    <w:rsid w:val="001B0C05"/>
    <w:rsid w:val="001B0EB0"/>
    <w:rsid w:val="001B0F48"/>
    <w:rsid w:val="001B130F"/>
    <w:rsid w:val="001B1835"/>
    <w:rsid w:val="001B1C8E"/>
    <w:rsid w:val="001B2565"/>
    <w:rsid w:val="001B312F"/>
    <w:rsid w:val="001B3134"/>
    <w:rsid w:val="001B37B9"/>
    <w:rsid w:val="001B4043"/>
    <w:rsid w:val="001B4081"/>
    <w:rsid w:val="001B4C97"/>
    <w:rsid w:val="001B59AA"/>
    <w:rsid w:val="001B683E"/>
    <w:rsid w:val="001B732E"/>
    <w:rsid w:val="001B7937"/>
    <w:rsid w:val="001C0C54"/>
    <w:rsid w:val="001C113F"/>
    <w:rsid w:val="001C1E4B"/>
    <w:rsid w:val="001C2664"/>
    <w:rsid w:val="001C27EF"/>
    <w:rsid w:val="001C4213"/>
    <w:rsid w:val="001C4C96"/>
    <w:rsid w:val="001C4FB0"/>
    <w:rsid w:val="001C5D24"/>
    <w:rsid w:val="001C5E6B"/>
    <w:rsid w:val="001C62A6"/>
    <w:rsid w:val="001C6908"/>
    <w:rsid w:val="001C6C1A"/>
    <w:rsid w:val="001C716A"/>
    <w:rsid w:val="001C7FA7"/>
    <w:rsid w:val="001D079B"/>
    <w:rsid w:val="001D0F8E"/>
    <w:rsid w:val="001D128A"/>
    <w:rsid w:val="001D1E71"/>
    <w:rsid w:val="001D2AF7"/>
    <w:rsid w:val="001D3D3B"/>
    <w:rsid w:val="001D4183"/>
    <w:rsid w:val="001D67CF"/>
    <w:rsid w:val="001D7564"/>
    <w:rsid w:val="001D7D03"/>
    <w:rsid w:val="001E146D"/>
    <w:rsid w:val="001E1D91"/>
    <w:rsid w:val="001E21B7"/>
    <w:rsid w:val="001E241C"/>
    <w:rsid w:val="001E26BD"/>
    <w:rsid w:val="001E27FC"/>
    <w:rsid w:val="001E2F70"/>
    <w:rsid w:val="001E3ACB"/>
    <w:rsid w:val="001E3F63"/>
    <w:rsid w:val="001E45B1"/>
    <w:rsid w:val="001E4E83"/>
    <w:rsid w:val="001E5356"/>
    <w:rsid w:val="001E57DF"/>
    <w:rsid w:val="001E5E82"/>
    <w:rsid w:val="001E655E"/>
    <w:rsid w:val="001E6638"/>
    <w:rsid w:val="001E6677"/>
    <w:rsid w:val="001E6B81"/>
    <w:rsid w:val="001E7577"/>
    <w:rsid w:val="001E77EB"/>
    <w:rsid w:val="001E7C8C"/>
    <w:rsid w:val="001F07B3"/>
    <w:rsid w:val="001F1A1C"/>
    <w:rsid w:val="001F1D18"/>
    <w:rsid w:val="001F2834"/>
    <w:rsid w:val="001F2C3D"/>
    <w:rsid w:val="001F2CDD"/>
    <w:rsid w:val="001F34A4"/>
    <w:rsid w:val="001F4D6E"/>
    <w:rsid w:val="001F506D"/>
    <w:rsid w:val="001F5A85"/>
    <w:rsid w:val="001F6417"/>
    <w:rsid w:val="001F6D1F"/>
    <w:rsid w:val="001F6EB2"/>
    <w:rsid w:val="001F726D"/>
    <w:rsid w:val="00200BBB"/>
    <w:rsid w:val="00201892"/>
    <w:rsid w:val="002024F0"/>
    <w:rsid w:val="00202747"/>
    <w:rsid w:val="002042D7"/>
    <w:rsid w:val="00205D59"/>
    <w:rsid w:val="002102CF"/>
    <w:rsid w:val="0021067E"/>
    <w:rsid w:val="00211218"/>
    <w:rsid w:val="002113CA"/>
    <w:rsid w:val="002117BC"/>
    <w:rsid w:val="00212539"/>
    <w:rsid w:val="002135F6"/>
    <w:rsid w:val="002137D8"/>
    <w:rsid w:val="00213EEC"/>
    <w:rsid w:val="00215730"/>
    <w:rsid w:val="002158F5"/>
    <w:rsid w:val="0021633E"/>
    <w:rsid w:val="00216CD4"/>
    <w:rsid w:val="00216E95"/>
    <w:rsid w:val="00220326"/>
    <w:rsid w:val="0022094A"/>
    <w:rsid w:val="00220E60"/>
    <w:rsid w:val="00220F54"/>
    <w:rsid w:val="00221851"/>
    <w:rsid w:val="002218A8"/>
    <w:rsid w:val="00222EE9"/>
    <w:rsid w:val="00222FF0"/>
    <w:rsid w:val="00223737"/>
    <w:rsid w:val="002240EA"/>
    <w:rsid w:val="0022439C"/>
    <w:rsid w:val="00224791"/>
    <w:rsid w:val="0022486C"/>
    <w:rsid w:val="00224F50"/>
    <w:rsid w:val="0022507C"/>
    <w:rsid w:val="00225106"/>
    <w:rsid w:val="00225D46"/>
    <w:rsid w:val="00226A83"/>
    <w:rsid w:val="00226ACD"/>
    <w:rsid w:val="00226CED"/>
    <w:rsid w:val="00227C3E"/>
    <w:rsid w:val="0023116F"/>
    <w:rsid w:val="0023225B"/>
    <w:rsid w:val="0023379D"/>
    <w:rsid w:val="00233F83"/>
    <w:rsid w:val="00234403"/>
    <w:rsid w:val="00234499"/>
    <w:rsid w:val="00234D07"/>
    <w:rsid w:val="002352CD"/>
    <w:rsid w:val="0023548B"/>
    <w:rsid w:val="0023590A"/>
    <w:rsid w:val="002369AF"/>
    <w:rsid w:val="00236A75"/>
    <w:rsid w:val="002378DC"/>
    <w:rsid w:val="00237FB9"/>
    <w:rsid w:val="00240475"/>
    <w:rsid w:val="00241C7B"/>
    <w:rsid w:val="0024206A"/>
    <w:rsid w:val="0024240E"/>
    <w:rsid w:val="00242A06"/>
    <w:rsid w:val="0024314E"/>
    <w:rsid w:val="00243B0D"/>
    <w:rsid w:val="00243B2B"/>
    <w:rsid w:val="0024434A"/>
    <w:rsid w:val="00247751"/>
    <w:rsid w:val="00247F76"/>
    <w:rsid w:val="002504A5"/>
    <w:rsid w:val="00251C02"/>
    <w:rsid w:val="00252777"/>
    <w:rsid w:val="00252B31"/>
    <w:rsid w:val="00252C4C"/>
    <w:rsid w:val="00253AE7"/>
    <w:rsid w:val="00253BF7"/>
    <w:rsid w:val="00254C56"/>
    <w:rsid w:val="00254DDF"/>
    <w:rsid w:val="002558D6"/>
    <w:rsid w:val="002559FB"/>
    <w:rsid w:val="00256022"/>
    <w:rsid w:val="00256073"/>
    <w:rsid w:val="00256A87"/>
    <w:rsid w:val="00256FC2"/>
    <w:rsid w:val="00257540"/>
    <w:rsid w:val="00257C34"/>
    <w:rsid w:val="00260444"/>
    <w:rsid w:val="002609EF"/>
    <w:rsid w:val="00261118"/>
    <w:rsid w:val="00261864"/>
    <w:rsid w:val="002619A3"/>
    <w:rsid w:val="00262025"/>
    <w:rsid w:val="00262315"/>
    <w:rsid w:val="0026231F"/>
    <w:rsid w:val="00262CBA"/>
    <w:rsid w:val="00263800"/>
    <w:rsid w:val="0026381C"/>
    <w:rsid w:val="00263A7B"/>
    <w:rsid w:val="00264058"/>
    <w:rsid w:val="002647F1"/>
    <w:rsid w:val="00264E2C"/>
    <w:rsid w:val="00265AA1"/>
    <w:rsid w:val="00265F96"/>
    <w:rsid w:val="002663A8"/>
    <w:rsid w:val="002669D7"/>
    <w:rsid w:val="00267F6A"/>
    <w:rsid w:val="002701AF"/>
    <w:rsid w:val="002701C0"/>
    <w:rsid w:val="00271938"/>
    <w:rsid w:val="00271FA5"/>
    <w:rsid w:val="002720D3"/>
    <w:rsid w:val="00272D72"/>
    <w:rsid w:val="00273098"/>
    <w:rsid w:val="00274142"/>
    <w:rsid w:val="002745EF"/>
    <w:rsid w:val="0027469B"/>
    <w:rsid w:val="00276635"/>
    <w:rsid w:val="00276671"/>
    <w:rsid w:val="00277004"/>
    <w:rsid w:val="002778B0"/>
    <w:rsid w:val="00277C3C"/>
    <w:rsid w:val="00277ED3"/>
    <w:rsid w:val="002801EB"/>
    <w:rsid w:val="0028036B"/>
    <w:rsid w:val="00280751"/>
    <w:rsid w:val="00280B58"/>
    <w:rsid w:val="00280CF9"/>
    <w:rsid w:val="002811E6"/>
    <w:rsid w:val="0028150D"/>
    <w:rsid w:val="002824CD"/>
    <w:rsid w:val="00282ACA"/>
    <w:rsid w:val="00283119"/>
    <w:rsid w:val="00285D8C"/>
    <w:rsid w:val="00285F1B"/>
    <w:rsid w:val="00291D76"/>
    <w:rsid w:val="00292489"/>
    <w:rsid w:val="00292655"/>
    <w:rsid w:val="00292A67"/>
    <w:rsid w:val="00292B47"/>
    <w:rsid w:val="00295567"/>
    <w:rsid w:val="002955D1"/>
    <w:rsid w:val="002958A1"/>
    <w:rsid w:val="00295F78"/>
    <w:rsid w:val="00296A85"/>
    <w:rsid w:val="00296FEE"/>
    <w:rsid w:val="0029746A"/>
    <w:rsid w:val="00297F8B"/>
    <w:rsid w:val="002A0641"/>
    <w:rsid w:val="002A087D"/>
    <w:rsid w:val="002A0D0A"/>
    <w:rsid w:val="002A125F"/>
    <w:rsid w:val="002A17AF"/>
    <w:rsid w:val="002A28E1"/>
    <w:rsid w:val="002A47A0"/>
    <w:rsid w:val="002A54F2"/>
    <w:rsid w:val="002A6534"/>
    <w:rsid w:val="002A7553"/>
    <w:rsid w:val="002A761D"/>
    <w:rsid w:val="002A7E6E"/>
    <w:rsid w:val="002B1208"/>
    <w:rsid w:val="002B1874"/>
    <w:rsid w:val="002B22F8"/>
    <w:rsid w:val="002B265C"/>
    <w:rsid w:val="002B3B36"/>
    <w:rsid w:val="002B3B8A"/>
    <w:rsid w:val="002B475E"/>
    <w:rsid w:val="002B48D3"/>
    <w:rsid w:val="002B49E6"/>
    <w:rsid w:val="002B6AE5"/>
    <w:rsid w:val="002B6B33"/>
    <w:rsid w:val="002B7066"/>
    <w:rsid w:val="002B7612"/>
    <w:rsid w:val="002B7971"/>
    <w:rsid w:val="002B7CF0"/>
    <w:rsid w:val="002B7F22"/>
    <w:rsid w:val="002C0114"/>
    <w:rsid w:val="002C0524"/>
    <w:rsid w:val="002C0D71"/>
    <w:rsid w:val="002C0FF9"/>
    <w:rsid w:val="002C1356"/>
    <w:rsid w:val="002C14ED"/>
    <w:rsid w:val="002C21DC"/>
    <w:rsid w:val="002C2723"/>
    <w:rsid w:val="002C2FE0"/>
    <w:rsid w:val="002C3988"/>
    <w:rsid w:val="002C4566"/>
    <w:rsid w:val="002C5A8C"/>
    <w:rsid w:val="002C5C7B"/>
    <w:rsid w:val="002C662C"/>
    <w:rsid w:val="002C7788"/>
    <w:rsid w:val="002C7912"/>
    <w:rsid w:val="002D07BC"/>
    <w:rsid w:val="002D1DD4"/>
    <w:rsid w:val="002D29B2"/>
    <w:rsid w:val="002D2A4E"/>
    <w:rsid w:val="002D2C2B"/>
    <w:rsid w:val="002D2D11"/>
    <w:rsid w:val="002D398B"/>
    <w:rsid w:val="002D4A66"/>
    <w:rsid w:val="002D4B32"/>
    <w:rsid w:val="002D502D"/>
    <w:rsid w:val="002D57AA"/>
    <w:rsid w:val="002D5E5E"/>
    <w:rsid w:val="002D5FDD"/>
    <w:rsid w:val="002D7940"/>
    <w:rsid w:val="002E0223"/>
    <w:rsid w:val="002E07C2"/>
    <w:rsid w:val="002E0E2C"/>
    <w:rsid w:val="002E138F"/>
    <w:rsid w:val="002E139B"/>
    <w:rsid w:val="002E1AA7"/>
    <w:rsid w:val="002E1CA0"/>
    <w:rsid w:val="002E1D82"/>
    <w:rsid w:val="002E22BC"/>
    <w:rsid w:val="002E34BD"/>
    <w:rsid w:val="002E38F1"/>
    <w:rsid w:val="002E3C09"/>
    <w:rsid w:val="002E3C4B"/>
    <w:rsid w:val="002E45BF"/>
    <w:rsid w:val="002E50FA"/>
    <w:rsid w:val="002E64A3"/>
    <w:rsid w:val="002E6A8A"/>
    <w:rsid w:val="002E6C65"/>
    <w:rsid w:val="002E6DBF"/>
    <w:rsid w:val="002F0188"/>
    <w:rsid w:val="002F0A95"/>
    <w:rsid w:val="002F0C2E"/>
    <w:rsid w:val="002F1F6D"/>
    <w:rsid w:val="002F1F94"/>
    <w:rsid w:val="002F273A"/>
    <w:rsid w:val="002F2A8E"/>
    <w:rsid w:val="002F3F5A"/>
    <w:rsid w:val="002F53BC"/>
    <w:rsid w:val="002F54BC"/>
    <w:rsid w:val="002F583E"/>
    <w:rsid w:val="002F5E06"/>
    <w:rsid w:val="002F648B"/>
    <w:rsid w:val="002F7066"/>
    <w:rsid w:val="002F7B97"/>
    <w:rsid w:val="003009B9"/>
    <w:rsid w:val="00300E43"/>
    <w:rsid w:val="00302389"/>
    <w:rsid w:val="003037DA"/>
    <w:rsid w:val="00303825"/>
    <w:rsid w:val="0030399E"/>
    <w:rsid w:val="003039CE"/>
    <w:rsid w:val="00303F00"/>
    <w:rsid w:val="00304DC9"/>
    <w:rsid w:val="00305A39"/>
    <w:rsid w:val="00305A6A"/>
    <w:rsid w:val="00305E21"/>
    <w:rsid w:val="0030680C"/>
    <w:rsid w:val="00307225"/>
    <w:rsid w:val="00307CAC"/>
    <w:rsid w:val="00307EAF"/>
    <w:rsid w:val="00310546"/>
    <w:rsid w:val="00311522"/>
    <w:rsid w:val="00311954"/>
    <w:rsid w:val="0031196E"/>
    <w:rsid w:val="00312090"/>
    <w:rsid w:val="0031250C"/>
    <w:rsid w:val="00312AAB"/>
    <w:rsid w:val="00312EAE"/>
    <w:rsid w:val="003131E3"/>
    <w:rsid w:val="0031367F"/>
    <w:rsid w:val="00314361"/>
    <w:rsid w:val="00314B7F"/>
    <w:rsid w:val="00314F5D"/>
    <w:rsid w:val="00315C49"/>
    <w:rsid w:val="003172F5"/>
    <w:rsid w:val="00317D2D"/>
    <w:rsid w:val="00317DA6"/>
    <w:rsid w:val="00317F82"/>
    <w:rsid w:val="00320951"/>
    <w:rsid w:val="00321BFB"/>
    <w:rsid w:val="00322697"/>
    <w:rsid w:val="0032325D"/>
    <w:rsid w:val="00323AD4"/>
    <w:rsid w:val="00323CD6"/>
    <w:rsid w:val="00323F10"/>
    <w:rsid w:val="00323FF6"/>
    <w:rsid w:val="003240FF"/>
    <w:rsid w:val="003241AC"/>
    <w:rsid w:val="0032425C"/>
    <w:rsid w:val="003249EB"/>
    <w:rsid w:val="00325416"/>
    <w:rsid w:val="00325E2E"/>
    <w:rsid w:val="003260EA"/>
    <w:rsid w:val="00326219"/>
    <w:rsid w:val="0032696E"/>
    <w:rsid w:val="00326AC4"/>
    <w:rsid w:val="00326FBB"/>
    <w:rsid w:val="00327113"/>
    <w:rsid w:val="003275B2"/>
    <w:rsid w:val="00327B9B"/>
    <w:rsid w:val="00330110"/>
    <w:rsid w:val="003310AA"/>
    <w:rsid w:val="003319A0"/>
    <w:rsid w:val="003326D0"/>
    <w:rsid w:val="003329B4"/>
    <w:rsid w:val="00332A4C"/>
    <w:rsid w:val="0033354C"/>
    <w:rsid w:val="00333652"/>
    <w:rsid w:val="00334321"/>
    <w:rsid w:val="003349AD"/>
    <w:rsid w:val="00334C94"/>
    <w:rsid w:val="0033543F"/>
    <w:rsid w:val="00335C7A"/>
    <w:rsid w:val="00335EB9"/>
    <w:rsid w:val="0033789B"/>
    <w:rsid w:val="00337B19"/>
    <w:rsid w:val="00340523"/>
    <w:rsid w:val="00340BDB"/>
    <w:rsid w:val="00340E49"/>
    <w:rsid w:val="00340F59"/>
    <w:rsid w:val="003411BA"/>
    <w:rsid w:val="00341A19"/>
    <w:rsid w:val="003435A2"/>
    <w:rsid w:val="0034380F"/>
    <w:rsid w:val="00344688"/>
    <w:rsid w:val="00344E0A"/>
    <w:rsid w:val="00345D7F"/>
    <w:rsid w:val="00346551"/>
    <w:rsid w:val="00346CCE"/>
    <w:rsid w:val="00347154"/>
    <w:rsid w:val="003471A9"/>
    <w:rsid w:val="00347FAE"/>
    <w:rsid w:val="00350078"/>
    <w:rsid w:val="00350643"/>
    <w:rsid w:val="00350867"/>
    <w:rsid w:val="00350B37"/>
    <w:rsid w:val="00350F69"/>
    <w:rsid w:val="003515A1"/>
    <w:rsid w:val="00352519"/>
    <w:rsid w:val="003529A9"/>
    <w:rsid w:val="003529F3"/>
    <w:rsid w:val="00352F48"/>
    <w:rsid w:val="00353331"/>
    <w:rsid w:val="00353C62"/>
    <w:rsid w:val="00354723"/>
    <w:rsid w:val="003548F8"/>
    <w:rsid w:val="00354FDC"/>
    <w:rsid w:val="003553D7"/>
    <w:rsid w:val="00355635"/>
    <w:rsid w:val="00355E94"/>
    <w:rsid w:val="00357A26"/>
    <w:rsid w:val="00357DF2"/>
    <w:rsid w:val="00357ECE"/>
    <w:rsid w:val="003600A2"/>
    <w:rsid w:val="00360571"/>
    <w:rsid w:val="003607EB"/>
    <w:rsid w:val="00360B2B"/>
    <w:rsid w:val="003618A4"/>
    <w:rsid w:val="003620CF"/>
    <w:rsid w:val="003631D5"/>
    <w:rsid w:val="00363BD8"/>
    <w:rsid w:val="00364460"/>
    <w:rsid w:val="003646F7"/>
    <w:rsid w:val="00364764"/>
    <w:rsid w:val="00364B55"/>
    <w:rsid w:val="00365041"/>
    <w:rsid w:val="00365318"/>
    <w:rsid w:val="00365448"/>
    <w:rsid w:val="003657E3"/>
    <w:rsid w:val="00366E50"/>
    <w:rsid w:val="00367ADC"/>
    <w:rsid w:val="00367D2A"/>
    <w:rsid w:val="00367ED0"/>
    <w:rsid w:val="00370A7F"/>
    <w:rsid w:val="0037194D"/>
    <w:rsid w:val="003729C2"/>
    <w:rsid w:val="00372F3B"/>
    <w:rsid w:val="003733D4"/>
    <w:rsid w:val="00374F2B"/>
    <w:rsid w:val="00376381"/>
    <w:rsid w:val="003763B5"/>
    <w:rsid w:val="0037705D"/>
    <w:rsid w:val="00377CE8"/>
    <w:rsid w:val="00377E7F"/>
    <w:rsid w:val="003803CD"/>
    <w:rsid w:val="00380F99"/>
    <w:rsid w:val="003813AB"/>
    <w:rsid w:val="00382730"/>
    <w:rsid w:val="003845A3"/>
    <w:rsid w:val="00384864"/>
    <w:rsid w:val="00384ABA"/>
    <w:rsid w:val="00384AC2"/>
    <w:rsid w:val="00385235"/>
    <w:rsid w:val="00385D2D"/>
    <w:rsid w:val="00386FA2"/>
    <w:rsid w:val="003879E3"/>
    <w:rsid w:val="0039046B"/>
    <w:rsid w:val="00390CF6"/>
    <w:rsid w:val="00391293"/>
    <w:rsid w:val="00391C3C"/>
    <w:rsid w:val="00391E8F"/>
    <w:rsid w:val="0039210D"/>
    <w:rsid w:val="00392684"/>
    <w:rsid w:val="00392BDC"/>
    <w:rsid w:val="003933C9"/>
    <w:rsid w:val="0039380D"/>
    <w:rsid w:val="003950E7"/>
    <w:rsid w:val="0039561E"/>
    <w:rsid w:val="00395E58"/>
    <w:rsid w:val="0039625C"/>
    <w:rsid w:val="00396B26"/>
    <w:rsid w:val="003976DC"/>
    <w:rsid w:val="00397B70"/>
    <w:rsid w:val="003A0AD9"/>
    <w:rsid w:val="003A0DEC"/>
    <w:rsid w:val="003A0EF5"/>
    <w:rsid w:val="003A1191"/>
    <w:rsid w:val="003A2F8F"/>
    <w:rsid w:val="003A3579"/>
    <w:rsid w:val="003A3AD4"/>
    <w:rsid w:val="003A3B33"/>
    <w:rsid w:val="003A4006"/>
    <w:rsid w:val="003A46C5"/>
    <w:rsid w:val="003A51DC"/>
    <w:rsid w:val="003A52CC"/>
    <w:rsid w:val="003A6663"/>
    <w:rsid w:val="003A7A9E"/>
    <w:rsid w:val="003A7F2A"/>
    <w:rsid w:val="003A7FE7"/>
    <w:rsid w:val="003B04A6"/>
    <w:rsid w:val="003B0CC2"/>
    <w:rsid w:val="003B0F75"/>
    <w:rsid w:val="003B1D16"/>
    <w:rsid w:val="003B2C3E"/>
    <w:rsid w:val="003B311D"/>
    <w:rsid w:val="003B384D"/>
    <w:rsid w:val="003B3A67"/>
    <w:rsid w:val="003B3C50"/>
    <w:rsid w:val="003B4B0C"/>
    <w:rsid w:val="003B5678"/>
    <w:rsid w:val="003B601A"/>
    <w:rsid w:val="003B6596"/>
    <w:rsid w:val="003B661E"/>
    <w:rsid w:val="003B6F75"/>
    <w:rsid w:val="003B76D4"/>
    <w:rsid w:val="003B76E5"/>
    <w:rsid w:val="003C0779"/>
    <w:rsid w:val="003C0D0B"/>
    <w:rsid w:val="003C0D40"/>
    <w:rsid w:val="003C0F86"/>
    <w:rsid w:val="003C1348"/>
    <w:rsid w:val="003C229C"/>
    <w:rsid w:val="003C2402"/>
    <w:rsid w:val="003C24EB"/>
    <w:rsid w:val="003C3658"/>
    <w:rsid w:val="003C36E4"/>
    <w:rsid w:val="003C3808"/>
    <w:rsid w:val="003C3AC8"/>
    <w:rsid w:val="003C4105"/>
    <w:rsid w:val="003C45D1"/>
    <w:rsid w:val="003C4F76"/>
    <w:rsid w:val="003C5286"/>
    <w:rsid w:val="003C6D0E"/>
    <w:rsid w:val="003C6EA8"/>
    <w:rsid w:val="003C7197"/>
    <w:rsid w:val="003C7712"/>
    <w:rsid w:val="003C783F"/>
    <w:rsid w:val="003C7F23"/>
    <w:rsid w:val="003D0036"/>
    <w:rsid w:val="003D082D"/>
    <w:rsid w:val="003D16D6"/>
    <w:rsid w:val="003D1F59"/>
    <w:rsid w:val="003D2137"/>
    <w:rsid w:val="003D2311"/>
    <w:rsid w:val="003D3249"/>
    <w:rsid w:val="003D3F89"/>
    <w:rsid w:val="003D5998"/>
    <w:rsid w:val="003D5D6E"/>
    <w:rsid w:val="003D6D83"/>
    <w:rsid w:val="003E0177"/>
    <w:rsid w:val="003E0DA1"/>
    <w:rsid w:val="003E19CB"/>
    <w:rsid w:val="003E22AA"/>
    <w:rsid w:val="003E28B9"/>
    <w:rsid w:val="003E2B2E"/>
    <w:rsid w:val="003E31C4"/>
    <w:rsid w:val="003E48DA"/>
    <w:rsid w:val="003E49F2"/>
    <w:rsid w:val="003E5143"/>
    <w:rsid w:val="003E58FB"/>
    <w:rsid w:val="003E6D2C"/>
    <w:rsid w:val="003E7C1F"/>
    <w:rsid w:val="003E7DC0"/>
    <w:rsid w:val="003E7E21"/>
    <w:rsid w:val="003F00E9"/>
    <w:rsid w:val="003F0FC2"/>
    <w:rsid w:val="003F122D"/>
    <w:rsid w:val="003F12FE"/>
    <w:rsid w:val="003F1ECF"/>
    <w:rsid w:val="003F25FC"/>
    <w:rsid w:val="003F2731"/>
    <w:rsid w:val="003F2BA7"/>
    <w:rsid w:val="003F32D5"/>
    <w:rsid w:val="003F4B06"/>
    <w:rsid w:val="003F569D"/>
    <w:rsid w:val="003F5B44"/>
    <w:rsid w:val="003F5E4A"/>
    <w:rsid w:val="003F62F6"/>
    <w:rsid w:val="003F657C"/>
    <w:rsid w:val="003F718D"/>
    <w:rsid w:val="003F73D8"/>
    <w:rsid w:val="003F73EC"/>
    <w:rsid w:val="003F7818"/>
    <w:rsid w:val="003F78D3"/>
    <w:rsid w:val="00401559"/>
    <w:rsid w:val="00402575"/>
    <w:rsid w:val="00402F9A"/>
    <w:rsid w:val="00403480"/>
    <w:rsid w:val="00403E61"/>
    <w:rsid w:val="00404B56"/>
    <w:rsid w:val="00404EA9"/>
    <w:rsid w:val="00405649"/>
    <w:rsid w:val="004071E0"/>
    <w:rsid w:val="00407C3B"/>
    <w:rsid w:val="00410445"/>
    <w:rsid w:val="00410D01"/>
    <w:rsid w:val="00410E2C"/>
    <w:rsid w:val="004110E8"/>
    <w:rsid w:val="00411809"/>
    <w:rsid w:val="00411818"/>
    <w:rsid w:val="00411908"/>
    <w:rsid w:val="00412B61"/>
    <w:rsid w:val="0041351F"/>
    <w:rsid w:val="00413ECF"/>
    <w:rsid w:val="00413F43"/>
    <w:rsid w:val="0041452C"/>
    <w:rsid w:val="00414C3A"/>
    <w:rsid w:val="00414D85"/>
    <w:rsid w:val="004153E9"/>
    <w:rsid w:val="00415990"/>
    <w:rsid w:val="004159FA"/>
    <w:rsid w:val="00416CA5"/>
    <w:rsid w:val="004202BE"/>
    <w:rsid w:val="00420466"/>
    <w:rsid w:val="00420AE8"/>
    <w:rsid w:val="00420B0A"/>
    <w:rsid w:val="00422205"/>
    <w:rsid w:val="00422BEF"/>
    <w:rsid w:val="0042447D"/>
    <w:rsid w:val="004245F8"/>
    <w:rsid w:val="00424C4D"/>
    <w:rsid w:val="00425EA5"/>
    <w:rsid w:val="0042741A"/>
    <w:rsid w:val="004279A6"/>
    <w:rsid w:val="00430360"/>
    <w:rsid w:val="00430968"/>
    <w:rsid w:val="004309AA"/>
    <w:rsid w:val="004319F2"/>
    <w:rsid w:val="00431C83"/>
    <w:rsid w:val="00431E02"/>
    <w:rsid w:val="004323C4"/>
    <w:rsid w:val="00432835"/>
    <w:rsid w:val="00432FE1"/>
    <w:rsid w:val="004338C5"/>
    <w:rsid w:val="00433C5B"/>
    <w:rsid w:val="00433D75"/>
    <w:rsid w:val="00434ADD"/>
    <w:rsid w:val="004352D8"/>
    <w:rsid w:val="004359B3"/>
    <w:rsid w:val="00436E58"/>
    <w:rsid w:val="004376E5"/>
    <w:rsid w:val="00440321"/>
    <w:rsid w:val="00442F99"/>
    <w:rsid w:val="00443223"/>
    <w:rsid w:val="00443E3B"/>
    <w:rsid w:val="00443FB2"/>
    <w:rsid w:val="00444D8A"/>
    <w:rsid w:val="0044518B"/>
    <w:rsid w:val="00446327"/>
    <w:rsid w:val="004470C8"/>
    <w:rsid w:val="004479AC"/>
    <w:rsid w:val="00447C3B"/>
    <w:rsid w:val="00450380"/>
    <w:rsid w:val="00450895"/>
    <w:rsid w:val="0045174D"/>
    <w:rsid w:val="00451C35"/>
    <w:rsid w:val="00452607"/>
    <w:rsid w:val="00452841"/>
    <w:rsid w:val="004528EE"/>
    <w:rsid w:val="00452C19"/>
    <w:rsid w:val="0045301C"/>
    <w:rsid w:val="00453930"/>
    <w:rsid w:val="00454325"/>
    <w:rsid w:val="0045481F"/>
    <w:rsid w:val="00454D8F"/>
    <w:rsid w:val="004551C6"/>
    <w:rsid w:val="00456073"/>
    <w:rsid w:val="004563B5"/>
    <w:rsid w:val="004568FA"/>
    <w:rsid w:val="00456E18"/>
    <w:rsid w:val="00456EBB"/>
    <w:rsid w:val="00457EC5"/>
    <w:rsid w:val="00457F70"/>
    <w:rsid w:val="00461BC5"/>
    <w:rsid w:val="004623A9"/>
    <w:rsid w:val="00463817"/>
    <w:rsid w:val="00463D59"/>
    <w:rsid w:val="004648CE"/>
    <w:rsid w:val="004663E7"/>
    <w:rsid w:val="00466A42"/>
    <w:rsid w:val="00466EC9"/>
    <w:rsid w:val="004677A1"/>
    <w:rsid w:val="00467B4E"/>
    <w:rsid w:val="00470298"/>
    <w:rsid w:val="00470A7B"/>
    <w:rsid w:val="00470E77"/>
    <w:rsid w:val="00471100"/>
    <w:rsid w:val="00471810"/>
    <w:rsid w:val="004729F7"/>
    <w:rsid w:val="0047384B"/>
    <w:rsid w:val="004743B6"/>
    <w:rsid w:val="004756EC"/>
    <w:rsid w:val="0047591F"/>
    <w:rsid w:val="00475BF8"/>
    <w:rsid w:val="00475CBC"/>
    <w:rsid w:val="004762BA"/>
    <w:rsid w:val="00476AF7"/>
    <w:rsid w:val="00476BD4"/>
    <w:rsid w:val="00476E95"/>
    <w:rsid w:val="004801CA"/>
    <w:rsid w:val="00480502"/>
    <w:rsid w:val="00481215"/>
    <w:rsid w:val="004820BE"/>
    <w:rsid w:val="00483489"/>
    <w:rsid w:val="00483AD9"/>
    <w:rsid w:val="00484327"/>
    <w:rsid w:val="0048522A"/>
    <w:rsid w:val="00485DC1"/>
    <w:rsid w:val="00486B85"/>
    <w:rsid w:val="00486D75"/>
    <w:rsid w:val="0048728D"/>
    <w:rsid w:val="0048745E"/>
    <w:rsid w:val="004910FB"/>
    <w:rsid w:val="00491669"/>
    <w:rsid w:val="00491E48"/>
    <w:rsid w:val="004928CD"/>
    <w:rsid w:val="00492CDF"/>
    <w:rsid w:val="0049309A"/>
    <w:rsid w:val="0049311A"/>
    <w:rsid w:val="0049401B"/>
    <w:rsid w:val="00494D64"/>
    <w:rsid w:val="00495A33"/>
    <w:rsid w:val="00496A0D"/>
    <w:rsid w:val="00496AB0"/>
    <w:rsid w:val="00496B3C"/>
    <w:rsid w:val="004974C1"/>
    <w:rsid w:val="00497881"/>
    <w:rsid w:val="00497930"/>
    <w:rsid w:val="00497A5A"/>
    <w:rsid w:val="00497B37"/>
    <w:rsid w:val="004A0279"/>
    <w:rsid w:val="004A07BA"/>
    <w:rsid w:val="004A0F40"/>
    <w:rsid w:val="004A0FB5"/>
    <w:rsid w:val="004A139C"/>
    <w:rsid w:val="004A1A98"/>
    <w:rsid w:val="004A22D7"/>
    <w:rsid w:val="004A4261"/>
    <w:rsid w:val="004A5F57"/>
    <w:rsid w:val="004A66F8"/>
    <w:rsid w:val="004A6751"/>
    <w:rsid w:val="004A6898"/>
    <w:rsid w:val="004A6EBB"/>
    <w:rsid w:val="004A710C"/>
    <w:rsid w:val="004B018B"/>
    <w:rsid w:val="004B0FF9"/>
    <w:rsid w:val="004B163C"/>
    <w:rsid w:val="004B2833"/>
    <w:rsid w:val="004B2A4F"/>
    <w:rsid w:val="004B2E5A"/>
    <w:rsid w:val="004B31AD"/>
    <w:rsid w:val="004B595C"/>
    <w:rsid w:val="004B5BE1"/>
    <w:rsid w:val="004B5D54"/>
    <w:rsid w:val="004B6AD1"/>
    <w:rsid w:val="004B6C0E"/>
    <w:rsid w:val="004B7E71"/>
    <w:rsid w:val="004C03CC"/>
    <w:rsid w:val="004C042A"/>
    <w:rsid w:val="004C084A"/>
    <w:rsid w:val="004C1035"/>
    <w:rsid w:val="004C1B6A"/>
    <w:rsid w:val="004C1B73"/>
    <w:rsid w:val="004C1C52"/>
    <w:rsid w:val="004C21A4"/>
    <w:rsid w:val="004C247B"/>
    <w:rsid w:val="004C3034"/>
    <w:rsid w:val="004C3110"/>
    <w:rsid w:val="004C33AD"/>
    <w:rsid w:val="004C4106"/>
    <w:rsid w:val="004C6EF0"/>
    <w:rsid w:val="004C72A4"/>
    <w:rsid w:val="004C78CB"/>
    <w:rsid w:val="004D08CB"/>
    <w:rsid w:val="004D0929"/>
    <w:rsid w:val="004D0A57"/>
    <w:rsid w:val="004D151B"/>
    <w:rsid w:val="004D152B"/>
    <w:rsid w:val="004D15EF"/>
    <w:rsid w:val="004D1619"/>
    <w:rsid w:val="004D1FFD"/>
    <w:rsid w:val="004D2850"/>
    <w:rsid w:val="004D2B20"/>
    <w:rsid w:val="004D2C76"/>
    <w:rsid w:val="004D3DC1"/>
    <w:rsid w:val="004D4887"/>
    <w:rsid w:val="004D5426"/>
    <w:rsid w:val="004D5A59"/>
    <w:rsid w:val="004D6364"/>
    <w:rsid w:val="004D696F"/>
    <w:rsid w:val="004D6C19"/>
    <w:rsid w:val="004D6C28"/>
    <w:rsid w:val="004D6CC9"/>
    <w:rsid w:val="004D6D43"/>
    <w:rsid w:val="004D74C9"/>
    <w:rsid w:val="004D7C28"/>
    <w:rsid w:val="004E0745"/>
    <w:rsid w:val="004E1231"/>
    <w:rsid w:val="004E17DC"/>
    <w:rsid w:val="004E19AD"/>
    <w:rsid w:val="004E2640"/>
    <w:rsid w:val="004E2E65"/>
    <w:rsid w:val="004E65F7"/>
    <w:rsid w:val="004E7328"/>
    <w:rsid w:val="004E7542"/>
    <w:rsid w:val="004E7B36"/>
    <w:rsid w:val="004E7BC3"/>
    <w:rsid w:val="004E7F8F"/>
    <w:rsid w:val="004F0445"/>
    <w:rsid w:val="004F04B8"/>
    <w:rsid w:val="004F0729"/>
    <w:rsid w:val="004F1F2B"/>
    <w:rsid w:val="004F1F4A"/>
    <w:rsid w:val="004F22C8"/>
    <w:rsid w:val="004F2BFE"/>
    <w:rsid w:val="004F3D84"/>
    <w:rsid w:val="004F54EF"/>
    <w:rsid w:val="004F5946"/>
    <w:rsid w:val="004F6834"/>
    <w:rsid w:val="004F696B"/>
    <w:rsid w:val="004F69A4"/>
    <w:rsid w:val="004F7121"/>
    <w:rsid w:val="00500D31"/>
    <w:rsid w:val="00502080"/>
    <w:rsid w:val="005023E7"/>
    <w:rsid w:val="00502534"/>
    <w:rsid w:val="00502C84"/>
    <w:rsid w:val="0050347E"/>
    <w:rsid w:val="005035B5"/>
    <w:rsid w:val="005035B6"/>
    <w:rsid w:val="00504157"/>
    <w:rsid w:val="00504297"/>
    <w:rsid w:val="00505A1E"/>
    <w:rsid w:val="00505A5D"/>
    <w:rsid w:val="0050627B"/>
    <w:rsid w:val="00506324"/>
    <w:rsid w:val="00506340"/>
    <w:rsid w:val="00506851"/>
    <w:rsid w:val="00506C77"/>
    <w:rsid w:val="005079F2"/>
    <w:rsid w:val="00507A64"/>
    <w:rsid w:val="00512234"/>
    <w:rsid w:val="0051299B"/>
    <w:rsid w:val="005144FD"/>
    <w:rsid w:val="0051485E"/>
    <w:rsid w:val="00514991"/>
    <w:rsid w:val="00514D86"/>
    <w:rsid w:val="0051519E"/>
    <w:rsid w:val="005155DB"/>
    <w:rsid w:val="00515C3C"/>
    <w:rsid w:val="00515E42"/>
    <w:rsid w:val="00516B7C"/>
    <w:rsid w:val="00516C22"/>
    <w:rsid w:val="0051763F"/>
    <w:rsid w:val="0051795C"/>
    <w:rsid w:val="00517DEE"/>
    <w:rsid w:val="0052026E"/>
    <w:rsid w:val="00520A0C"/>
    <w:rsid w:val="00520AD7"/>
    <w:rsid w:val="00520C98"/>
    <w:rsid w:val="00520DA1"/>
    <w:rsid w:val="00521B41"/>
    <w:rsid w:val="005223B5"/>
    <w:rsid w:val="00522844"/>
    <w:rsid w:val="00523636"/>
    <w:rsid w:val="00523903"/>
    <w:rsid w:val="00524B57"/>
    <w:rsid w:val="00526032"/>
    <w:rsid w:val="005263AD"/>
    <w:rsid w:val="0052666F"/>
    <w:rsid w:val="005269F3"/>
    <w:rsid w:val="00526A32"/>
    <w:rsid w:val="00527B94"/>
    <w:rsid w:val="00527C81"/>
    <w:rsid w:val="005305C4"/>
    <w:rsid w:val="005306ED"/>
    <w:rsid w:val="00530941"/>
    <w:rsid w:val="00531C70"/>
    <w:rsid w:val="00531FBD"/>
    <w:rsid w:val="005321ED"/>
    <w:rsid w:val="00532924"/>
    <w:rsid w:val="00532DB3"/>
    <w:rsid w:val="005355BA"/>
    <w:rsid w:val="005363A9"/>
    <w:rsid w:val="00536AA4"/>
    <w:rsid w:val="00536B5C"/>
    <w:rsid w:val="00537607"/>
    <w:rsid w:val="005379FE"/>
    <w:rsid w:val="00537E5B"/>
    <w:rsid w:val="00543E37"/>
    <w:rsid w:val="005441DE"/>
    <w:rsid w:val="005443F5"/>
    <w:rsid w:val="00544598"/>
    <w:rsid w:val="00544642"/>
    <w:rsid w:val="00545194"/>
    <w:rsid w:val="005456E1"/>
    <w:rsid w:val="00545952"/>
    <w:rsid w:val="0054648F"/>
    <w:rsid w:val="005467B8"/>
    <w:rsid w:val="00546819"/>
    <w:rsid w:val="005471E6"/>
    <w:rsid w:val="00547846"/>
    <w:rsid w:val="00547880"/>
    <w:rsid w:val="00547897"/>
    <w:rsid w:val="00547EF2"/>
    <w:rsid w:val="0055140D"/>
    <w:rsid w:val="00552553"/>
    <w:rsid w:val="00552A7B"/>
    <w:rsid w:val="00552B0C"/>
    <w:rsid w:val="00553C20"/>
    <w:rsid w:val="00554936"/>
    <w:rsid w:val="0055532A"/>
    <w:rsid w:val="00556273"/>
    <w:rsid w:val="00556679"/>
    <w:rsid w:val="00556DC2"/>
    <w:rsid w:val="00557178"/>
    <w:rsid w:val="00557BB5"/>
    <w:rsid w:val="00557CA6"/>
    <w:rsid w:val="00557FDD"/>
    <w:rsid w:val="00560A86"/>
    <w:rsid w:val="0056189B"/>
    <w:rsid w:val="00562042"/>
    <w:rsid w:val="005621A7"/>
    <w:rsid w:val="005621A8"/>
    <w:rsid w:val="00563213"/>
    <w:rsid w:val="00564235"/>
    <w:rsid w:val="005643A2"/>
    <w:rsid w:val="00564821"/>
    <w:rsid w:val="00564847"/>
    <w:rsid w:val="00564BE3"/>
    <w:rsid w:val="005655E7"/>
    <w:rsid w:val="00565AE9"/>
    <w:rsid w:val="005661EE"/>
    <w:rsid w:val="00566963"/>
    <w:rsid w:val="00567572"/>
    <w:rsid w:val="0056776B"/>
    <w:rsid w:val="00567ABF"/>
    <w:rsid w:val="0057037D"/>
    <w:rsid w:val="00570382"/>
    <w:rsid w:val="00570B21"/>
    <w:rsid w:val="0057159A"/>
    <w:rsid w:val="005723E3"/>
    <w:rsid w:val="005726C1"/>
    <w:rsid w:val="005735B0"/>
    <w:rsid w:val="00573A78"/>
    <w:rsid w:val="00573C18"/>
    <w:rsid w:val="005741DE"/>
    <w:rsid w:val="005742CA"/>
    <w:rsid w:val="0057555F"/>
    <w:rsid w:val="00577A69"/>
    <w:rsid w:val="00577F4D"/>
    <w:rsid w:val="00581C48"/>
    <w:rsid w:val="0058240E"/>
    <w:rsid w:val="00582675"/>
    <w:rsid w:val="005830D0"/>
    <w:rsid w:val="00583697"/>
    <w:rsid w:val="005847B0"/>
    <w:rsid w:val="00584BCA"/>
    <w:rsid w:val="00585D27"/>
    <w:rsid w:val="005872AE"/>
    <w:rsid w:val="00587553"/>
    <w:rsid w:val="00587660"/>
    <w:rsid w:val="0058777E"/>
    <w:rsid w:val="005877D2"/>
    <w:rsid w:val="00587D72"/>
    <w:rsid w:val="00587FE8"/>
    <w:rsid w:val="005904B3"/>
    <w:rsid w:val="005904DA"/>
    <w:rsid w:val="005909F5"/>
    <w:rsid w:val="00590D56"/>
    <w:rsid w:val="00591234"/>
    <w:rsid w:val="005913FB"/>
    <w:rsid w:val="00592166"/>
    <w:rsid w:val="005925E5"/>
    <w:rsid w:val="00592EF5"/>
    <w:rsid w:val="00593374"/>
    <w:rsid w:val="005947CD"/>
    <w:rsid w:val="00594D2F"/>
    <w:rsid w:val="00594E66"/>
    <w:rsid w:val="005950A0"/>
    <w:rsid w:val="005966CE"/>
    <w:rsid w:val="00596854"/>
    <w:rsid w:val="00596D62"/>
    <w:rsid w:val="005973FD"/>
    <w:rsid w:val="005A08F6"/>
    <w:rsid w:val="005A0E95"/>
    <w:rsid w:val="005A16D5"/>
    <w:rsid w:val="005A182B"/>
    <w:rsid w:val="005A1EBE"/>
    <w:rsid w:val="005A2636"/>
    <w:rsid w:val="005A2B74"/>
    <w:rsid w:val="005A300F"/>
    <w:rsid w:val="005A31B9"/>
    <w:rsid w:val="005A3618"/>
    <w:rsid w:val="005A3FEA"/>
    <w:rsid w:val="005A416A"/>
    <w:rsid w:val="005A5C79"/>
    <w:rsid w:val="005A6023"/>
    <w:rsid w:val="005A60B2"/>
    <w:rsid w:val="005A66FC"/>
    <w:rsid w:val="005B110A"/>
    <w:rsid w:val="005B2349"/>
    <w:rsid w:val="005B2771"/>
    <w:rsid w:val="005B2E74"/>
    <w:rsid w:val="005B381B"/>
    <w:rsid w:val="005B3AF4"/>
    <w:rsid w:val="005B4251"/>
    <w:rsid w:val="005B47D3"/>
    <w:rsid w:val="005B50AF"/>
    <w:rsid w:val="005B5978"/>
    <w:rsid w:val="005B6037"/>
    <w:rsid w:val="005B7406"/>
    <w:rsid w:val="005B7E15"/>
    <w:rsid w:val="005C019B"/>
    <w:rsid w:val="005C03D5"/>
    <w:rsid w:val="005C0B1C"/>
    <w:rsid w:val="005C0EF6"/>
    <w:rsid w:val="005C1A67"/>
    <w:rsid w:val="005C1DAF"/>
    <w:rsid w:val="005C20D4"/>
    <w:rsid w:val="005C25C1"/>
    <w:rsid w:val="005C28C4"/>
    <w:rsid w:val="005C38BC"/>
    <w:rsid w:val="005C400E"/>
    <w:rsid w:val="005C459C"/>
    <w:rsid w:val="005C4922"/>
    <w:rsid w:val="005C4A00"/>
    <w:rsid w:val="005C4D73"/>
    <w:rsid w:val="005C5041"/>
    <w:rsid w:val="005C52E3"/>
    <w:rsid w:val="005C5376"/>
    <w:rsid w:val="005C5642"/>
    <w:rsid w:val="005C598D"/>
    <w:rsid w:val="005C5FCB"/>
    <w:rsid w:val="005C625A"/>
    <w:rsid w:val="005C7735"/>
    <w:rsid w:val="005C7DDF"/>
    <w:rsid w:val="005D1179"/>
    <w:rsid w:val="005D11E3"/>
    <w:rsid w:val="005D1C62"/>
    <w:rsid w:val="005D2088"/>
    <w:rsid w:val="005D334A"/>
    <w:rsid w:val="005D3D3F"/>
    <w:rsid w:val="005D4139"/>
    <w:rsid w:val="005D4882"/>
    <w:rsid w:val="005D502A"/>
    <w:rsid w:val="005D6431"/>
    <w:rsid w:val="005D6B96"/>
    <w:rsid w:val="005D7244"/>
    <w:rsid w:val="005D724E"/>
    <w:rsid w:val="005D7574"/>
    <w:rsid w:val="005D7676"/>
    <w:rsid w:val="005D7721"/>
    <w:rsid w:val="005D7779"/>
    <w:rsid w:val="005D79C8"/>
    <w:rsid w:val="005E06E3"/>
    <w:rsid w:val="005E0C1C"/>
    <w:rsid w:val="005E10C1"/>
    <w:rsid w:val="005E126F"/>
    <w:rsid w:val="005E199C"/>
    <w:rsid w:val="005E19DF"/>
    <w:rsid w:val="005E227A"/>
    <w:rsid w:val="005E3566"/>
    <w:rsid w:val="005E3E41"/>
    <w:rsid w:val="005E5353"/>
    <w:rsid w:val="005E5FB8"/>
    <w:rsid w:val="005E5FE2"/>
    <w:rsid w:val="005E6FA5"/>
    <w:rsid w:val="005E7E7C"/>
    <w:rsid w:val="005F05C5"/>
    <w:rsid w:val="005F05D8"/>
    <w:rsid w:val="005F0D83"/>
    <w:rsid w:val="005F19D8"/>
    <w:rsid w:val="005F1C03"/>
    <w:rsid w:val="005F21D6"/>
    <w:rsid w:val="005F24A6"/>
    <w:rsid w:val="005F2FBB"/>
    <w:rsid w:val="005F3E62"/>
    <w:rsid w:val="005F400C"/>
    <w:rsid w:val="005F490F"/>
    <w:rsid w:val="005F4B66"/>
    <w:rsid w:val="005F4B8E"/>
    <w:rsid w:val="005F5784"/>
    <w:rsid w:val="005F61BC"/>
    <w:rsid w:val="005F642A"/>
    <w:rsid w:val="005F69C5"/>
    <w:rsid w:val="005F6EF9"/>
    <w:rsid w:val="005F7821"/>
    <w:rsid w:val="00601509"/>
    <w:rsid w:val="006016E1"/>
    <w:rsid w:val="00601796"/>
    <w:rsid w:val="0060180D"/>
    <w:rsid w:val="006024D7"/>
    <w:rsid w:val="00602A6A"/>
    <w:rsid w:val="00603D10"/>
    <w:rsid w:val="00604086"/>
    <w:rsid w:val="00604159"/>
    <w:rsid w:val="00607505"/>
    <w:rsid w:val="00607869"/>
    <w:rsid w:val="006100D0"/>
    <w:rsid w:val="006108CC"/>
    <w:rsid w:val="00610C20"/>
    <w:rsid w:val="006117B6"/>
    <w:rsid w:val="006118AC"/>
    <w:rsid w:val="0061283A"/>
    <w:rsid w:val="00612DBF"/>
    <w:rsid w:val="006136F1"/>
    <w:rsid w:val="00613762"/>
    <w:rsid w:val="00613C04"/>
    <w:rsid w:val="0061409F"/>
    <w:rsid w:val="00614522"/>
    <w:rsid w:val="006148BD"/>
    <w:rsid w:val="0061679E"/>
    <w:rsid w:val="00617912"/>
    <w:rsid w:val="00622332"/>
    <w:rsid w:val="006225D0"/>
    <w:rsid w:val="006229A8"/>
    <w:rsid w:val="00622E43"/>
    <w:rsid w:val="00623092"/>
    <w:rsid w:val="00623235"/>
    <w:rsid w:val="006232F7"/>
    <w:rsid w:val="00623F4A"/>
    <w:rsid w:val="0062434B"/>
    <w:rsid w:val="0062445D"/>
    <w:rsid w:val="00624AB5"/>
    <w:rsid w:val="00625B88"/>
    <w:rsid w:val="00625FA1"/>
    <w:rsid w:val="00625FCB"/>
    <w:rsid w:val="00626261"/>
    <w:rsid w:val="00627C2A"/>
    <w:rsid w:val="0063033F"/>
    <w:rsid w:val="0063183E"/>
    <w:rsid w:val="00632EFC"/>
    <w:rsid w:val="0063358A"/>
    <w:rsid w:val="0063418F"/>
    <w:rsid w:val="0063427C"/>
    <w:rsid w:val="0063585D"/>
    <w:rsid w:val="00636428"/>
    <w:rsid w:val="00636950"/>
    <w:rsid w:val="006375E1"/>
    <w:rsid w:val="00637B57"/>
    <w:rsid w:val="00637D3D"/>
    <w:rsid w:val="0064042B"/>
    <w:rsid w:val="00640820"/>
    <w:rsid w:val="0064103C"/>
    <w:rsid w:val="006414D2"/>
    <w:rsid w:val="00641A74"/>
    <w:rsid w:val="00642D18"/>
    <w:rsid w:val="00643207"/>
    <w:rsid w:val="00643F66"/>
    <w:rsid w:val="00645F27"/>
    <w:rsid w:val="00646046"/>
    <w:rsid w:val="00647111"/>
    <w:rsid w:val="00650679"/>
    <w:rsid w:val="00651201"/>
    <w:rsid w:val="006514BD"/>
    <w:rsid w:val="00651978"/>
    <w:rsid w:val="00651AC2"/>
    <w:rsid w:val="00652275"/>
    <w:rsid w:val="0065320C"/>
    <w:rsid w:val="0065354D"/>
    <w:rsid w:val="006539E2"/>
    <w:rsid w:val="00654838"/>
    <w:rsid w:val="00654DDC"/>
    <w:rsid w:val="0065510A"/>
    <w:rsid w:val="00655C52"/>
    <w:rsid w:val="00655D7F"/>
    <w:rsid w:val="00655DD5"/>
    <w:rsid w:val="00656B4A"/>
    <w:rsid w:val="00656C63"/>
    <w:rsid w:val="00656C99"/>
    <w:rsid w:val="00657679"/>
    <w:rsid w:val="00657716"/>
    <w:rsid w:val="006579F4"/>
    <w:rsid w:val="00657B22"/>
    <w:rsid w:val="00660008"/>
    <w:rsid w:val="00660A78"/>
    <w:rsid w:val="00661043"/>
    <w:rsid w:val="00661413"/>
    <w:rsid w:val="00661B40"/>
    <w:rsid w:val="00661C62"/>
    <w:rsid w:val="00661E02"/>
    <w:rsid w:val="00661FF6"/>
    <w:rsid w:val="0066305D"/>
    <w:rsid w:val="00664D74"/>
    <w:rsid w:val="00664F3D"/>
    <w:rsid w:val="00665F30"/>
    <w:rsid w:val="00666DDA"/>
    <w:rsid w:val="00667598"/>
    <w:rsid w:val="00667FB0"/>
    <w:rsid w:val="0067079C"/>
    <w:rsid w:val="00671852"/>
    <w:rsid w:val="00671BED"/>
    <w:rsid w:val="00671CCF"/>
    <w:rsid w:val="006721CE"/>
    <w:rsid w:val="00672B5D"/>
    <w:rsid w:val="00672DB3"/>
    <w:rsid w:val="006740C7"/>
    <w:rsid w:val="006748D0"/>
    <w:rsid w:val="0067494E"/>
    <w:rsid w:val="00674FB6"/>
    <w:rsid w:val="00675A57"/>
    <w:rsid w:val="00675AB4"/>
    <w:rsid w:val="00675E2C"/>
    <w:rsid w:val="00680711"/>
    <w:rsid w:val="00680C71"/>
    <w:rsid w:val="00680FC7"/>
    <w:rsid w:val="0068100C"/>
    <w:rsid w:val="006813FC"/>
    <w:rsid w:val="0068156E"/>
    <w:rsid w:val="00681A39"/>
    <w:rsid w:val="0068224C"/>
    <w:rsid w:val="006833F2"/>
    <w:rsid w:val="0068422F"/>
    <w:rsid w:val="00684F6F"/>
    <w:rsid w:val="006850A8"/>
    <w:rsid w:val="00686131"/>
    <w:rsid w:val="00687DEE"/>
    <w:rsid w:val="00687E78"/>
    <w:rsid w:val="00690673"/>
    <w:rsid w:val="00690F98"/>
    <w:rsid w:val="00691E77"/>
    <w:rsid w:val="006922AD"/>
    <w:rsid w:val="00692397"/>
    <w:rsid w:val="006947A0"/>
    <w:rsid w:val="006947F4"/>
    <w:rsid w:val="006948BA"/>
    <w:rsid w:val="00694A5E"/>
    <w:rsid w:val="00694FDC"/>
    <w:rsid w:val="006953E2"/>
    <w:rsid w:val="0069567D"/>
    <w:rsid w:val="006956A1"/>
    <w:rsid w:val="006967D2"/>
    <w:rsid w:val="00696DA6"/>
    <w:rsid w:val="00697258"/>
    <w:rsid w:val="0069736D"/>
    <w:rsid w:val="006A0361"/>
    <w:rsid w:val="006A06A6"/>
    <w:rsid w:val="006A1909"/>
    <w:rsid w:val="006A2A16"/>
    <w:rsid w:val="006A2BC1"/>
    <w:rsid w:val="006A2DD0"/>
    <w:rsid w:val="006A2ED3"/>
    <w:rsid w:val="006A3419"/>
    <w:rsid w:val="006A3A9D"/>
    <w:rsid w:val="006A5235"/>
    <w:rsid w:val="006A55A0"/>
    <w:rsid w:val="006A731D"/>
    <w:rsid w:val="006A737E"/>
    <w:rsid w:val="006B0CF6"/>
    <w:rsid w:val="006B1DDB"/>
    <w:rsid w:val="006B2E57"/>
    <w:rsid w:val="006B5105"/>
    <w:rsid w:val="006B5918"/>
    <w:rsid w:val="006B5952"/>
    <w:rsid w:val="006B5BB6"/>
    <w:rsid w:val="006B6197"/>
    <w:rsid w:val="006B62D3"/>
    <w:rsid w:val="006B6463"/>
    <w:rsid w:val="006B6569"/>
    <w:rsid w:val="006B6633"/>
    <w:rsid w:val="006B7302"/>
    <w:rsid w:val="006B7814"/>
    <w:rsid w:val="006C03BB"/>
    <w:rsid w:val="006C0506"/>
    <w:rsid w:val="006C0C30"/>
    <w:rsid w:val="006C0E5D"/>
    <w:rsid w:val="006C0E9D"/>
    <w:rsid w:val="006C154B"/>
    <w:rsid w:val="006C26EE"/>
    <w:rsid w:val="006C2AA7"/>
    <w:rsid w:val="006C300C"/>
    <w:rsid w:val="006C38B2"/>
    <w:rsid w:val="006C4F13"/>
    <w:rsid w:val="006C5C57"/>
    <w:rsid w:val="006C5E8C"/>
    <w:rsid w:val="006C738B"/>
    <w:rsid w:val="006C7471"/>
    <w:rsid w:val="006C75A1"/>
    <w:rsid w:val="006D0854"/>
    <w:rsid w:val="006D16C8"/>
    <w:rsid w:val="006D2513"/>
    <w:rsid w:val="006D268D"/>
    <w:rsid w:val="006D33D0"/>
    <w:rsid w:val="006D3420"/>
    <w:rsid w:val="006D40D6"/>
    <w:rsid w:val="006D41CC"/>
    <w:rsid w:val="006D590C"/>
    <w:rsid w:val="006D5927"/>
    <w:rsid w:val="006D5FDD"/>
    <w:rsid w:val="006D6963"/>
    <w:rsid w:val="006D6EEA"/>
    <w:rsid w:val="006D764A"/>
    <w:rsid w:val="006E13ED"/>
    <w:rsid w:val="006E15B8"/>
    <w:rsid w:val="006E24BA"/>
    <w:rsid w:val="006E2659"/>
    <w:rsid w:val="006E3E5E"/>
    <w:rsid w:val="006E43F5"/>
    <w:rsid w:val="006E5630"/>
    <w:rsid w:val="006E5E9B"/>
    <w:rsid w:val="006E60B3"/>
    <w:rsid w:val="006E60B8"/>
    <w:rsid w:val="006E6772"/>
    <w:rsid w:val="006E6EF1"/>
    <w:rsid w:val="006E6F8D"/>
    <w:rsid w:val="006F0072"/>
    <w:rsid w:val="006F21FF"/>
    <w:rsid w:val="006F2B7A"/>
    <w:rsid w:val="006F3252"/>
    <w:rsid w:val="006F3B05"/>
    <w:rsid w:val="006F4BDE"/>
    <w:rsid w:val="006F4FB2"/>
    <w:rsid w:val="006F5660"/>
    <w:rsid w:val="006F568A"/>
    <w:rsid w:val="006F6190"/>
    <w:rsid w:val="006F6795"/>
    <w:rsid w:val="006F68D8"/>
    <w:rsid w:val="007014D8"/>
    <w:rsid w:val="00702FFF"/>
    <w:rsid w:val="0070367D"/>
    <w:rsid w:val="0070388E"/>
    <w:rsid w:val="00704227"/>
    <w:rsid w:val="007042FB"/>
    <w:rsid w:val="00704DA4"/>
    <w:rsid w:val="0070566C"/>
    <w:rsid w:val="007057F2"/>
    <w:rsid w:val="00705D2C"/>
    <w:rsid w:val="007063D6"/>
    <w:rsid w:val="00706798"/>
    <w:rsid w:val="00706D6A"/>
    <w:rsid w:val="00707396"/>
    <w:rsid w:val="00710596"/>
    <w:rsid w:val="00711D34"/>
    <w:rsid w:val="00712690"/>
    <w:rsid w:val="007127F1"/>
    <w:rsid w:val="00712D11"/>
    <w:rsid w:val="00713A0E"/>
    <w:rsid w:val="0071436D"/>
    <w:rsid w:val="00714812"/>
    <w:rsid w:val="007154C7"/>
    <w:rsid w:val="00715B88"/>
    <w:rsid w:val="00716DC8"/>
    <w:rsid w:val="0071701F"/>
    <w:rsid w:val="00717A83"/>
    <w:rsid w:val="00720226"/>
    <w:rsid w:val="00721128"/>
    <w:rsid w:val="00721447"/>
    <w:rsid w:val="0072317F"/>
    <w:rsid w:val="007232D7"/>
    <w:rsid w:val="0072373E"/>
    <w:rsid w:val="00723FB8"/>
    <w:rsid w:val="00724283"/>
    <w:rsid w:val="007243F2"/>
    <w:rsid w:val="00724B81"/>
    <w:rsid w:val="00725A62"/>
    <w:rsid w:val="00726005"/>
    <w:rsid w:val="007268D7"/>
    <w:rsid w:val="00726FDF"/>
    <w:rsid w:val="007277D7"/>
    <w:rsid w:val="007309E7"/>
    <w:rsid w:val="00730C35"/>
    <w:rsid w:val="00732EE3"/>
    <w:rsid w:val="00733103"/>
    <w:rsid w:val="007337C3"/>
    <w:rsid w:val="00733D26"/>
    <w:rsid w:val="00736FD1"/>
    <w:rsid w:val="007375ED"/>
    <w:rsid w:val="007403DE"/>
    <w:rsid w:val="00740676"/>
    <w:rsid w:val="007407F1"/>
    <w:rsid w:val="007410D4"/>
    <w:rsid w:val="00741178"/>
    <w:rsid w:val="00742963"/>
    <w:rsid w:val="00742B41"/>
    <w:rsid w:val="00743039"/>
    <w:rsid w:val="00743554"/>
    <w:rsid w:val="007438E3"/>
    <w:rsid w:val="0074421B"/>
    <w:rsid w:val="007444E3"/>
    <w:rsid w:val="00745616"/>
    <w:rsid w:val="00745DF8"/>
    <w:rsid w:val="00746C2B"/>
    <w:rsid w:val="0075025D"/>
    <w:rsid w:val="00751E42"/>
    <w:rsid w:val="007521CF"/>
    <w:rsid w:val="007525E6"/>
    <w:rsid w:val="0075277B"/>
    <w:rsid w:val="00752ADC"/>
    <w:rsid w:val="007537FB"/>
    <w:rsid w:val="00753F63"/>
    <w:rsid w:val="00754B7E"/>
    <w:rsid w:val="00756852"/>
    <w:rsid w:val="00757605"/>
    <w:rsid w:val="00757633"/>
    <w:rsid w:val="00757753"/>
    <w:rsid w:val="0075790C"/>
    <w:rsid w:val="00757B3A"/>
    <w:rsid w:val="00760839"/>
    <w:rsid w:val="00761536"/>
    <w:rsid w:val="0076189D"/>
    <w:rsid w:val="00761C8D"/>
    <w:rsid w:val="00761E09"/>
    <w:rsid w:val="0076200F"/>
    <w:rsid w:val="00762C1C"/>
    <w:rsid w:val="0076428A"/>
    <w:rsid w:val="00764557"/>
    <w:rsid w:val="00764EE0"/>
    <w:rsid w:val="0076598F"/>
    <w:rsid w:val="00765EE0"/>
    <w:rsid w:val="00766241"/>
    <w:rsid w:val="00766B2F"/>
    <w:rsid w:val="00766DBF"/>
    <w:rsid w:val="007710D1"/>
    <w:rsid w:val="00771AA8"/>
    <w:rsid w:val="00772B2C"/>
    <w:rsid w:val="00774BF7"/>
    <w:rsid w:val="00774D30"/>
    <w:rsid w:val="007752A3"/>
    <w:rsid w:val="00775881"/>
    <w:rsid w:val="00775A94"/>
    <w:rsid w:val="007768A4"/>
    <w:rsid w:val="00776979"/>
    <w:rsid w:val="007805B1"/>
    <w:rsid w:val="007811E1"/>
    <w:rsid w:val="007812BA"/>
    <w:rsid w:val="0078148A"/>
    <w:rsid w:val="00781754"/>
    <w:rsid w:val="00781C6B"/>
    <w:rsid w:val="00781F1F"/>
    <w:rsid w:val="00782E8B"/>
    <w:rsid w:val="00783177"/>
    <w:rsid w:val="007832E4"/>
    <w:rsid w:val="00783834"/>
    <w:rsid w:val="007842BA"/>
    <w:rsid w:val="0078432F"/>
    <w:rsid w:val="007843EA"/>
    <w:rsid w:val="00784A5B"/>
    <w:rsid w:val="007855A2"/>
    <w:rsid w:val="00785A7C"/>
    <w:rsid w:val="00785AB0"/>
    <w:rsid w:val="00786C65"/>
    <w:rsid w:val="00786F11"/>
    <w:rsid w:val="007873B4"/>
    <w:rsid w:val="007900C0"/>
    <w:rsid w:val="007915C6"/>
    <w:rsid w:val="00791A02"/>
    <w:rsid w:val="00791D20"/>
    <w:rsid w:val="007928AC"/>
    <w:rsid w:val="00792D02"/>
    <w:rsid w:val="00792E67"/>
    <w:rsid w:val="00793166"/>
    <w:rsid w:val="00793697"/>
    <w:rsid w:val="007938A3"/>
    <w:rsid w:val="007940FD"/>
    <w:rsid w:val="007943C0"/>
    <w:rsid w:val="007945D9"/>
    <w:rsid w:val="00794940"/>
    <w:rsid w:val="00796152"/>
    <w:rsid w:val="00796188"/>
    <w:rsid w:val="0079620C"/>
    <w:rsid w:val="00796CE6"/>
    <w:rsid w:val="007973AA"/>
    <w:rsid w:val="00797CBD"/>
    <w:rsid w:val="007A085C"/>
    <w:rsid w:val="007A0F7A"/>
    <w:rsid w:val="007A1181"/>
    <w:rsid w:val="007A190C"/>
    <w:rsid w:val="007A247F"/>
    <w:rsid w:val="007A2ECA"/>
    <w:rsid w:val="007A3373"/>
    <w:rsid w:val="007A3382"/>
    <w:rsid w:val="007A457D"/>
    <w:rsid w:val="007A4625"/>
    <w:rsid w:val="007A4BC9"/>
    <w:rsid w:val="007A596D"/>
    <w:rsid w:val="007A5F7E"/>
    <w:rsid w:val="007A6D06"/>
    <w:rsid w:val="007A7C1D"/>
    <w:rsid w:val="007B0142"/>
    <w:rsid w:val="007B0AA5"/>
    <w:rsid w:val="007B0B85"/>
    <w:rsid w:val="007B19D2"/>
    <w:rsid w:val="007B1C55"/>
    <w:rsid w:val="007B27A5"/>
    <w:rsid w:val="007B2B46"/>
    <w:rsid w:val="007B2FA6"/>
    <w:rsid w:val="007B3F65"/>
    <w:rsid w:val="007B4F7D"/>
    <w:rsid w:val="007B51A0"/>
    <w:rsid w:val="007B56E5"/>
    <w:rsid w:val="007B5B28"/>
    <w:rsid w:val="007B5BA7"/>
    <w:rsid w:val="007B61E1"/>
    <w:rsid w:val="007B6D63"/>
    <w:rsid w:val="007B6D68"/>
    <w:rsid w:val="007B7643"/>
    <w:rsid w:val="007B7754"/>
    <w:rsid w:val="007B7CBD"/>
    <w:rsid w:val="007C368B"/>
    <w:rsid w:val="007C371F"/>
    <w:rsid w:val="007C3D21"/>
    <w:rsid w:val="007C4297"/>
    <w:rsid w:val="007C45E1"/>
    <w:rsid w:val="007C4694"/>
    <w:rsid w:val="007C72DA"/>
    <w:rsid w:val="007C75CD"/>
    <w:rsid w:val="007C7EF2"/>
    <w:rsid w:val="007D1DA1"/>
    <w:rsid w:val="007D26FE"/>
    <w:rsid w:val="007D277A"/>
    <w:rsid w:val="007D3386"/>
    <w:rsid w:val="007D3E6C"/>
    <w:rsid w:val="007D4BF7"/>
    <w:rsid w:val="007D50DD"/>
    <w:rsid w:val="007D61AA"/>
    <w:rsid w:val="007D6999"/>
    <w:rsid w:val="007D6A7A"/>
    <w:rsid w:val="007D7EFB"/>
    <w:rsid w:val="007E0D0D"/>
    <w:rsid w:val="007E16F1"/>
    <w:rsid w:val="007E2152"/>
    <w:rsid w:val="007E28C9"/>
    <w:rsid w:val="007E2C97"/>
    <w:rsid w:val="007E37AA"/>
    <w:rsid w:val="007E3C0A"/>
    <w:rsid w:val="007E4E54"/>
    <w:rsid w:val="007E6ABF"/>
    <w:rsid w:val="007E7675"/>
    <w:rsid w:val="007F01B0"/>
    <w:rsid w:val="007F02C5"/>
    <w:rsid w:val="007F0670"/>
    <w:rsid w:val="007F17A9"/>
    <w:rsid w:val="007F2D62"/>
    <w:rsid w:val="007F317F"/>
    <w:rsid w:val="007F341E"/>
    <w:rsid w:val="007F3B25"/>
    <w:rsid w:val="007F3C9E"/>
    <w:rsid w:val="007F3DD6"/>
    <w:rsid w:val="007F4062"/>
    <w:rsid w:val="007F425D"/>
    <w:rsid w:val="007F4276"/>
    <w:rsid w:val="007F5C71"/>
    <w:rsid w:val="007F65CD"/>
    <w:rsid w:val="007F6A2E"/>
    <w:rsid w:val="007F7431"/>
    <w:rsid w:val="007F7777"/>
    <w:rsid w:val="007F7CD9"/>
    <w:rsid w:val="008001EC"/>
    <w:rsid w:val="008005BF"/>
    <w:rsid w:val="008007B7"/>
    <w:rsid w:val="008017A4"/>
    <w:rsid w:val="00802BB2"/>
    <w:rsid w:val="00802D3E"/>
    <w:rsid w:val="008030B3"/>
    <w:rsid w:val="008030FF"/>
    <w:rsid w:val="00803329"/>
    <w:rsid w:val="00803851"/>
    <w:rsid w:val="00803990"/>
    <w:rsid w:val="008048F1"/>
    <w:rsid w:val="00804E4F"/>
    <w:rsid w:val="00804EDB"/>
    <w:rsid w:val="0080544A"/>
    <w:rsid w:val="00805643"/>
    <w:rsid w:val="00806B9C"/>
    <w:rsid w:val="00807941"/>
    <w:rsid w:val="00810F0A"/>
    <w:rsid w:val="00811632"/>
    <w:rsid w:val="0081181E"/>
    <w:rsid w:val="00811E6B"/>
    <w:rsid w:val="00811E75"/>
    <w:rsid w:val="00812038"/>
    <w:rsid w:val="00812045"/>
    <w:rsid w:val="0081403B"/>
    <w:rsid w:val="008153A9"/>
    <w:rsid w:val="0081559A"/>
    <w:rsid w:val="00815762"/>
    <w:rsid w:val="00815B18"/>
    <w:rsid w:val="00815D4B"/>
    <w:rsid w:val="008163A4"/>
    <w:rsid w:val="00816670"/>
    <w:rsid w:val="008167D3"/>
    <w:rsid w:val="008205B2"/>
    <w:rsid w:val="00820C3F"/>
    <w:rsid w:val="00820DEB"/>
    <w:rsid w:val="008211E2"/>
    <w:rsid w:val="00821BEC"/>
    <w:rsid w:val="00822433"/>
    <w:rsid w:val="00822ED2"/>
    <w:rsid w:val="00823953"/>
    <w:rsid w:val="00823B00"/>
    <w:rsid w:val="00824A59"/>
    <w:rsid w:val="00824B97"/>
    <w:rsid w:val="00825B60"/>
    <w:rsid w:val="00826719"/>
    <w:rsid w:val="008267B2"/>
    <w:rsid w:val="008276BC"/>
    <w:rsid w:val="00827887"/>
    <w:rsid w:val="00830130"/>
    <w:rsid w:val="00831843"/>
    <w:rsid w:val="00831F38"/>
    <w:rsid w:val="00832171"/>
    <w:rsid w:val="00832358"/>
    <w:rsid w:val="00832584"/>
    <w:rsid w:val="00832609"/>
    <w:rsid w:val="0083291F"/>
    <w:rsid w:val="00832FF4"/>
    <w:rsid w:val="00833A99"/>
    <w:rsid w:val="00834665"/>
    <w:rsid w:val="0083547B"/>
    <w:rsid w:val="00835BED"/>
    <w:rsid w:val="00835EA7"/>
    <w:rsid w:val="00836777"/>
    <w:rsid w:val="008368DB"/>
    <w:rsid w:val="00840E39"/>
    <w:rsid w:val="0084198F"/>
    <w:rsid w:val="00843276"/>
    <w:rsid w:val="00844D6B"/>
    <w:rsid w:val="0084531B"/>
    <w:rsid w:val="008461D1"/>
    <w:rsid w:val="00846229"/>
    <w:rsid w:val="0084623D"/>
    <w:rsid w:val="00846D59"/>
    <w:rsid w:val="00846EEA"/>
    <w:rsid w:val="00847124"/>
    <w:rsid w:val="00847D4F"/>
    <w:rsid w:val="00847D71"/>
    <w:rsid w:val="00850155"/>
    <w:rsid w:val="008502E3"/>
    <w:rsid w:val="0085102D"/>
    <w:rsid w:val="00851DEC"/>
    <w:rsid w:val="00852842"/>
    <w:rsid w:val="00852919"/>
    <w:rsid w:val="008530D8"/>
    <w:rsid w:val="0085324F"/>
    <w:rsid w:val="00853911"/>
    <w:rsid w:val="00853DE7"/>
    <w:rsid w:val="00854621"/>
    <w:rsid w:val="008549EA"/>
    <w:rsid w:val="0085517B"/>
    <w:rsid w:val="00855F5F"/>
    <w:rsid w:val="008601FA"/>
    <w:rsid w:val="00860351"/>
    <w:rsid w:val="00861045"/>
    <w:rsid w:val="00861268"/>
    <w:rsid w:val="00861EA5"/>
    <w:rsid w:val="0086392F"/>
    <w:rsid w:val="0086393F"/>
    <w:rsid w:val="00863B01"/>
    <w:rsid w:val="0086478C"/>
    <w:rsid w:val="0086531F"/>
    <w:rsid w:val="008665A5"/>
    <w:rsid w:val="008667FD"/>
    <w:rsid w:val="00866895"/>
    <w:rsid w:val="0086765B"/>
    <w:rsid w:val="00870853"/>
    <w:rsid w:val="00870CD1"/>
    <w:rsid w:val="008718DC"/>
    <w:rsid w:val="0087198A"/>
    <w:rsid w:val="00871ABD"/>
    <w:rsid w:val="00871C59"/>
    <w:rsid w:val="00871FFA"/>
    <w:rsid w:val="00874415"/>
    <w:rsid w:val="00874428"/>
    <w:rsid w:val="008761DE"/>
    <w:rsid w:val="00876999"/>
    <w:rsid w:val="008774A4"/>
    <w:rsid w:val="0087762F"/>
    <w:rsid w:val="0087771C"/>
    <w:rsid w:val="008778D7"/>
    <w:rsid w:val="00880319"/>
    <w:rsid w:val="00880874"/>
    <w:rsid w:val="00882178"/>
    <w:rsid w:val="00882A9D"/>
    <w:rsid w:val="008846A1"/>
    <w:rsid w:val="00884A55"/>
    <w:rsid w:val="00884DFE"/>
    <w:rsid w:val="00885603"/>
    <w:rsid w:val="008859B4"/>
    <w:rsid w:val="008866B2"/>
    <w:rsid w:val="0088673D"/>
    <w:rsid w:val="0088764D"/>
    <w:rsid w:val="00887685"/>
    <w:rsid w:val="0088796C"/>
    <w:rsid w:val="00887B83"/>
    <w:rsid w:val="00887CA4"/>
    <w:rsid w:val="0089018E"/>
    <w:rsid w:val="008908C2"/>
    <w:rsid w:val="00890E36"/>
    <w:rsid w:val="00891270"/>
    <w:rsid w:val="008918AF"/>
    <w:rsid w:val="00891921"/>
    <w:rsid w:val="00891C57"/>
    <w:rsid w:val="0089232C"/>
    <w:rsid w:val="00892A3C"/>
    <w:rsid w:val="00892C73"/>
    <w:rsid w:val="00893192"/>
    <w:rsid w:val="008933EC"/>
    <w:rsid w:val="0089349D"/>
    <w:rsid w:val="00893B96"/>
    <w:rsid w:val="008948B1"/>
    <w:rsid w:val="00894DCA"/>
    <w:rsid w:val="00894DDD"/>
    <w:rsid w:val="00894FC4"/>
    <w:rsid w:val="008961C9"/>
    <w:rsid w:val="0089651A"/>
    <w:rsid w:val="00896B3A"/>
    <w:rsid w:val="00896CB5"/>
    <w:rsid w:val="00897228"/>
    <w:rsid w:val="0089744C"/>
    <w:rsid w:val="008A0012"/>
    <w:rsid w:val="008A11F3"/>
    <w:rsid w:val="008A1E79"/>
    <w:rsid w:val="008A1EBA"/>
    <w:rsid w:val="008A22A0"/>
    <w:rsid w:val="008A2668"/>
    <w:rsid w:val="008A2CC7"/>
    <w:rsid w:val="008A2F5E"/>
    <w:rsid w:val="008A348E"/>
    <w:rsid w:val="008A4681"/>
    <w:rsid w:val="008A54F8"/>
    <w:rsid w:val="008A61E0"/>
    <w:rsid w:val="008A7299"/>
    <w:rsid w:val="008B0F5F"/>
    <w:rsid w:val="008B1800"/>
    <w:rsid w:val="008B1C2F"/>
    <w:rsid w:val="008B328E"/>
    <w:rsid w:val="008B392C"/>
    <w:rsid w:val="008B400B"/>
    <w:rsid w:val="008B43F6"/>
    <w:rsid w:val="008B5876"/>
    <w:rsid w:val="008B59CB"/>
    <w:rsid w:val="008B7B4A"/>
    <w:rsid w:val="008C0236"/>
    <w:rsid w:val="008C1218"/>
    <w:rsid w:val="008C1DF9"/>
    <w:rsid w:val="008C218F"/>
    <w:rsid w:val="008C2398"/>
    <w:rsid w:val="008C2564"/>
    <w:rsid w:val="008C2E57"/>
    <w:rsid w:val="008C30BA"/>
    <w:rsid w:val="008C3336"/>
    <w:rsid w:val="008C3CE1"/>
    <w:rsid w:val="008C3E77"/>
    <w:rsid w:val="008C46F9"/>
    <w:rsid w:val="008C48DF"/>
    <w:rsid w:val="008C4940"/>
    <w:rsid w:val="008C52A5"/>
    <w:rsid w:val="008C52DF"/>
    <w:rsid w:val="008C5E1F"/>
    <w:rsid w:val="008C6102"/>
    <w:rsid w:val="008C66F9"/>
    <w:rsid w:val="008C78F3"/>
    <w:rsid w:val="008D00D3"/>
    <w:rsid w:val="008D0CDE"/>
    <w:rsid w:val="008D0F32"/>
    <w:rsid w:val="008D0F99"/>
    <w:rsid w:val="008D13C3"/>
    <w:rsid w:val="008D2841"/>
    <w:rsid w:val="008D3B8E"/>
    <w:rsid w:val="008D4041"/>
    <w:rsid w:val="008D4164"/>
    <w:rsid w:val="008D48E6"/>
    <w:rsid w:val="008D547C"/>
    <w:rsid w:val="008D54B6"/>
    <w:rsid w:val="008D598E"/>
    <w:rsid w:val="008D5F92"/>
    <w:rsid w:val="008D6B07"/>
    <w:rsid w:val="008D6BD7"/>
    <w:rsid w:val="008D6BFC"/>
    <w:rsid w:val="008D7385"/>
    <w:rsid w:val="008D76BA"/>
    <w:rsid w:val="008D77E3"/>
    <w:rsid w:val="008D7D6B"/>
    <w:rsid w:val="008D7ECD"/>
    <w:rsid w:val="008E08AC"/>
    <w:rsid w:val="008E0A2B"/>
    <w:rsid w:val="008E0BCC"/>
    <w:rsid w:val="008E1B00"/>
    <w:rsid w:val="008E1B6F"/>
    <w:rsid w:val="008E2088"/>
    <w:rsid w:val="008E216C"/>
    <w:rsid w:val="008E2650"/>
    <w:rsid w:val="008E2F42"/>
    <w:rsid w:val="008E2F81"/>
    <w:rsid w:val="008E31AD"/>
    <w:rsid w:val="008E38CC"/>
    <w:rsid w:val="008E3D25"/>
    <w:rsid w:val="008E6591"/>
    <w:rsid w:val="008E763A"/>
    <w:rsid w:val="008E78C0"/>
    <w:rsid w:val="008E7FF5"/>
    <w:rsid w:val="008F0450"/>
    <w:rsid w:val="008F0761"/>
    <w:rsid w:val="008F1BF5"/>
    <w:rsid w:val="008F256B"/>
    <w:rsid w:val="008F2646"/>
    <w:rsid w:val="008F35F2"/>
    <w:rsid w:val="008F3606"/>
    <w:rsid w:val="008F53DF"/>
    <w:rsid w:val="008F6C5E"/>
    <w:rsid w:val="008F6F42"/>
    <w:rsid w:val="008F7465"/>
    <w:rsid w:val="008F76C2"/>
    <w:rsid w:val="00900020"/>
    <w:rsid w:val="00900A81"/>
    <w:rsid w:val="00900A92"/>
    <w:rsid w:val="00900F20"/>
    <w:rsid w:val="00902C63"/>
    <w:rsid w:val="00902D9A"/>
    <w:rsid w:val="00902E42"/>
    <w:rsid w:val="00903C7B"/>
    <w:rsid w:val="00904CAF"/>
    <w:rsid w:val="00905498"/>
    <w:rsid w:val="009056EA"/>
    <w:rsid w:val="0090669C"/>
    <w:rsid w:val="00906708"/>
    <w:rsid w:val="0090708C"/>
    <w:rsid w:val="0090765B"/>
    <w:rsid w:val="009100D2"/>
    <w:rsid w:val="00910365"/>
    <w:rsid w:val="00910377"/>
    <w:rsid w:val="0091049E"/>
    <w:rsid w:val="00910529"/>
    <w:rsid w:val="00910833"/>
    <w:rsid w:val="00910AC1"/>
    <w:rsid w:val="00911509"/>
    <w:rsid w:val="00911511"/>
    <w:rsid w:val="0091225E"/>
    <w:rsid w:val="00912973"/>
    <w:rsid w:val="00913205"/>
    <w:rsid w:val="00913A4C"/>
    <w:rsid w:val="00913CB5"/>
    <w:rsid w:val="009148E0"/>
    <w:rsid w:val="00915524"/>
    <w:rsid w:val="00915A5E"/>
    <w:rsid w:val="00915C36"/>
    <w:rsid w:val="009167CB"/>
    <w:rsid w:val="00916EEE"/>
    <w:rsid w:val="0091784E"/>
    <w:rsid w:val="00917A91"/>
    <w:rsid w:val="00920D16"/>
    <w:rsid w:val="00922043"/>
    <w:rsid w:val="00922573"/>
    <w:rsid w:val="00922924"/>
    <w:rsid w:val="00922E64"/>
    <w:rsid w:val="009237E3"/>
    <w:rsid w:val="00924272"/>
    <w:rsid w:val="009245DA"/>
    <w:rsid w:val="009256AF"/>
    <w:rsid w:val="00926623"/>
    <w:rsid w:val="00926875"/>
    <w:rsid w:val="009268E0"/>
    <w:rsid w:val="00926F28"/>
    <w:rsid w:val="009305F7"/>
    <w:rsid w:val="009317F9"/>
    <w:rsid w:val="00932178"/>
    <w:rsid w:val="00932321"/>
    <w:rsid w:val="00932326"/>
    <w:rsid w:val="009331FD"/>
    <w:rsid w:val="00933610"/>
    <w:rsid w:val="00933BCD"/>
    <w:rsid w:val="00933C4B"/>
    <w:rsid w:val="00933D88"/>
    <w:rsid w:val="00933F4C"/>
    <w:rsid w:val="00934376"/>
    <w:rsid w:val="00934547"/>
    <w:rsid w:val="009346D9"/>
    <w:rsid w:val="009348B6"/>
    <w:rsid w:val="00935256"/>
    <w:rsid w:val="0093525E"/>
    <w:rsid w:val="00935601"/>
    <w:rsid w:val="00935883"/>
    <w:rsid w:val="00936CFF"/>
    <w:rsid w:val="00937F59"/>
    <w:rsid w:val="009402B2"/>
    <w:rsid w:val="009405B6"/>
    <w:rsid w:val="00940934"/>
    <w:rsid w:val="009414CA"/>
    <w:rsid w:val="00941979"/>
    <w:rsid w:val="00941FA4"/>
    <w:rsid w:val="00942B37"/>
    <w:rsid w:val="00943EA5"/>
    <w:rsid w:val="00943F0A"/>
    <w:rsid w:val="00944C3C"/>
    <w:rsid w:val="009451C3"/>
    <w:rsid w:val="00946029"/>
    <w:rsid w:val="00946977"/>
    <w:rsid w:val="009478E6"/>
    <w:rsid w:val="00947BC0"/>
    <w:rsid w:val="009500C7"/>
    <w:rsid w:val="00950547"/>
    <w:rsid w:val="009506F7"/>
    <w:rsid w:val="00952094"/>
    <w:rsid w:val="009529BF"/>
    <w:rsid w:val="0095478A"/>
    <w:rsid w:val="00954A9A"/>
    <w:rsid w:val="009559B3"/>
    <w:rsid w:val="00955A7F"/>
    <w:rsid w:val="00955F82"/>
    <w:rsid w:val="00956B27"/>
    <w:rsid w:val="0095728D"/>
    <w:rsid w:val="00957A4E"/>
    <w:rsid w:val="00957B66"/>
    <w:rsid w:val="00957CED"/>
    <w:rsid w:val="00960333"/>
    <w:rsid w:val="00960566"/>
    <w:rsid w:val="00961B08"/>
    <w:rsid w:val="0096249E"/>
    <w:rsid w:val="00962C61"/>
    <w:rsid w:val="00963421"/>
    <w:rsid w:val="0096456B"/>
    <w:rsid w:val="00964BB8"/>
    <w:rsid w:val="00964FE9"/>
    <w:rsid w:val="009653E7"/>
    <w:rsid w:val="00965D3F"/>
    <w:rsid w:val="0096701F"/>
    <w:rsid w:val="00967088"/>
    <w:rsid w:val="00967A3C"/>
    <w:rsid w:val="00967DA7"/>
    <w:rsid w:val="00970A4D"/>
    <w:rsid w:val="00970C2D"/>
    <w:rsid w:val="00970D4E"/>
    <w:rsid w:val="0097108A"/>
    <w:rsid w:val="009715ED"/>
    <w:rsid w:val="00972EF1"/>
    <w:rsid w:val="00972F36"/>
    <w:rsid w:val="0097343B"/>
    <w:rsid w:val="00973665"/>
    <w:rsid w:val="00973F0C"/>
    <w:rsid w:val="00973FA7"/>
    <w:rsid w:val="009746FE"/>
    <w:rsid w:val="00974B1F"/>
    <w:rsid w:val="00974C8D"/>
    <w:rsid w:val="00975FBF"/>
    <w:rsid w:val="00976257"/>
    <w:rsid w:val="00977206"/>
    <w:rsid w:val="00977220"/>
    <w:rsid w:val="00977492"/>
    <w:rsid w:val="00977971"/>
    <w:rsid w:val="00977E9C"/>
    <w:rsid w:val="00977FF4"/>
    <w:rsid w:val="00980129"/>
    <w:rsid w:val="00980CAE"/>
    <w:rsid w:val="00982020"/>
    <w:rsid w:val="009820CE"/>
    <w:rsid w:val="009825BB"/>
    <w:rsid w:val="00982695"/>
    <w:rsid w:val="00982B4C"/>
    <w:rsid w:val="00984716"/>
    <w:rsid w:val="00984ED8"/>
    <w:rsid w:val="00985BBE"/>
    <w:rsid w:val="00987E61"/>
    <w:rsid w:val="0099470D"/>
    <w:rsid w:val="00995E85"/>
    <w:rsid w:val="00995F62"/>
    <w:rsid w:val="00996333"/>
    <w:rsid w:val="00996E25"/>
    <w:rsid w:val="00997F58"/>
    <w:rsid w:val="009A02AE"/>
    <w:rsid w:val="009A0967"/>
    <w:rsid w:val="009A0EB4"/>
    <w:rsid w:val="009A1E28"/>
    <w:rsid w:val="009A20EF"/>
    <w:rsid w:val="009A3A3A"/>
    <w:rsid w:val="009A406A"/>
    <w:rsid w:val="009A444C"/>
    <w:rsid w:val="009A451B"/>
    <w:rsid w:val="009A520B"/>
    <w:rsid w:val="009A57D4"/>
    <w:rsid w:val="009A5BE8"/>
    <w:rsid w:val="009A5E42"/>
    <w:rsid w:val="009A6756"/>
    <w:rsid w:val="009A699A"/>
    <w:rsid w:val="009A6AB0"/>
    <w:rsid w:val="009A6BFA"/>
    <w:rsid w:val="009A7144"/>
    <w:rsid w:val="009A7612"/>
    <w:rsid w:val="009A78D1"/>
    <w:rsid w:val="009A7EDD"/>
    <w:rsid w:val="009B0264"/>
    <w:rsid w:val="009B0AD6"/>
    <w:rsid w:val="009B0D79"/>
    <w:rsid w:val="009B22B5"/>
    <w:rsid w:val="009B2F94"/>
    <w:rsid w:val="009B34B4"/>
    <w:rsid w:val="009B34D5"/>
    <w:rsid w:val="009B4280"/>
    <w:rsid w:val="009B58E6"/>
    <w:rsid w:val="009B6515"/>
    <w:rsid w:val="009B66D3"/>
    <w:rsid w:val="009C1377"/>
    <w:rsid w:val="009C1D3F"/>
    <w:rsid w:val="009C2881"/>
    <w:rsid w:val="009C2A4E"/>
    <w:rsid w:val="009C2B61"/>
    <w:rsid w:val="009C2D4B"/>
    <w:rsid w:val="009C3041"/>
    <w:rsid w:val="009C3BB8"/>
    <w:rsid w:val="009C464E"/>
    <w:rsid w:val="009C4DAE"/>
    <w:rsid w:val="009C4EEF"/>
    <w:rsid w:val="009C51E8"/>
    <w:rsid w:val="009C5417"/>
    <w:rsid w:val="009C5703"/>
    <w:rsid w:val="009C64DB"/>
    <w:rsid w:val="009C6955"/>
    <w:rsid w:val="009C6FFA"/>
    <w:rsid w:val="009C6FFB"/>
    <w:rsid w:val="009C7608"/>
    <w:rsid w:val="009C7AC0"/>
    <w:rsid w:val="009C7CD0"/>
    <w:rsid w:val="009D121E"/>
    <w:rsid w:val="009D1D9A"/>
    <w:rsid w:val="009D2CB0"/>
    <w:rsid w:val="009D43DF"/>
    <w:rsid w:val="009D46FD"/>
    <w:rsid w:val="009D4797"/>
    <w:rsid w:val="009D54C3"/>
    <w:rsid w:val="009D5655"/>
    <w:rsid w:val="009D5FC0"/>
    <w:rsid w:val="009D5FC8"/>
    <w:rsid w:val="009D6C5C"/>
    <w:rsid w:val="009D7E97"/>
    <w:rsid w:val="009D7EAA"/>
    <w:rsid w:val="009E032A"/>
    <w:rsid w:val="009E063E"/>
    <w:rsid w:val="009E0932"/>
    <w:rsid w:val="009E0E7B"/>
    <w:rsid w:val="009E1094"/>
    <w:rsid w:val="009E1588"/>
    <w:rsid w:val="009E165E"/>
    <w:rsid w:val="009E184B"/>
    <w:rsid w:val="009E2499"/>
    <w:rsid w:val="009E3975"/>
    <w:rsid w:val="009E4B43"/>
    <w:rsid w:val="009E50EB"/>
    <w:rsid w:val="009E5787"/>
    <w:rsid w:val="009E5963"/>
    <w:rsid w:val="009E5CC4"/>
    <w:rsid w:val="009E6250"/>
    <w:rsid w:val="009E6449"/>
    <w:rsid w:val="009E66FD"/>
    <w:rsid w:val="009E6A2D"/>
    <w:rsid w:val="009E708E"/>
    <w:rsid w:val="009E73A8"/>
    <w:rsid w:val="009F0DD9"/>
    <w:rsid w:val="009F1077"/>
    <w:rsid w:val="009F246D"/>
    <w:rsid w:val="009F29D0"/>
    <w:rsid w:val="009F3185"/>
    <w:rsid w:val="009F37F0"/>
    <w:rsid w:val="009F38AA"/>
    <w:rsid w:val="009F3A98"/>
    <w:rsid w:val="009F4E4D"/>
    <w:rsid w:val="009F4FF9"/>
    <w:rsid w:val="009F5F24"/>
    <w:rsid w:val="009F7599"/>
    <w:rsid w:val="009F7696"/>
    <w:rsid w:val="009F79B6"/>
    <w:rsid w:val="009F7E35"/>
    <w:rsid w:val="009F7E85"/>
    <w:rsid w:val="00A00132"/>
    <w:rsid w:val="00A00474"/>
    <w:rsid w:val="00A00EA0"/>
    <w:rsid w:val="00A02325"/>
    <w:rsid w:val="00A024A2"/>
    <w:rsid w:val="00A03210"/>
    <w:rsid w:val="00A0321A"/>
    <w:rsid w:val="00A03524"/>
    <w:rsid w:val="00A03DA1"/>
    <w:rsid w:val="00A042BB"/>
    <w:rsid w:val="00A05394"/>
    <w:rsid w:val="00A05423"/>
    <w:rsid w:val="00A05901"/>
    <w:rsid w:val="00A05962"/>
    <w:rsid w:val="00A06090"/>
    <w:rsid w:val="00A06596"/>
    <w:rsid w:val="00A06FBC"/>
    <w:rsid w:val="00A0746C"/>
    <w:rsid w:val="00A075BC"/>
    <w:rsid w:val="00A07626"/>
    <w:rsid w:val="00A07B7B"/>
    <w:rsid w:val="00A10B2D"/>
    <w:rsid w:val="00A10F12"/>
    <w:rsid w:val="00A11403"/>
    <w:rsid w:val="00A11D60"/>
    <w:rsid w:val="00A1241E"/>
    <w:rsid w:val="00A1268B"/>
    <w:rsid w:val="00A1291F"/>
    <w:rsid w:val="00A13FEA"/>
    <w:rsid w:val="00A14054"/>
    <w:rsid w:val="00A159C1"/>
    <w:rsid w:val="00A16287"/>
    <w:rsid w:val="00A163E2"/>
    <w:rsid w:val="00A16743"/>
    <w:rsid w:val="00A169DF"/>
    <w:rsid w:val="00A16B39"/>
    <w:rsid w:val="00A16D22"/>
    <w:rsid w:val="00A16E9D"/>
    <w:rsid w:val="00A2040A"/>
    <w:rsid w:val="00A20D68"/>
    <w:rsid w:val="00A21584"/>
    <w:rsid w:val="00A2254B"/>
    <w:rsid w:val="00A226E4"/>
    <w:rsid w:val="00A22A03"/>
    <w:rsid w:val="00A22A2A"/>
    <w:rsid w:val="00A22E8F"/>
    <w:rsid w:val="00A23363"/>
    <w:rsid w:val="00A23377"/>
    <w:rsid w:val="00A236F3"/>
    <w:rsid w:val="00A247D2"/>
    <w:rsid w:val="00A250F9"/>
    <w:rsid w:val="00A26551"/>
    <w:rsid w:val="00A3021C"/>
    <w:rsid w:val="00A305E7"/>
    <w:rsid w:val="00A30699"/>
    <w:rsid w:val="00A30745"/>
    <w:rsid w:val="00A30E14"/>
    <w:rsid w:val="00A312DD"/>
    <w:rsid w:val="00A31539"/>
    <w:rsid w:val="00A31D8E"/>
    <w:rsid w:val="00A32023"/>
    <w:rsid w:val="00A3285E"/>
    <w:rsid w:val="00A33177"/>
    <w:rsid w:val="00A335EA"/>
    <w:rsid w:val="00A33926"/>
    <w:rsid w:val="00A34AA1"/>
    <w:rsid w:val="00A34F44"/>
    <w:rsid w:val="00A35F45"/>
    <w:rsid w:val="00A36184"/>
    <w:rsid w:val="00A365CC"/>
    <w:rsid w:val="00A36868"/>
    <w:rsid w:val="00A37160"/>
    <w:rsid w:val="00A37191"/>
    <w:rsid w:val="00A37957"/>
    <w:rsid w:val="00A4024B"/>
    <w:rsid w:val="00A403A8"/>
    <w:rsid w:val="00A403ED"/>
    <w:rsid w:val="00A40934"/>
    <w:rsid w:val="00A40E5A"/>
    <w:rsid w:val="00A42640"/>
    <w:rsid w:val="00A43181"/>
    <w:rsid w:val="00A43CBF"/>
    <w:rsid w:val="00A44B96"/>
    <w:rsid w:val="00A456AD"/>
    <w:rsid w:val="00A45EF9"/>
    <w:rsid w:val="00A46016"/>
    <w:rsid w:val="00A46276"/>
    <w:rsid w:val="00A46437"/>
    <w:rsid w:val="00A467DD"/>
    <w:rsid w:val="00A46D5B"/>
    <w:rsid w:val="00A46F02"/>
    <w:rsid w:val="00A500D2"/>
    <w:rsid w:val="00A517E8"/>
    <w:rsid w:val="00A519EB"/>
    <w:rsid w:val="00A52C89"/>
    <w:rsid w:val="00A52D8B"/>
    <w:rsid w:val="00A533A8"/>
    <w:rsid w:val="00A533E5"/>
    <w:rsid w:val="00A53E30"/>
    <w:rsid w:val="00A53F8D"/>
    <w:rsid w:val="00A540F0"/>
    <w:rsid w:val="00A54DDA"/>
    <w:rsid w:val="00A5599C"/>
    <w:rsid w:val="00A55AD6"/>
    <w:rsid w:val="00A55B47"/>
    <w:rsid w:val="00A55CC6"/>
    <w:rsid w:val="00A55EAF"/>
    <w:rsid w:val="00A5646F"/>
    <w:rsid w:val="00A5652F"/>
    <w:rsid w:val="00A56DAE"/>
    <w:rsid w:val="00A577A4"/>
    <w:rsid w:val="00A61BE1"/>
    <w:rsid w:val="00A624AC"/>
    <w:rsid w:val="00A626F5"/>
    <w:rsid w:val="00A6287A"/>
    <w:rsid w:val="00A6295B"/>
    <w:rsid w:val="00A62C6D"/>
    <w:rsid w:val="00A63971"/>
    <w:rsid w:val="00A63BBB"/>
    <w:rsid w:val="00A63DF1"/>
    <w:rsid w:val="00A63F7B"/>
    <w:rsid w:val="00A653E6"/>
    <w:rsid w:val="00A659DA"/>
    <w:rsid w:val="00A65CB2"/>
    <w:rsid w:val="00A65EAC"/>
    <w:rsid w:val="00A66E25"/>
    <w:rsid w:val="00A6710E"/>
    <w:rsid w:val="00A6783D"/>
    <w:rsid w:val="00A67A99"/>
    <w:rsid w:val="00A70366"/>
    <w:rsid w:val="00A70BFF"/>
    <w:rsid w:val="00A7166A"/>
    <w:rsid w:val="00A71ADB"/>
    <w:rsid w:val="00A72978"/>
    <w:rsid w:val="00A7310F"/>
    <w:rsid w:val="00A7486E"/>
    <w:rsid w:val="00A750D0"/>
    <w:rsid w:val="00A75673"/>
    <w:rsid w:val="00A75A1D"/>
    <w:rsid w:val="00A76205"/>
    <w:rsid w:val="00A76C9D"/>
    <w:rsid w:val="00A7751D"/>
    <w:rsid w:val="00A80AB1"/>
    <w:rsid w:val="00A8191C"/>
    <w:rsid w:val="00A82A79"/>
    <w:rsid w:val="00A82B7C"/>
    <w:rsid w:val="00A8319E"/>
    <w:rsid w:val="00A846E7"/>
    <w:rsid w:val="00A847BF"/>
    <w:rsid w:val="00A857CF"/>
    <w:rsid w:val="00A85F68"/>
    <w:rsid w:val="00A85F77"/>
    <w:rsid w:val="00A86047"/>
    <w:rsid w:val="00A87D22"/>
    <w:rsid w:val="00A87F92"/>
    <w:rsid w:val="00A9015B"/>
    <w:rsid w:val="00A90AB3"/>
    <w:rsid w:val="00A9179A"/>
    <w:rsid w:val="00A91DDE"/>
    <w:rsid w:val="00A92633"/>
    <w:rsid w:val="00A926E6"/>
    <w:rsid w:val="00A93696"/>
    <w:rsid w:val="00A936E9"/>
    <w:rsid w:val="00A939D0"/>
    <w:rsid w:val="00A93C07"/>
    <w:rsid w:val="00A93EEC"/>
    <w:rsid w:val="00A9427D"/>
    <w:rsid w:val="00A94583"/>
    <w:rsid w:val="00A94778"/>
    <w:rsid w:val="00A9580F"/>
    <w:rsid w:val="00A95810"/>
    <w:rsid w:val="00A95922"/>
    <w:rsid w:val="00A9599F"/>
    <w:rsid w:val="00A9602D"/>
    <w:rsid w:val="00A963D1"/>
    <w:rsid w:val="00A97375"/>
    <w:rsid w:val="00A97905"/>
    <w:rsid w:val="00A97ABC"/>
    <w:rsid w:val="00AA01DF"/>
    <w:rsid w:val="00AA0341"/>
    <w:rsid w:val="00AA0BC8"/>
    <w:rsid w:val="00AA0F1C"/>
    <w:rsid w:val="00AA0FDF"/>
    <w:rsid w:val="00AA121F"/>
    <w:rsid w:val="00AA1EF1"/>
    <w:rsid w:val="00AA272D"/>
    <w:rsid w:val="00AA295E"/>
    <w:rsid w:val="00AA3553"/>
    <w:rsid w:val="00AA35EB"/>
    <w:rsid w:val="00AA3B55"/>
    <w:rsid w:val="00AA4833"/>
    <w:rsid w:val="00AA4BE3"/>
    <w:rsid w:val="00AA5462"/>
    <w:rsid w:val="00AA5552"/>
    <w:rsid w:val="00AA62C3"/>
    <w:rsid w:val="00AA6563"/>
    <w:rsid w:val="00AA7147"/>
    <w:rsid w:val="00AA724A"/>
    <w:rsid w:val="00AA72A1"/>
    <w:rsid w:val="00AA791A"/>
    <w:rsid w:val="00AB0F0E"/>
    <w:rsid w:val="00AB1699"/>
    <w:rsid w:val="00AB2B93"/>
    <w:rsid w:val="00AB2DA0"/>
    <w:rsid w:val="00AB31B6"/>
    <w:rsid w:val="00AB3C7D"/>
    <w:rsid w:val="00AB5A82"/>
    <w:rsid w:val="00AB5BA0"/>
    <w:rsid w:val="00AB5E2C"/>
    <w:rsid w:val="00AB6D24"/>
    <w:rsid w:val="00AC060E"/>
    <w:rsid w:val="00AC15AD"/>
    <w:rsid w:val="00AC2112"/>
    <w:rsid w:val="00AC29C8"/>
    <w:rsid w:val="00AC2B04"/>
    <w:rsid w:val="00AC39BB"/>
    <w:rsid w:val="00AC3B7F"/>
    <w:rsid w:val="00AC4B3F"/>
    <w:rsid w:val="00AC502A"/>
    <w:rsid w:val="00AC5A24"/>
    <w:rsid w:val="00AC5DA7"/>
    <w:rsid w:val="00AC6358"/>
    <w:rsid w:val="00AC68AA"/>
    <w:rsid w:val="00AC7127"/>
    <w:rsid w:val="00AC7F22"/>
    <w:rsid w:val="00AD05F0"/>
    <w:rsid w:val="00AD07AA"/>
    <w:rsid w:val="00AD1743"/>
    <w:rsid w:val="00AD1ECC"/>
    <w:rsid w:val="00AD2AF5"/>
    <w:rsid w:val="00AD2D0A"/>
    <w:rsid w:val="00AD30D6"/>
    <w:rsid w:val="00AD33ED"/>
    <w:rsid w:val="00AD3E5F"/>
    <w:rsid w:val="00AD4833"/>
    <w:rsid w:val="00AD4FC4"/>
    <w:rsid w:val="00AD601C"/>
    <w:rsid w:val="00AD6497"/>
    <w:rsid w:val="00AD6600"/>
    <w:rsid w:val="00AD7919"/>
    <w:rsid w:val="00AD7D76"/>
    <w:rsid w:val="00AE0048"/>
    <w:rsid w:val="00AE10F0"/>
    <w:rsid w:val="00AE18DD"/>
    <w:rsid w:val="00AE2574"/>
    <w:rsid w:val="00AE2F51"/>
    <w:rsid w:val="00AE368A"/>
    <w:rsid w:val="00AE4AC5"/>
    <w:rsid w:val="00AE5218"/>
    <w:rsid w:val="00AE5B06"/>
    <w:rsid w:val="00AE6AE5"/>
    <w:rsid w:val="00AE7E33"/>
    <w:rsid w:val="00AF055D"/>
    <w:rsid w:val="00AF1068"/>
    <w:rsid w:val="00AF10D7"/>
    <w:rsid w:val="00AF19BA"/>
    <w:rsid w:val="00AF2316"/>
    <w:rsid w:val="00AF349F"/>
    <w:rsid w:val="00AF35C5"/>
    <w:rsid w:val="00AF3B43"/>
    <w:rsid w:val="00AF3BA0"/>
    <w:rsid w:val="00AF5F51"/>
    <w:rsid w:val="00AF6B20"/>
    <w:rsid w:val="00AF765C"/>
    <w:rsid w:val="00AF7C01"/>
    <w:rsid w:val="00B00BFE"/>
    <w:rsid w:val="00B00CD3"/>
    <w:rsid w:val="00B00D5C"/>
    <w:rsid w:val="00B014F5"/>
    <w:rsid w:val="00B01C4F"/>
    <w:rsid w:val="00B02018"/>
    <w:rsid w:val="00B026AC"/>
    <w:rsid w:val="00B02888"/>
    <w:rsid w:val="00B03B44"/>
    <w:rsid w:val="00B03FC8"/>
    <w:rsid w:val="00B03FD0"/>
    <w:rsid w:val="00B0488E"/>
    <w:rsid w:val="00B049A1"/>
    <w:rsid w:val="00B04C64"/>
    <w:rsid w:val="00B04EF2"/>
    <w:rsid w:val="00B05897"/>
    <w:rsid w:val="00B06358"/>
    <w:rsid w:val="00B067B2"/>
    <w:rsid w:val="00B06E9E"/>
    <w:rsid w:val="00B10791"/>
    <w:rsid w:val="00B109E4"/>
    <w:rsid w:val="00B10AEE"/>
    <w:rsid w:val="00B12EC0"/>
    <w:rsid w:val="00B136C7"/>
    <w:rsid w:val="00B14AC6"/>
    <w:rsid w:val="00B14B92"/>
    <w:rsid w:val="00B15A3E"/>
    <w:rsid w:val="00B16149"/>
    <w:rsid w:val="00B16928"/>
    <w:rsid w:val="00B17101"/>
    <w:rsid w:val="00B17A9B"/>
    <w:rsid w:val="00B17CA0"/>
    <w:rsid w:val="00B20944"/>
    <w:rsid w:val="00B20AFF"/>
    <w:rsid w:val="00B212B0"/>
    <w:rsid w:val="00B21601"/>
    <w:rsid w:val="00B22A12"/>
    <w:rsid w:val="00B22FBA"/>
    <w:rsid w:val="00B2327A"/>
    <w:rsid w:val="00B23A0B"/>
    <w:rsid w:val="00B2572D"/>
    <w:rsid w:val="00B26009"/>
    <w:rsid w:val="00B26B43"/>
    <w:rsid w:val="00B301A7"/>
    <w:rsid w:val="00B306FB"/>
    <w:rsid w:val="00B30733"/>
    <w:rsid w:val="00B30931"/>
    <w:rsid w:val="00B32885"/>
    <w:rsid w:val="00B33153"/>
    <w:rsid w:val="00B336D6"/>
    <w:rsid w:val="00B342C5"/>
    <w:rsid w:val="00B349B6"/>
    <w:rsid w:val="00B34C79"/>
    <w:rsid w:val="00B34FD9"/>
    <w:rsid w:val="00B35E65"/>
    <w:rsid w:val="00B36058"/>
    <w:rsid w:val="00B36399"/>
    <w:rsid w:val="00B366DA"/>
    <w:rsid w:val="00B36D33"/>
    <w:rsid w:val="00B3734F"/>
    <w:rsid w:val="00B3776C"/>
    <w:rsid w:val="00B404AC"/>
    <w:rsid w:val="00B40802"/>
    <w:rsid w:val="00B41031"/>
    <w:rsid w:val="00B4107D"/>
    <w:rsid w:val="00B41327"/>
    <w:rsid w:val="00B41B65"/>
    <w:rsid w:val="00B44021"/>
    <w:rsid w:val="00B445B5"/>
    <w:rsid w:val="00B448E1"/>
    <w:rsid w:val="00B44CB7"/>
    <w:rsid w:val="00B4546F"/>
    <w:rsid w:val="00B45756"/>
    <w:rsid w:val="00B4589F"/>
    <w:rsid w:val="00B46249"/>
    <w:rsid w:val="00B46B5C"/>
    <w:rsid w:val="00B504CA"/>
    <w:rsid w:val="00B50852"/>
    <w:rsid w:val="00B50A90"/>
    <w:rsid w:val="00B51D62"/>
    <w:rsid w:val="00B525EA"/>
    <w:rsid w:val="00B526B5"/>
    <w:rsid w:val="00B5275C"/>
    <w:rsid w:val="00B52A26"/>
    <w:rsid w:val="00B52EE0"/>
    <w:rsid w:val="00B52F92"/>
    <w:rsid w:val="00B5380C"/>
    <w:rsid w:val="00B53AFC"/>
    <w:rsid w:val="00B53BDC"/>
    <w:rsid w:val="00B53F3B"/>
    <w:rsid w:val="00B54D65"/>
    <w:rsid w:val="00B54FC8"/>
    <w:rsid w:val="00B556EB"/>
    <w:rsid w:val="00B55EEE"/>
    <w:rsid w:val="00B55F5E"/>
    <w:rsid w:val="00B56485"/>
    <w:rsid w:val="00B56955"/>
    <w:rsid w:val="00B57293"/>
    <w:rsid w:val="00B57A7B"/>
    <w:rsid w:val="00B57C68"/>
    <w:rsid w:val="00B60248"/>
    <w:rsid w:val="00B60337"/>
    <w:rsid w:val="00B627D8"/>
    <w:rsid w:val="00B62F62"/>
    <w:rsid w:val="00B639B9"/>
    <w:rsid w:val="00B651E6"/>
    <w:rsid w:val="00B65733"/>
    <w:rsid w:val="00B66610"/>
    <w:rsid w:val="00B66C49"/>
    <w:rsid w:val="00B676E5"/>
    <w:rsid w:val="00B7124E"/>
    <w:rsid w:val="00B718FE"/>
    <w:rsid w:val="00B720CF"/>
    <w:rsid w:val="00B72D1B"/>
    <w:rsid w:val="00B75584"/>
    <w:rsid w:val="00B761F7"/>
    <w:rsid w:val="00B762B6"/>
    <w:rsid w:val="00B7648E"/>
    <w:rsid w:val="00B76607"/>
    <w:rsid w:val="00B76A6B"/>
    <w:rsid w:val="00B76CCB"/>
    <w:rsid w:val="00B77142"/>
    <w:rsid w:val="00B773E9"/>
    <w:rsid w:val="00B77875"/>
    <w:rsid w:val="00B77D75"/>
    <w:rsid w:val="00B80378"/>
    <w:rsid w:val="00B803E9"/>
    <w:rsid w:val="00B8221F"/>
    <w:rsid w:val="00B828C6"/>
    <w:rsid w:val="00B83BA0"/>
    <w:rsid w:val="00B842A7"/>
    <w:rsid w:val="00B84838"/>
    <w:rsid w:val="00B849DD"/>
    <w:rsid w:val="00B84B7D"/>
    <w:rsid w:val="00B84CF3"/>
    <w:rsid w:val="00B84E7C"/>
    <w:rsid w:val="00B85056"/>
    <w:rsid w:val="00B851EA"/>
    <w:rsid w:val="00B85928"/>
    <w:rsid w:val="00B862B2"/>
    <w:rsid w:val="00B8631B"/>
    <w:rsid w:val="00B875EC"/>
    <w:rsid w:val="00B87803"/>
    <w:rsid w:val="00B900E8"/>
    <w:rsid w:val="00B90413"/>
    <w:rsid w:val="00B90751"/>
    <w:rsid w:val="00B92DDC"/>
    <w:rsid w:val="00B93914"/>
    <w:rsid w:val="00B93974"/>
    <w:rsid w:val="00B9436F"/>
    <w:rsid w:val="00B9572B"/>
    <w:rsid w:val="00B95B4E"/>
    <w:rsid w:val="00B9643F"/>
    <w:rsid w:val="00B96EDB"/>
    <w:rsid w:val="00B97205"/>
    <w:rsid w:val="00B9775C"/>
    <w:rsid w:val="00B979A2"/>
    <w:rsid w:val="00BA080F"/>
    <w:rsid w:val="00BA0997"/>
    <w:rsid w:val="00BA1493"/>
    <w:rsid w:val="00BA14E0"/>
    <w:rsid w:val="00BA2521"/>
    <w:rsid w:val="00BA28E8"/>
    <w:rsid w:val="00BA30A5"/>
    <w:rsid w:val="00BA3806"/>
    <w:rsid w:val="00BA3850"/>
    <w:rsid w:val="00BA3B23"/>
    <w:rsid w:val="00BA425C"/>
    <w:rsid w:val="00BA4271"/>
    <w:rsid w:val="00BA4E55"/>
    <w:rsid w:val="00BA5E99"/>
    <w:rsid w:val="00BA6C40"/>
    <w:rsid w:val="00BA754E"/>
    <w:rsid w:val="00BA7B80"/>
    <w:rsid w:val="00BB0085"/>
    <w:rsid w:val="00BB0684"/>
    <w:rsid w:val="00BB0935"/>
    <w:rsid w:val="00BB118A"/>
    <w:rsid w:val="00BB1674"/>
    <w:rsid w:val="00BB18A3"/>
    <w:rsid w:val="00BB2BDE"/>
    <w:rsid w:val="00BB2F9F"/>
    <w:rsid w:val="00BB3419"/>
    <w:rsid w:val="00BB3C2E"/>
    <w:rsid w:val="00BB50C1"/>
    <w:rsid w:val="00BB5472"/>
    <w:rsid w:val="00BB5499"/>
    <w:rsid w:val="00BB558F"/>
    <w:rsid w:val="00BB683A"/>
    <w:rsid w:val="00BB6CB6"/>
    <w:rsid w:val="00BB6D53"/>
    <w:rsid w:val="00BC116C"/>
    <w:rsid w:val="00BC1234"/>
    <w:rsid w:val="00BC1456"/>
    <w:rsid w:val="00BC1A5D"/>
    <w:rsid w:val="00BC1BCF"/>
    <w:rsid w:val="00BC1C28"/>
    <w:rsid w:val="00BC2232"/>
    <w:rsid w:val="00BC2ECF"/>
    <w:rsid w:val="00BC308F"/>
    <w:rsid w:val="00BC3863"/>
    <w:rsid w:val="00BC3903"/>
    <w:rsid w:val="00BC4520"/>
    <w:rsid w:val="00BC4BFA"/>
    <w:rsid w:val="00BC4EC8"/>
    <w:rsid w:val="00BC51AD"/>
    <w:rsid w:val="00BC533F"/>
    <w:rsid w:val="00BC5C5B"/>
    <w:rsid w:val="00BC7404"/>
    <w:rsid w:val="00BC743A"/>
    <w:rsid w:val="00BC7574"/>
    <w:rsid w:val="00BD0650"/>
    <w:rsid w:val="00BD0868"/>
    <w:rsid w:val="00BD0C26"/>
    <w:rsid w:val="00BD129F"/>
    <w:rsid w:val="00BD1662"/>
    <w:rsid w:val="00BD19BD"/>
    <w:rsid w:val="00BD1D28"/>
    <w:rsid w:val="00BD1E8D"/>
    <w:rsid w:val="00BD2B8C"/>
    <w:rsid w:val="00BD3A75"/>
    <w:rsid w:val="00BD42E8"/>
    <w:rsid w:val="00BD45FD"/>
    <w:rsid w:val="00BD49AD"/>
    <w:rsid w:val="00BD4B37"/>
    <w:rsid w:val="00BD4E71"/>
    <w:rsid w:val="00BD61CA"/>
    <w:rsid w:val="00BD6541"/>
    <w:rsid w:val="00BE0380"/>
    <w:rsid w:val="00BE0634"/>
    <w:rsid w:val="00BE06A3"/>
    <w:rsid w:val="00BE1208"/>
    <w:rsid w:val="00BE1906"/>
    <w:rsid w:val="00BE1BAB"/>
    <w:rsid w:val="00BE23EE"/>
    <w:rsid w:val="00BE350A"/>
    <w:rsid w:val="00BE3CB3"/>
    <w:rsid w:val="00BE3F7A"/>
    <w:rsid w:val="00BE4011"/>
    <w:rsid w:val="00BE4209"/>
    <w:rsid w:val="00BE452A"/>
    <w:rsid w:val="00BE4E14"/>
    <w:rsid w:val="00BE6893"/>
    <w:rsid w:val="00BE78AE"/>
    <w:rsid w:val="00BF117E"/>
    <w:rsid w:val="00BF11C6"/>
    <w:rsid w:val="00BF1558"/>
    <w:rsid w:val="00BF1CD1"/>
    <w:rsid w:val="00BF2768"/>
    <w:rsid w:val="00BF2C6C"/>
    <w:rsid w:val="00BF34D5"/>
    <w:rsid w:val="00BF46BA"/>
    <w:rsid w:val="00BF47B4"/>
    <w:rsid w:val="00BF4941"/>
    <w:rsid w:val="00BF5997"/>
    <w:rsid w:val="00BF5A85"/>
    <w:rsid w:val="00BF6111"/>
    <w:rsid w:val="00BF69EC"/>
    <w:rsid w:val="00BF6A81"/>
    <w:rsid w:val="00BF706F"/>
    <w:rsid w:val="00BF7DED"/>
    <w:rsid w:val="00BF7FCC"/>
    <w:rsid w:val="00C0178A"/>
    <w:rsid w:val="00C01CDA"/>
    <w:rsid w:val="00C0276F"/>
    <w:rsid w:val="00C03EF0"/>
    <w:rsid w:val="00C041BB"/>
    <w:rsid w:val="00C05D49"/>
    <w:rsid w:val="00C0615C"/>
    <w:rsid w:val="00C063B5"/>
    <w:rsid w:val="00C0693E"/>
    <w:rsid w:val="00C06B04"/>
    <w:rsid w:val="00C06BA2"/>
    <w:rsid w:val="00C06C99"/>
    <w:rsid w:val="00C07C0F"/>
    <w:rsid w:val="00C10472"/>
    <w:rsid w:val="00C10899"/>
    <w:rsid w:val="00C10FFC"/>
    <w:rsid w:val="00C11BB4"/>
    <w:rsid w:val="00C126D6"/>
    <w:rsid w:val="00C13431"/>
    <w:rsid w:val="00C13C0C"/>
    <w:rsid w:val="00C14420"/>
    <w:rsid w:val="00C14DA6"/>
    <w:rsid w:val="00C14EA8"/>
    <w:rsid w:val="00C152CE"/>
    <w:rsid w:val="00C1532D"/>
    <w:rsid w:val="00C15B64"/>
    <w:rsid w:val="00C16682"/>
    <w:rsid w:val="00C16F08"/>
    <w:rsid w:val="00C1746A"/>
    <w:rsid w:val="00C1786C"/>
    <w:rsid w:val="00C20202"/>
    <w:rsid w:val="00C2050E"/>
    <w:rsid w:val="00C20984"/>
    <w:rsid w:val="00C20BB7"/>
    <w:rsid w:val="00C20E54"/>
    <w:rsid w:val="00C21D62"/>
    <w:rsid w:val="00C22337"/>
    <w:rsid w:val="00C22440"/>
    <w:rsid w:val="00C2282D"/>
    <w:rsid w:val="00C2334A"/>
    <w:rsid w:val="00C24193"/>
    <w:rsid w:val="00C2424C"/>
    <w:rsid w:val="00C243DE"/>
    <w:rsid w:val="00C24CB3"/>
    <w:rsid w:val="00C25622"/>
    <w:rsid w:val="00C25630"/>
    <w:rsid w:val="00C26FC5"/>
    <w:rsid w:val="00C2753E"/>
    <w:rsid w:val="00C275C5"/>
    <w:rsid w:val="00C27B0E"/>
    <w:rsid w:val="00C27C13"/>
    <w:rsid w:val="00C30721"/>
    <w:rsid w:val="00C30872"/>
    <w:rsid w:val="00C30B4C"/>
    <w:rsid w:val="00C30CBC"/>
    <w:rsid w:val="00C3228D"/>
    <w:rsid w:val="00C322B4"/>
    <w:rsid w:val="00C32ADF"/>
    <w:rsid w:val="00C334F2"/>
    <w:rsid w:val="00C34C42"/>
    <w:rsid w:val="00C34FA2"/>
    <w:rsid w:val="00C35053"/>
    <w:rsid w:val="00C35310"/>
    <w:rsid w:val="00C35B07"/>
    <w:rsid w:val="00C35E54"/>
    <w:rsid w:val="00C3689B"/>
    <w:rsid w:val="00C36C99"/>
    <w:rsid w:val="00C3715A"/>
    <w:rsid w:val="00C37204"/>
    <w:rsid w:val="00C37C72"/>
    <w:rsid w:val="00C37D99"/>
    <w:rsid w:val="00C37F64"/>
    <w:rsid w:val="00C402EE"/>
    <w:rsid w:val="00C40FB0"/>
    <w:rsid w:val="00C427C9"/>
    <w:rsid w:val="00C42EAB"/>
    <w:rsid w:val="00C433F7"/>
    <w:rsid w:val="00C44824"/>
    <w:rsid w:val="00C450B9"/>
    <w:rsid w:val="00C45E9E"/>
    <w:rsid w:val="00C467A7"/>
    <w:rsid w:val="00C46962"/>
    <w:rsid w:val="00C475DE"/>
    <w:rsid w:val="00C47F06"/>
    <w:rsid w:val="00C50A8F"/>
    <w:rsid w:val="00C515C7"/>
    <w:rsid w:val="00C5176B"/>
    <w:rsid w:val="00C51863"/>
    <w:rsid w:val="00C51CD9"/>
    <w:rsid w:val="00C525FC"/>
    <w:rsid w:val="00C527D1"/>
    <w:rsid w:val="00C52ED8"/>
    <w:rsid w:val="00C53BBC"/>
    <w:rsid w:val="00C54140"/>
    <w:rsid w:val="00C5436F"/>
    <w:rsid w:val="00C5455B"/>
    <w:rsid w:val="00C54739"/>
    <w:rsid w:val="00C54758"/>
    <w:rsid w:val="00C55FD3"/>
    <w:rsid w:val="00C6068C"/>
    <w:rsid w:val="00C606CE"/>
    <w:rsid w:val="00C615F7"/>
    <w:rsid w:val="00C61B01"/>
    <w:rsid w:val="00C61BAF"/>
    <w:rsid w:val="00C621FB"/>
    <w:rsid w:val="00C62BAA"/>
    <w:rsid w:val="00C62E45"/>
    <w:rsid w:val="00C64046"/>
    <w:rsid w:val="00C64637"/>
    <w:rsid w:val="00C64A60"/>
    <w:rsid w:val="00C657AA"/>
    <w:rsid w:val="00C6581C"/>
    <w:rsid w:val="00C66811"/>
    <w:rsid w:val="00C6756B"/>
    <w:rsid w:val="00C701B1"/>
    <w:rsid w:val="00C70556"/>
    <w:rsid w:val="00C70A3F"/>
    <w:rsid w:val="00C7143E"/>
    <w:rsid w:val="00C71BD2"/>
    <w:rsid w:val="00C74CAB"/>
    <w:rsid w:val="00C74E7A"/>
    <w:rsid w:val="00C75AA9"/>
    <w:rsid w:val="00C7638B"/>
    <w:rsid w:val="00C77CEC"/>
    <w:rsid w:val="00C80D49"/>
    <w:rsid w:val="00C81361"/>
    <w:rsid w:val="00C81E74"/>
    <w:rsid w:val="00C81ED4"/>
    <w:rsid w:val="00C823CF"/>
    <w:rsid w:val="00C82BC1"/>
    <w:rsid w:val="00C8349D"/>
    <w:rsid w:val="00C83DDF"/>
    <w:rsid w:val="00C83E3A"/>
    <w:rsid w:val="00C843D3"/>
    <w:rsid w:val="00C84545"/>
    <w:rsid w:val="00C86064"/>
    <w:rsid w:val="00C860F4"/>
    <w:rsid w:val="00C862B4"/>
    <w:rsid w:val="00C9190E"/>
    <w:rsid w:val="00C91B3F"/>
    <w:rsid w:val="00C92798"/>
    <w:rsid w:val="00C92F9F"/>
    <w:rsid w:val="00C93587"/>
    <w:rsid w:val="00C9405F"/>
    <w:rsid w:val="00C949B7"/>
    <w:rsid w:val="00C9506A"/>
    <w:rsid w:val="00C9599F"/>
    <w:rsid w:val="00C96102"/>
    <w:rsid w:val="00C964A6"/>
    <w:rsid w:val="00C9670F"/>
    <w:rsid w:val="00CA07BD"/>
    <w:rsid w:val="00CA0F1F"/>
    <w:rsid w:val="00CA14A3"/>
    <w:rsid w:val="00CA1520"/>
    <w:rsid w:val="00CA1633"/>
    <w:rsid w:val="00CA2137"/>
    <w:rsid w:val="00CA2202"/>
    <w:rsid w:val="00CA2483"/>
    <w:rsid w:val="00CA2693"/>
    <w:rsid w:val="00CA2EF5"/>
    <w:rsid w:val="00CA3A47"/>
    <w:rsid w:val="00CA3E8A"/>
    <w:rsid w:val="00CA3EC5"/>
    <w:rsid w:val="00CA4517"/>
    <w:rsid w:val="00CA4ECD"/>
    <w:rsid w:val="00CA5048"/>
    <w:rsid w:val="00CA515D"/>
    <w:rsid w:val="00CA5744"/>
    <w:rsid w:val="00CA58B3"/>
    <w:rsid w:val="00CA6487"/>
    <w:rsid w:val="00CA70B2"/>
    <w:rsid w:val="00CA7237"/>
    <w:rsid w:val="00CA7719"/>
    <w:rsid w:val="00CB177B"/>
    <w:rsid w:val="00CB1FF0"/>
    <w:rsid w:val="00CB2553"/>
    <w:rsid w:val="00CB3094"/>
    <w:rsid w:val="00CB31A3"/>
    <w:rsid w:val="00CB3462"/>
    <w:rsid w:val="00CB4C65"/>
    <w:rsid w:val="00CB57DA"/>
    <w:rsid w:val="00CB59F3"/>
    <w:rsid w:val="00CB5B27"/>
    <w:rsid w:val="00CB5FC4"/>
    <w:rsid w:val="00CB6426"/>
    <w:rsid w:val="00CB6D37"/>
    <w:rsid w:val="00CB78D8"/>
    <w:rsid w:val="00CC0CA4"/>
    <w:rsid w:val="00CC0CE2"/>
    <w:rsid w:val="00CC1275"/>
    <w:rsid w:val="00CC130D"/>
    <w:rsid w:val="00CC1B1A"/>
    <w:rsid w:val="00CC3345"/>
    <w:rsid w:val="00CC33CF"/>
    <w:rsid w:val="00CC351D"/>
    <w:rsid w:val="00CC3E27"/>
    <w:rsid w:val="00CC3E5C"/>
    <w:rsid w:val="00CC47E4"/>
    <w:rsid w:val="00CC50CF"/>
    <w:rsid w:val="00CC539A"/>
    <w:rsid w:val="00CC55FD"/>
    <w:rsid w:val="00CC6093"/>
    <w:rsid w:val="00CC62ED"/>
    <w:rsid w:val="00CC64D5"/>
    <w:rsid w:val="00CC68DD"/>
    <w:rsid w:val="00CC6B31"/>
    <w:rsid w:val="00CC6F90"/>
    <w:rsid w:val="00CC7174"/>
    <w:rsid w:val="00CC7232"/>
    <w:rsid w:val="00CC760D"/>
    <w:rsid w:val="00CC765B"/>
    <w:rsid w:val="00CC7CDD"/>
    <w:rsid w:val="00CD0C56"/>
    <w:rsid w:val="00CD0FCF"/>
    <w:rsid w:val="00CD1628"/>
    <w:rsid w:val="00CD16A8"/>
    <w:rsid w:val="00CD187E"/>
    <w:rsid w:val="00CD3FC4"/>
    <w:rsid w:val="00CD6AD2"/>
    <w:rsid w:val="00CD6C77"/>
    <w:rsid w:val="00CD7390"/>
    <w:rsid w:val="00CD7DEE"/>
    <w:rsid w:val="00CE0874"/>
    <w:rsid w:val="00CE14BA"/>
    <w:rsid w:val="00CE169D"/>
    <w:rsid w:val="00CE1D41"/>
    <w:rsid w:val="00CE25EA"/>
    <w:rsid w:val="00CE2FF4"/>
    <w:rsid w:val="00CE488B"/>
    <w:rsid w:val="00CE4B60"/>
    <w:rsid w:val="00CE506D"/>
    <w:rsid w:val="00CE6024"/>
    <w:rsid w:val="00CE694F"/>
    <w:rsid w:val="00CE76A2"/>
    <w:rsid w:val="00CE7E0C"/>
    <w:rsid w:val="00CF0564"/>
    <w:rsid w:val="00CF0DBC"/>
    <w:rsid w:val="00CF1038"/>
    <w:rsid w:val="00CF2527"/>
    <w:rsid w:val="00CF3478"/>
    <w:rsid w:val="00CF3769"/>
    <w:rsid w:val="00CF4650"/>
    <w:rsid w:val="00CF5C54"/>
    <w:rsid w:val="00CF5CBD"/>
    <w:rsid w:val="00CF6AD2"/>
    <w:rsid w:val="00D000AE"/>
    <w:rsid w:val="00D00469"/>
    <w:rsid w:val="00D01444"/>
    <w:rsid w:val="00D0173F"/>
    <w:rsid w:val="00D0175C"/>
    <w:rsid w:val="00D02CF6"/>
    <w:rsid w:val="00D02E5B"/>
    <w:rsid w:val="00D03356"/>
    <w:rsid w:val="00D03A52"/>
    <w:rsid w:val="00D0467B"/>
    <w:rsid w:val="00D0493C"/>
    <w:rsid w:val="00D04AEA"/>
    <w:rsid w:val="00D04DAB"/>
    <w:rsid w:val="00D06940"/>
    <w:rsid w:val="00D06961"/>
    <w:rsid w:val="00D07A7B"/>
    <w:rsid w:val="00D10501"/>
    <w:rsid w:val="00D10922"/>
    <w:rsid w:val="00D10C90"/>
    <w:rsid w:val="00D110B8"/>
    <w:rsid w:val="00D13562"/>
    <w:rsid w:val="00D1389A"/>
    <w:rsid w:val="00D13C0C"/>
    <w:rsid w:val="00D13C71"/>
    <w:rsid w:val="00D13F65"/>
    <w:rsid w:val="00D145F8"/>
    <w:rsid w:val="00D14896"/>
    <w:rsid w:val="00D14B6D"/>
    <w:rsid w:val="00D15A06"/>
    <w:rsid w:val="00D1605C"/>
    <w:rsid w:val="00D165EC"/>
    <w:rsid w:val="00D16E34"/>
    <w:rsid w:val="00D17140"/>
    <w:rsid w:val="00D171F1"/>
    <w:rsid w:val="00D17600"/>
    <w:rsid w:val="00D201A6"/>
    <w:rsid w:val="00D20348"/>
    <w:rsid w:val="00D20F95"/>
    <w:rsid w:val="00D2111A"/>
    <w:rsid w:val="00D217EE"/>
    <w:rsid w:val="00D21C2A"/>
    <w:rsid w:val="00D22170"/>
    <w:rsid w:val="00D22988"/>
    <w:rsid w:val="00D22AF8"/>
    <w:rsid w:val="00D23616"/>
    <w:rsid w:val="00D24EE8"/>
    <w:rsid w:val="00D25D91"/>
    <w:rsid w:val="00D2640C"/>
    <w:rsid w:val="00D268C9"/>
    <w:rsid w:val="00D27530"/>
    <w:rsid w:val="00D27699"/>
    <w:rsid w:val="00D279CA"/>
    <w:rsid w:val="00D27AAF"/>
    <w:rsid w:val="00D3060E"/>
    <w:rsid w:val="00D30B5C"/>
    <w:rsid w:val="00D30F48"/>
    <w:rsid w:val="00D311DB"/>
    <w:rsid w:val="00D316E8"/>
    <w:rsid w:val="00D31AC0"/>
    <w:rsid w:val="00D31D52"/>
    <w:rsid w:val="00D32B3E"/>
    <w:rsid w:val="00D344BB"/>
    <w:rsid w:val="00D3459E"/>
    <w:rsid w:val="00D3539B"/>
    <w:rsid w:val="00D357A7"/>
    <w:rsid w:val="00D36BFB"/>
    <w:rsid w:val="00D37407"/>
    <w:rsid w:val="00D37763"/>
    <w:rsid w:val="00D378BF"/>
    <w:rsid w:val="00D4054A"/>
    <w:rsid w:val="00D4104A"/>
    <w:rsid w:val="00D41357"/>
    <w:rsid w:val="00D41A89"/>
    <w:rsid w:val="00D41B4C"/>
    <w:rsid w:val="00D42CCB"/>
    <w:rsid w:val="00D43808"/>
    <w:rsid w:val="00D43AED"/>
    <w:rsid w:val="00D44999"/>
    <w:rsid w:val="00D45416"/>
    <w:rsid w:val="00D45DEC"/>
    <w:rsid w:val="00D46390"/>
    <w:rsid w:val="00D4755F"/>
    <w:rsid w:val="00D47E48"/>
    <w:rsid w:val="00D47EC9"/>
    <w:rsid w:val="00D50033"/>
    <w:rsid w:val="00D507B5"/>
    <w:rsid w:val="00D50D70"/>
    <w:rsid w:val="00D51148"/>
    <w:rsid w:val="00D519E8"/>
    <w:rsid w:val="00D51F48"/>
    <w:rsid w:val="00D522C0"/>
    <w:rsid w:val="00D529C2"/>
    <w:rsid w:val="00D52A73"/>
    <w:rsid w:val="00D52BC3"/>
    <w:rsid w:val="00D52C34"/>
    <w:rsid w:val="00D52DA4"/>
    <w:rsid w:val="00D53432"/>
    <w:rsid w:val="00D549AC"/>
    <w:rsid w:val="00D553EC"/>
    <w:rsid w:val="00D55EC2"/>
    <w:rsid w:val="00D56EA5"/>
    <w:rsid w:val="00D574C1"/>
    <w:rsid w:val="00D579FD"/>
    <w:rsid w:val="00D57EAA"/>
    <w:rsid w:val="00D57F65"/>
    <w:rsid w:val="00D61054"/>
    <w:rsid w:val="00D6156E"/>
    <w:rsid w:val="00D624FE"/>
    <w:rsid w:val="00D626A6"/>
    <w:rsid w:val="00D6282D"/>
    <w:rsid w:val="00D6385E"/>
    <w:rsid w:val="00D63A8A"/>
    <w:rsid w:val="00D642F7"/>
    <w:rsid w:val="00D64574"/>
    <w:rsid w:val="00D65285"/>
    <w:rsid w:val="00D66798"/>
    <w:rsid w:val="00D66CCF"/>
    <w:rsid w:val="00D66D85"/>
    <w:rsid w:val="00D7044A"/>
    <w:rsid w:val="00D707DE"/>
    <w:rsid w:val="00D712E5"/>
    <w:rsid w:val="00D71BF8"/>
    <w:rsid w:val="00D72798"/>
    <w:rsid w:val="00D72AA1"/>
    <w:rsid w:val="00D73AB9"/>
    <w:rsid w:val="00D73C31"/>
    <w:rsid w:val="00D750B2"/>
    <w:rsid w:val="00D75868"/>
    <w:rsid w:val="00D75B8B"/>
    <w:rsid w:val="00D76004"/>
    <w:rsid w:val="00D765C3"/>
    <w:rsid w:val="00D76FB1"/>
    <w:rsid w:val="00D772D5"/>
    <w:rsid w:val="00D80EF1"/>
    <w:rsid w:val="00D810BF"/>
    <w:rsid w:val="00D812FC"/>
    <w:rsid w:val="00D81CD8"/>
    <w:rsid w:val="00D81EC5"/>
    <w:rsid w:val="00D8228F"/>
    <w:rsid w:val="00D8398B"/>
    <w:rsid w:val="00D83B57"/>
    <w:rsid w:val="00D846B0"/>
    <w:rsid w:val="00D84AF6"/>
    <w:rsid w:val="00D84B10"/>
    <w:rsid w:val="00D84B99"/>
    <w:rsid w:val="00D84E42"/>
    <w:rsid w:val="00D85193"/>
    <w:rsid w:val="00D85239"/>
    <w:rsid w:val="00D864CB"/>
    <w:rsid w:val="00D8693D"/>
    <w:rsid w:val="00D8764B"/>
    <w:rsid w:val="00D904FD"/>
    <w:rsid w:val="00D90FB8"/>
    <w:rsid w:val="00D912B6"/>
    <w:rsid w:val="00D9181F"/>
    <w:rsid w:val="00D9253D"/>
    <w:rsid w:val="00D9330C"/>
    <w:rsid w:val="00D93E78"/>
    <w:rsid w:val="00D94137"/>
    <w:rsid w:val="00D941D8"/>
    <w:rsid w:val="00D94699"/>
    <w:rsid w:val="00D9518B"/>
    <w:rsid w:val="00D95750"/>
    <w:rsid w:val="00D97241"/>
    <w:rsid w:val="00D97A45"/>
    <w:rsid w:val="00D97C23"/>
    <w:rsid w:val="00DA01D1"/>
    <w:rsid w:val="00DA0487"/>
    <w:rsid w:val="00DA05C8"/>
    <w:rsid w:val="00DA2961"/>
    <w:rsid w:val="00DA2BA6"/>
    <w:rsid w:val="00DA2E89"/>
    <w:rsid w:val="00DA4F8C"/>
    <w:rsid w:val="00DA53B6"/>
    <w:rsid w:val="00DA5B32"/>
    <w:rsid w:val="00DA714F"/>
    <w:rsid w:val="00DB0362"/>
    <w:rsid w:val="00DB0C67"/>
    <w:rsid w:val="00DB1464"/>
    <w:rsid w:val="00DB2C3D"/>
    <w:rsid w:val="00DB3ECF"/>
    <w:rsid w:val="00DB3ED1"/>
    <w:rsid w:val="00DB4437"/>
    <w:rsid w:val="00DB47DD"/>
    <w:rsid w:val="00DB4C4E"/>
    <w:rsid w:val="00DB4E48"/>
    <w:rsid w:val="00DB57E5"/>
    <w:rsid w:val="00DB5D8D"/>
    <w:rsid w:val="00DB6971"/>
    <w:rsid w:val="00DB7176"/>
    <w:rsid w:val="00DB73B9"/>
    <w:rsid w:val="00DB7CA3"/>
    <w:rsid w:val="00DC0847"/>
    <w:rsid w:val="00DC0B18"/>
    <w:rsid w:val="00DC15B7"/>
    <w:rsid w:val="00DC2305"/>
    <w:rsid w:val="00DC2F22"/>
    <w:rsid w:val="00DC4575"/>
    <w:rsid w:val="00DC4DFA"/>
    <w:rsid w:val="00DC63BB"/>
    <w:rsid w:val="00DC6836"/>
    <w:rsid w:val="00DC6865"/>
    <w:rsid w:val="00DC70B6"/>
    <w:rsid w:val="00DC73B1"/>
    <w:rsid w:val="00DD17E9"/>
    <w:rsid w:val="00DD2334"/>
    <w:rsid w:val="00DD2613"/>
    <w:rsid w:val="00DD2792"/>
    <w:rsid w:val="00DD2B19"/>
    <w:rsid w:val="00DD2D5F"/>
    <w:rsid w:val="00DD3925"/>
    <w:rsid w:val="00DD4F17"/>
    <w:rsid w:val="00DD5021"/>
    <w:rsid w:val="00DD5494"/>
    <w:rsid w:val="00DD5E8A"/>
    <w:rsid w:val="00DD616E"/>
    <w:rsid w:val="00DD63ED"/>
    <w:rsid w:val="00DD676B"/>
    <w:rsid w:val="00DD7C51"/>
    <w:rsid w:val="00DD7CDD"/>
    <w:rsid w:val="00DE0972"/>
    <w:rsid w:val="00DE161C"/>
    <w:rsid w:val="00DE17CB"/>
    <w:rsid w:val="00DE1A03"/>
    <w:rsid w:val="00DE25B7"/>
    <w:rsid w:val="00DE28EC"/>
    <w:rsid w:val="00DE2E45"/>
    <w:rsid w:val="00DE376A"/>
    <w:rsid w:val="00DE48D9"/>
    <w:rsid w:val="00DE4C91"/>
    <w:rsid w:val="00DE4F87"/>
    <w:rsid w:val="00DE5024"/>
    <w:rsid w:val="00DE50F9"/>
    <w:rsid w:val="00DE526A"/>
    <w:rsid w:val="00DE55BB"/>
    <w:rsid w:val="00DE5D9F"/>
    <w:rsid w:val="00DE5DEB"/>
    <w:rsid w:val="00DE5E73"/>
    <w:rsid w:val="00DE6341"/>
    <w:rsid w:val="00DE7504"/>
    <w:rsid w:val="00DE7536"/>
    <w:rsid w:val="00DE753B"/>
    <w:rsid w:val="00DE755B"/>
    <w:rsid w:val="00DF09EE"/>
    <w:rsid w:val="00DF3173"/>
    <w:rsid w:val="00DF332D"/>
    <w:rsid w:val="00DF3B49"/>
    <w:rsid w:val="00DF4BD0"/>
    <w:rsid w:val="00DF4E11"/>
    <w:rsid w:val="00DF71BE"/>
    <w:rsid w:val="00DF7E92"/>
    <w:rsid w:val="00E0076E"/>
    <w:rsid w:val="00E016D0"/>
    <w:rsid w:val="00E018FD"/>
    <w:rsid w:val="00E0210F"/>
    <w:rsid w:val="00E022EA"/>
    <w:rsid w:val="00E02879"/>
    <w:rsid w:val="00E02A3B"/>
    <w:rsid w:val="00E0389F"/>
    <w:rsid w:val="00E05069"/>
    <w:rsid w:val="00E051BF"/>
    <w:rsid w:val="00E0539C"/>
    <w:rsid w:val="00E05549"/>
    <w:rsid w:val="00E05BD6"/>
    <w:rsid w:val="00E062BD"/>
    <w:rsid w:val="00E06502"/>
    <w:rsid w:val="00E067E5"/>
    <w:rsid w:val="00E071C0"/>
    <w:rsid w:val="00E07512"/>
    <w:rsid w:val="00E10293"/>
    <w:rsid w:val="00E11B9A"/>
    <w:rsid w:val="00E11F2E"/>
    <w:rsid w:val="00E1224C"/>
    <w:rsid w:val="00E1264E"/>
    <w:rsid w:val="00E13979"/>
    <w:rsid w:val="00E139C4"/>
    <w:rsid w:val="00E147C2"/>
    <w:rsid w:val="00E149E5"/>
    <w:rsid w:val="00E14F25"/>
    <w:rsid w:val="00E151A8"/>
    <w:rsid w:val="00E15935"/>
    <w:rsid w:val="00E16570"/>
    <w:rsid w:val="00E165E8"/>
    <w:rsid w:val="00E17E9E"/>
    <w:rsid w:val="00E200EB"/>
    <w:rsid w:val="00E2023A"/>
    <w:rsid w:val="00E20F86"/>
    <w:rsid w:val="00E21A3E"/>
    <w:rsid w:val="00E21BE2"/>
    <w:rsid w:val="00E21F0A"/>
    <w:rsid w:val="00E22486"/>
    <w:rsid w:val="00E22BA8"/>
    <w:rsid w:val="00E2324A"/>
    <w:rsid w:val="00E23AA8"/>
    <w:rsid w:val="00E23CE5"/>
    <w:rsid w:val="00E24D36"/>
    <w:rsid w:val="00E24F39"/>
    <w:rsid w:val="00E2521E"/>
    <w:rsid w:val="00E25ECE"/>
    <w:rsid w:val="00E26D95"/>
    <w:rsid w:val="00E277D3"/>
    <w:rsid w:val="00E277FE"/>
    <w:rsid w:val="00E3024E"/>
    <w:rsid w:val="00E309BF"/>
    <w:rsid w:val="00E31C8F"/>
    <w:rsid w:val="00E3250E"/>
    <w:rsid w:val="00E32595"/>
    <w:rsid w:val="00E32AC1"/>
    <w:rsid w:val="00E344E9"/>
    <w:rsid w:val="00E34634"/>
    <w:rsid w:val="00E34711"/>
    <w:rsid w:val="00E34CFC"/>
    <w:rsid w:val="00E35605"/>
    <w:rsid w:val="00E35A90"/>
    <w:rsid w:val="00E36042"/>
    <w:rsid w:val="00E36631"/>
    <w:rsid w:val="00E36B7B"/>
    <w:rsid w:val="00E37AF5"/>
    <w:rsid w:val="00E37DF2"/>
    <w:rsid w:val="00E40338"/>
    <w:rsid w:val="00E4055E"/>
    <w:rsid w:val="00E4080F"/>
    <w:rsid w:val="00E4354E"/>
    <w:rsid w:val="00E43D3D"/>
    <w:rsid w:val="00E43E5C"/>
    <w:rsid w:val="00E44229"/>
    <w:rsid w:val="00E44926"/>
    <w:rsid w:val="00E44CE6"/>
    <w:rsid w:val="00E44F1E"/>
    <w:rsid w:val="00E44FF8"/>
    <w:rsid w:val="00E4529C"/>
    <w:rsid w:val="00E459F4"/>
    <w:rsid w:val="00E46F0B"/>
    <w:rsid w:val="00E46F26"/>
    <w:rsid w:val="00E46F6A"/>
    <w:rsid w:val="00E46F70"/>
    <w:rsid w:val="00E46FA5"/>
    <w:rsid w:val="00E4751E"/>
    <w:rsid w:val="00E47A55"/>
    <w:rsid w:val="00E47A5F"/>
    <w:rsid w:val="00E47F38"/>
    <w:rsid w:val="00E500B4"/>
    <w:rsid w:val="00E50732"/>
    <w:rsid w:val="00E50912"/>
    <w:rsid w:val="00E509D4"/>
    <w:rsid w:val="00E50D3A"/>
    <w:rsid w:val="00E50F11"/>
    <w:rsid w:val="00E50FDE"/>
    <w:rsid w:val="00E51041"/>
    <w:rsid w:val="00E51AB9"/>
    <w:rsid w:val="00E51BCE"/>
    <w:rsid w:val="00E52567"/>
    <w:rsid w:val="00E529CD"/>
    <w:rsid w:val="00E53438"/>
    <w:rsid w:val="00E54C4C"/>
    <w:rsid w:val="00E54C62"/>
    <w:rsid w:val="00E55190"/>
    <w:rsid w:val="00E552C9"/>
    <w:rsid w:val="00E56397"/>
    <w:rsid w:val="00E56FFB"/>
    <w:rsid w:val="00E572BE"/>
    <w:rsid w:val="00E573DC"/>
    <w:rsid w:val="00E575E7"/>
    <w:rsid w:val="00E57F78"/>
    <w:rsid w:val="00E608A4"/>
    <w:rsid w:val="00E62FDB"/>
    <w:rsid w:val="00E6323C"/>
    <w:rsid w:val="00E63640"/>
    <w:rsid w:val="00E64D09"/>
    <w:rsid w:val="00E66471"/>
    <w:rsid w:val="00E674A1"/>
    <w:rsid w:val="00E67D98"/>
    <w:rsid w:val="00E67E85"/>
    <w:rsid w:val="00E67EC5"/>
    <w:rsid w:val="00E67EC8"/>
    <w:rsid w:val="00E67FC8"/>
    <w:rsid w:val="00E70D3D"/>
    <w:rsid w:val="00E70F4F"/>
    <w:rsid w:val="00E70F8C"/>
    <w:rsid w:val="00E73592"/>
    <w:rsid w:val="00E73AC2"/>
    <w:rsid w:val="00E73AFE"/>
    <w:rsid w:val="00E73BDF"/>
    <w:rsid w:val="00E74F06"/>
    <w:rsid w:val="00E75DB5"/>
    <w:rsid w:val="00E76963"/>
    <w:rsid w:val="00E76EC7"/>
    <w:rsid w:val="00E7710C"/>
    <w:rsid w:val="00E77894"/>
    <w:rsid w:val="00E77AEF"/>
    <w:rsid w:val="00E810D5"/>
    <w:rsid w:val="00E81DCE"/>
    <w:rsid w:val="00E81E5D"/>
    <w:rsid w:val="00E824B5"/>
    <w:rsid w:val="00E82518"/>
    <w:rsid w:val="00E82A39"/>
    <w:rsid w:val="00E835B6"/>
    <w:rsid w:val="00E83B0C"/>
    <w:rsid w:val="00E83D61"/>
    <w:rsid w:val="00E83FCB"/>
    <w:rsid w:val="00E8423D"/>
    <w:rsid w:val="00E8507E"/>
    <w:rsid w:val="00E86233"/>
    <w:rsid w:val="00E86F2C"/>
    <w:rsid w:val="00E86FCB"/>
    <w:rsid w:val="00E870C3"/>
    <w:rsid w:val="00E907BC"/>
    <w:rsid w:val="00E90A1B"/>
    <w:rsid w:val="00E91F0D"/>
    <w:rsid w:val="00E92651"/>
    <w:rsid w:val="00E92A6B"/>
    <w:rsid w:val="00E93096"/>
    <w:rsid w:val="00E93419"/>
    <w:rsid w:val="00E93ADF"/>
    <w:rsid w:val="00E9402F"/>
    <w:rsid w:val="00E94045"/>
    <w:rsid w:val="00E944A9"/>
    <w:rsid w:val="00E9455B"/>
    <w:rsid w:val="00E94B8F"/>
    <w:rsid w:val="00E951F9"/>
    <w:rsid w:val="00E9530B"/>
    <w:rsid w:val="00E95591"/>
    <w:rsid w:val="00E95CF1"/>
    <w:rsid w:val="00E95DDD"/>
    <w:rsid w:val="00E963B1"/>
    <w:rsid w:val="00E96C84"/>
    <w:rsid w:val="00EA08DC"/>
    <w:rsid w:val="00EA0914"/>
    <w:rsid w:val="00EA0DE0"/>
    <w:rsid w:val="00EA20C9"/>
    <w:rsid w:val="00EA2233"/>
    <w:rsid w:val="00EA24B8"/>
    <w:rsid w:val="00EA2B5F"/>
    <w:rsid w:val="00EA2DF4"/>
    <w:rsid w:val="00EA3557"/>
    <w:rsid w:val="00EA3767"/>
    <w:rsid w:val="00EA3B70"/>
    <w:rsid w:val="00EA4785"/>
    <w:rsid w:val="00EA4C2E"/>
    <w:rsid w:val="00EA56C6"/>
    <w:rsid w:val="00EA581D"/>
    <w:rsid w:val="00EA5987"/>
    <w:rsid w:val="00EA5B42"/>
    <w:rsid w:val="00EA5BBB"/>
    <w:rsid w:val="00EA5CE8"/>
    <w:rsid w:val="00EA6291"/>
    <w:rsid w:val="00EA646E"/>
    <w:rsid w:val="00EA668A"/>
    <w:rsid w:val="00EA6935"/>
    <w:rsid w:val="00EA6EC3"/>
    <w:rsid w:val="00EA7E42"/>
    <w:rsid w:val="00EB04CE"/>
    <w:rsid w:val="00EB09CE"/>
    <w:rsid w:val="00EB11CF"/>
    <w:rsid w:val="00EB164B"/>
    <w:rsid w:val="00EB1C68"/>
    <w:rsid w:val="00EB3139"/>
    <w:rsid w:val="00EB3289"/>
    <w:rsid w:val="00EB3517"/>
    <w:rsid w:val="00EB3915"/>
    <w:rsid w:val="00EB3F6A"/>
    <w:rsid w:val="00EB5B7F"/>
    <w:rsid w:val="00EB6439"/>
    <w:rsid w:val="00EB6E31"/>
    <w:rsid w:val="00EB6EC4"/>
    <w:rsid w:val="00EB74D0"/>
    <w:rsid w:val="00EB779E"/>
    <w:rsid w:val="00EB77E2"/>
    <w:rsid w:val="00EC0219"/>
    <w:rsid w:val="00EC0BF4"/>
    <w:rsid w:val="00EC1C11"/>
    <w:rsid w:val="00EC360A"/>
    <w:rsid w:val="00EC425C"/>
    <w:rsid w:val="00EC492E"/>
    <w:rsid w:val="00EC5311"/>
    <w:rsid w:val="00EC5F5B"/>
    <w:rsid w:val="00EC6236"/>
    <w:rsid w:val="00EC68F7"/>
    <w:rsid w:val="00EC6B91"/>
    <w:rsid w:val="00EC6F73"/>
    <w:rsid w:val="00EC6FBA"/>
    <w:rsid w:val="00ED0190"/>
    <w:rsid w:val="00ED0957"/>
    <w:rsid w:val="00ED134B"/>
    <w:rsid w:val="00ED1639"/>
    <w:rsid w:val="00ED17C6"/>
    <w:rsid w:val="00ED1A87"/>
    <w:rsid w:val="00ED1D6C"/>
    <w:rsid w:val="00ED30A0"/>
    <w:rsid w:val="00ED32D1"/>
    <w:rsid w:val="00ED3AFC"/>
    <w:rsid w:val="00ED3EB4"/>
    <w:rsid w:val="00ED457B"/>
    <w:rsid w:val="00ED5638"/>
    <w:rsid w:val="00ED592C"/>
    <w:rsid w:val="00ED5980"/>
    <w:rsid w:val="00ED6172"/>
    <w:rsid w:val="00ED6751"/>
    <w:rsid w:val="00ED6B3B"/>
    <w:rsid w:val="00ED6EA5"/>
    <w:rsid w:val="00ED6F81"/>
    <w:rsid w:val="00EE0585"/>
    <w:rsid w:val="00EE0643"/>
    <w:rsid w:val="00EE1B95"/>
    <w:rsid w:val="00EE2047"/>
    <w:rsid w:val="00EE442A"/>
    <w:rsid w:val="00EE46D7"/>
    <w:rsid w:val="00EE476F"/>
    <w:rsid w:val="00EE49CA"/>
    <w:rsid w:val="00EE512A"/>
    <w:rsid w:val="00EE5D37"/>
    <w:rsid w:val="00EE6CBB"/>
    <w:rsid w:val="00EE6E3C"/>
    <w:rsid w:val="00EE7072"/>
    <w:rsid w:val="00EE7E20"/>
    <w:rsid w:val="00EF06D8"/>
    <w:rsid w:val="00EF0B70"/>
    <w:rsid w:val="00EF1FCD"/>
    <w:rsid w:val="00EF20A9"/>
    <w:rsid w:val="00EF2757"/>
    <w:rsid w:val="00EF2B8B"/>
    <w:rsid w:val="00EF3320"/>
    <w:rsid w:val="00EF3748"/>
    <w:rsid w:val="00EF4090"/>
    <w:rsid w:val="00EF43A1"/>
    <w:rsid w:val="00EF49FA"/>
    <w:rsid w:val="00EF5111"/>
    <w:rsid w:val="00EF5851"/>
    <w:rsid w:val="00EF6F54"/>
    <w:rsid w:val="00EF707F"/>
    <w:rsid w:val="00EF75F9"/>
    <w:rsid w:val="00EF7882"/>
    <w:rsid w:val="00F004F9"/>
    <w:rsid w:val="00F00600"/>
    <w:rsid w:val="00F00DEE"/>
    <w:rsid w:val="00F01FD5"/>
    <w:rsid w:val="00F0310E"/>
    <w:rsid w:val="00F039DC"/>
    <w:rsid w:val="00F03F84"/>
    <w:rsid w:val="00F045FB"/>
    <w:rsid w:val="00F046A8"/>
    <w:rsid w:val="00F04D07"/>
    <w:rsid w:val="00F05D33"/>
    <w:rsid w:val="00F06050"/>
    <w:rsid w:val="00F063C2"/>
    <w:rsid w:val="00F071EE"/>
    <w:rsid w:val="00F07433"/>
    <w:rsid w:val="00F1066B"/>
    <w:rsid w:val="00F10DB8"/>
    <w:rsid w:val="00F1111B"/>
    <w:rsid w:val="00F119D5"/>
    <w:rsid w:val="00F11E5F"/>
    <w:rsid w:val="00F11FB1"/>
    <w:rsid w:val="00F120FB"/>
    <w:rsid w:val="00F12C08"/>
    <w:rsid w:val="00F13A27"/>
    <w:rsid w:val="00F13A36"/>
    <w:rsid w:val="00F1408E"/>
    <w:rsid w:val="00F14948"/>
    <w:rsid w:val="00F165BB"/>
    <w:rsid w:val="00F20298"/>
    <w:rsid w:val="00F20800"/>
    <w:rsid w:val="00F20D42"/>
    <w:rsid w:val="00F215F1"/>
    <w:rsid w:val="00F2172E"/>
    <w:rsid w:val="00F21F1A"/>
    <w:rsid w:val="00F22275"/>
    <w:rsid w:val="00F222EA"/>
    <w:rsid w:val="00F22971"/>
    <w:rsid w:val="00F23926"/>
    <w:rsid w:val="00F24320"/>
    <w:rsid w:val="00F24406"/>
    <w:rsid w:val="00F24548"/>
    <w:rsid w:val="00F24B89"/>
    <w:rsid w:val="00F24DC4"/>
    <w:rsid w:val="00F25CDA"/>
    <w:rsid w:val="00F27651"/>
    <w:rsid w:val="00F27DC7"/>
    <w:rsid w:val="00F30951"/>
    <w:rsid w:val="00F30C28"/>
    <w:rsid w:val="00F31306"/>
    <w:rsid w:val="00F31508"/>
    <w:rsid w:val="00F3179B"/>
    <w:rsid w:val="00F31ED9"/>
    <w:rsid w:val="00F32E78"/>
    <w:rsid w:val="00F33787"/>
    <w:rsid w:val="00F33CF5"/>
    <w:rsid w:val="00F34DAB"/>
    <w:rsid w:val="00F34DF0"/>
    <w:rsid w:val="00F34F32"/>
    <w:rsid w:val="00F3597E"/>
    <w:rsid w:val="00F365CF"/>
    <w:rsid w:val="00F37826"/>
    <w:rsid w:val="00F4030C"/>
    <w:rsid w:val="00F40FED"/>
    <w:rsid w:val="00F41044"/>
    <w:rsid w:val="00F41108"/>
    <w:rsid w:val="00F41761"/>
    <w:rsid w:val="00F41885"/>
    <w:rsid w:val="00F41D57"/>
    <w:rsid w:val="00F41E3D"/>
    <w:rsid w:val="00F4215F"/>
    <w:rsid w:val="00F4221C"/>
    <w:rsid w:val="00F425F3"/>
    <w:rsid w:val="00F43B56"/>
    <w:rsid w:val="00F43CEB"/>
    <w:rsid w:val="00F45F15"/>
    <w:rsid w:val="00F45FE3"/>
    <w:rsid w:val="00F467D7"/>
    <w:rsid w:val="00F46854"/>
    <w:rsid w:val="00F47003"/>
    <w:rsid w:val="00F47641"/>
    <w:rsid w:val="00F47949"/>
    <w:rsid w:val="00F47973"/>
    <w:rsid w:val="00F50220"/>
    <w:rsid w:val="00F5079D"/>
    <w:rsid w:val="00F5108F"/>
    <w:rsid w:val="00F510A1"/>
    <w:rsid w:val="00F51BDD"/>
    <w:rsid w:val="00F51C52"/>
    <w:rsid w:val="00F51F8F"/>
    <w:rsid w:val="00F524A3"/>
    <w:rsid w:val="00F52997"/>
    <w:rsid w:val="00F54737"/>
    <w:rsid w:val="00F5494D"/>
    <w:rsid w:val="00F55C3B"/>
    <w:rsid w:val="00F561E0"/>
    <w:rsid w:val="00F576A9"/>
    <w:rsid w:val="00F57CB1"/>
    <w:rsid w:val="00F6075F"/>
    <w:rsid w:val="00F613B7"/>
    <w:rsid w:val="00F619AE"/>
    <w:rsid w:val="00F61EA8"/>
    <w:rsid w:val="00F61EEF"/>
    <w:rsid w:val="00F62AFD"/>
    <w:rsid w:val="00F62CC7"/>
    <w:rsid w:val="00F62FDA"/>
    <w:rsid w:val="00F64D88"/>
    <w:rsid w:val="00F64F3C"/>
    <w:rsid w:val="00F64FC2"/>
    <w:rsid w:val="00F64FEB"/>
    <w:rsid w:val="00F65ABB"/>
    <w:rsid w:val="00F65C0F"/>
    <w:rsid w:val="00F65CD2"/>
    <w:rsid w:val="00F66552"/>
    <w:rsid w:val="00F66B1D"/>
    <w:rsid w:val="00F66B66"/>
    <w:rsid w:val="00F6742D"/>
    <w:rsid w:val="00F67BBB"/>
    <w:rsid w:val="00F702B5"/>
    <w:rsid w:val="00F708F3"/>
    <w:rsid w:val="00F709B3"/>
    <w:rsid w:val="00F70A07"/>
    <w:rsid w:val="00F7122B"/>
    <w:rsid w:val="00F71F68"/>
    <w:rsid w:val="00F7277B"/>
    <w:rsid w:val="00F751E2"/>
    <w:rsid w:val="00F76DA2"/>
    <w:rsid w:val="00F76E85"/>
    <w:rsid w:val="00F77235"/>
    <w:rsid w:val="00F7765F"/>
    <w:rsid w:val="00F8051B"/>
    <w:rsid w:val="00F82446"/>
    <w:rsid w:val="00F8264E"/>
    <w:rsid w:val="00F82AC1"/>
    <w:rsid w:val="00F83E38"/>
    <w:rsid w:val="00F84034"/>
    <w:rsid w:val="00F8536E"/>
    <w:rsid w:val="00F8554D"/>
    <w:rsid w:val="00F85D4E"/>
    <w:rsid w:val="00F8600F"/>
    <w:rsid w:val="00F86DEA"/>
    <w:rsid w:val="00F906A7"/>
    <w:rsid w:val="00F909FC"/>
    <w:rsid w:val="00F910E7"/>
    <w:rsid w:val="00F91308"/>
    <w:rsid w:val="00F93879"/>
    <w:rsid w:val="00F9395C"/>
    <w:rsid w:val="00F93E18"/>
    <w:rsid w:val="00F94379"/>
    <w:rsid w:val="00F94C9E"/>
    <w:rsid w:val="00F95BAE"/>
    <w:rsid w:val="00F96A16"/>
    <w:rsid w:val="00F96EB3"/>
    <w:rsid w:val="00F97363"/>
    <w:rsid w:val="00F97E6A"/>
    <w:rsid w:val="00FA04F9"/>
    <w:rsid w:val="00FA0937"/>
    <w:rsid w:val="00FA10A3"/>
    <w:rsid w:val="00FA125F"/>
    <w:rsid w:val="00FA15BD"/>
    <w:rsid w:val="00FA1B13"/>
    <w:rsid w:val="00FA2EB8"/>
    <w:rsid w:val="00FA3F19"/>
    <w:rsid w:val="00FA41F6"/>
    <w:rsid w:val="00FA431D"/>
    <w:rsid w:val="00FA4A4B"/>
    <w:rsid w:val="00FA58B4"/>
    <w:rsid w:val="00FA60C6"/>
    <w:rsid w:val="00FA61A5"/>
    <w:rsid w:val="00FA6420"/>
    <w:rsid w:val="00FB042F"/>
    <w:rsid w:val="00FB0CD3"/>
    <w:rsid w:val="00FB0E52"/>
    <w:rsid w:val="00FB2B03"/>
    <w:rsid w:val="00FB2E8B"/>
    <w:rsid w:val="00FB3650"/>
    <w:rsid w:val="00FB3B96"/>
    <w:rsid w:val="00FB651D"/>
    <w:rsid w:val="00FB690F"/>
    <w:rsid w:val="00FB6920"/>
    <w:rsid w:val="00FB6986"/>
    <w:rsid w:val="00FB7746"/>
    <w:rsid w:val="00FC0224"/>
    <w:rsid w:val="00FC0292"/>
    <w:rsid w:val="00FC02D4"/>
    <w:rsid w:val="00FC0EC6"/>
    <w:rsid w:val="00FC141D"/>
    <w:rsid w:val="00FC1FE5"/>
    <w:rsid w:val="00FC3BE5"/>
    <w:rsid w:val="00FC3C63"/>
    <w:rsid w:val="00FC4475"/>
    <w:rsid w:val="00FC4700"/>
    <w:rsid w:val="00FC576E"/>
    <w:rsid w:val="00FC6332"/>
    <w:rsid w:val="00FC6F5A"/>
    <w:rsid w:val="00FD0106"/>
    <w:rsid w:val="00FD0797"/>
    <w:rsid w:val="00FD09F5"/>
    <w:rsid w:val="00FD0AE4"/>
    <w:rsid w:val="00FD0F0E"/>
    <w:rsid w:val="00FD1D0D"/>
    <w:rsid w:val="00FD2671"/>
    <w:rsid w:val="00FD2A10"/>
    <w:rsid w:val="00FD2B3C"/>
    <w:rsid w:val="00FD2CF4"/>
    <w:rsid w:val="00FD3127"/>
    <w:rsid w:val="00FD3233"/>
    <w:rsid w:val="00FD3498"/>
    <w:rsid w:val="00FD3DDC"/>
    <w:rsid w:val="00FD4532"/>
    <w:rsid w:val="00FD4E03"/>
    <w:rsid w:val="00FD5081"/>
    <w:rsid w:val="00FD64FE"/>
    <w:rsid w:val="00FD6610"/>
    <w:rsid w:val="00FD661D"/>
    <w:rsid w:val="00FD72F7"/>
    <w:rsid w:val="00FE03F7"/>
    <w:rsid w:val="00FE09F4"/>
    <w:rsid w:val="00FE1309"/>
    <w:rsid w:val="00FE167D"/>
    <w:rsid w:val="00FE1CCB"/>
    <w:rsid w:val="00FE29DC"/>
    <w:rsid w:val="00FE2ABD"/>
    <w:rsid w:val="00FE2BE6"/>
    <w:rsid w:val="00FE2EF2"/>
    <w:rsid w:val="00FE3E27"/>
    <w:rsid w:val="00FE4491"/>
    <w:rsid w:val="00FE4606"/>
    <w:rsid w:val="00FE56E5"/>
    <w:rsid w:val="00FE59F8"/>
    <w:rsid w:val="00FE5F3C"/>
    <w:rsid w:val="00FE62AE"/>
    <w:rsid w:val="00FE64C3"/>
    <w:rsid w:val="00FE6963"/>
    <w:rsid w:val="00FF0599"/>
    <w:rsid w:val="00FF2EC4"/>
    <w:rsid w:val="00FF396A"/>
    <w:rsid w:val="00FF3B8F"/>
    <w:rsid w:val="00FF3F58"/>
    <w:rsid w:val="00FF4D63"/>
    <w:rsid w:val="00FF4E18"/>
    <w:rsid w:val="00FF64EF"/>
    <w:rsid w:val="00FF6DD2"/>
    <w:rsid w:val="00FF7325"/>
    <w:rsid w:val="00FF7E5B"/>
    <w:rsid w:val="04275B9E"/>
    <w:rsid w:val="165A6749"/>
    <w:rsid w:val="5E1579F5"/>
    <w:rsid w:val="65DDF7AE"/>
    <w:rsid w:val="6818D32C"/>
    <w:rsid w:val="730C38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534F6"/>
  <w15:chartTrackingRefBased/>
  <w15:docId w15:val="{F48F5E4F-00A7-421A-9822-0688BFE0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24C"/>
    <w:rPr>
      <w:sz w:val="24"/>
      <w:szCs w:val="24"/>
      <w:lang w:eastAsia="en-US"/>
    </w:rPr>
  </w:style>
  <w:style w:type="paragraph" w:styleId="Heading3">
    <w:name w:val="heading 3"/>
    <w:basedOn w:val="Normal"/>
    <w:next w:val="Heading4"/>
    <w:link w:val="Heading3Char1"/>
    <w:qFormat/>
    <w:rsid w:val="00EC6236"/>
    <w:pPr>
      <w:spacing w:before="400"/>
      <w:outlineLvl w:val="2"/>
    </w:pPr>
    <w:rPr>
      <w:rFonts w:ascii="Arial" w:hAnsi="Arial" w:cs="Arial"/>
      <w:b/>
      <w:lang w:eastAsia="en-GB"/>
    </w:rPr>
  </w:style>
  <w:style w:type="paragraph" w:styleId="Heading4">
    <w:name w:val="heading 4"/>
    <w:basedOn w:val="Normal"/>
    <w:next w:val="Normal"/>
    <w:link w:val="Heading4Char"/>
    <w:uiPriority w:val="9"/>
    <w:semiHidden/>
    <w:unhideWhenUsed/>
    <w:qFormat/>
    <w:rsid w:val="00EC623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1250C"/>
    <w:pPr>
      <w:spacing w:line="240" w:lineRule="exact"/>
      <w:jc w:val="both"/>
    </w:pPr>
    <w:rPr>
      <w:rFonts w:ascii="Tms Rmn" w:hAnsi="Tms Rmn"/>
      <w:sz w:val="22"/>
      <w:szCs w:val="20"/>
    </w:rPr>
  </w:style>
  <w:style w:type="paragraph" w:styleId="BodyTextIndent">
    <w:name w:val="Body Text Indent"/>
    <w:basedOn w:val="Normal"/>
    <w:rsid w:val="0031250C"/>
    <w:pPr>
      <w:ind w:left="709"/>
    </w:pPr>
    <w:rPr>
      <w:snapToGrid w:val="0"/>
      <w:sz w:val="22"/>
      <w:szCs w:val="20"/>
    </w:rPr>
  </w:style>
  <w:style w:type="paragraph" w:styleId="Footer">
    <w:name w:val="footer"/>
    <w:basedOn w:val="Normal"/>
    <w:link w:val="FooterChar"/>
    <w:uiPriority w:val="99"/>
    <w:rsid w:val="0031250C"/>
    <w:pPr>
      <w:tabs>
        <w:tab w:val="center" w:pos="4320"/>
        <w:tab w:val="right" w:pos="8640"/>
      </w:tabs>
    </w:pPr>
  </w:style>
  <w:style w:type="character" w:styleId="PageNumber">
    <w:name w:val="page number"/>
    <w:basedOn w:val="DefaultParagraphFont"/>
    <w:rsid w:val="0031250C"/>
  </w:style>
  <w:style w:type="paragraph" w:styleId="Header">
    <w:name w:val="header"/>
    <w:basedOn w:val="Normal"/>
    <w:link w:val="HeaderChar"/>
    <w:uiPriority w:val="99"/>
    <w:rsid w:val="0031250C"/>
    <w:pPr>
      <w:tabs>
        <w:tab w:val="center" w:pos="4320"/>
        <w:tab w:val="right" w:pos="8640"/>
      </w:tabs>
    </w:pPr>
  </w:style>
  <w:style w:type="character" w:customStyle="1" w:styleId="mednormal1">
    <w:name w:val="mednormal1"/>
    <w:rsid w:val="0031250C"/>
    <w:rPr>
      <w:rFonts w:ascii="Verdana" w:hAnsi="Verdana" w:hint="default"/>
      <w:color w:val="000000"/>
      <w:sz w:val="15"/>
      <w:szCs w:val="15"/>
    </w:rPr>
  </w:style>
  <w:style w:type="character" w:customStyle="1" w:styleId="locationbar1">
    <w:name w:val="locationbar1"/>
    <w:rsid w:val="0031250C"/>
    <w:rPr>
      <w:rFonts w:ascii="Verdana" w:hAnsi="Verdana" w:hint="default"/>
      <w:b/>
      <w:bCs/>
      <w:color w:val="000000"/>
      <w:sz w:val="15"/>
      <w:szCs w:val="15"/>
    </w:rPr>
  </w:style>
  <w:style w:type="paragraph" w:styleId="BalloonText">
    <w:name w:val="Balloon Text"/>
    <w:basedOn w:val="Normal"/>
    <w:semiHidden/>
    <w:rsid w:val="004D6CC9"/>
    <w:rPr>
      <w:rFonts w:ascii="Tahoma" w:hAnsi="Tahoma" w:cs="Tahoma"/>
      <w:sz w:val="16"/>
      <w:szCs w:val="16"/>
    </w:rPr>
  </w:style>
  <w:style w:type="paragraph" w:styleId="BodyTextIndent3">
    <w:name w:val="Body Text Indent 3"/>
    <w:basedOn w:val="Normal"/>
    <w:rsid w:val="00764557"/>
    <w:pPr>
      <w:spacing w:after="120"/>
      <w:ind w:left="283"/>
    </w:pPr>
    <w:rPr>
      <w:sz w:val="16"/>
      <w:szCs w:val="16"/>
    </w:rPr>
  </w:style>
  <w:style w:type="character" w:styleId="Hyperlink">
    <w:name w:val="Hyperlink"/>
    <w:uiPriority w:val="99"/>
    <w:unhideWhenUsed/>
    <w:rsid w:val="00D76004"/>
    <w:rPr>
      <w:color w:val="0000FF"/>
      <w:u w:val="single"/>
    </w:rPr>
  </w:style>
  <w:style w:type="paragraph" w:styleId="ListParagraph">
    <w:name w:val="List Paragraph"/>
    <w:basedOn w:val="Normal"/>
    <w:uiPriority w:val="34"/>
    <w:qFormat/>
    <w:rsid w:val="009245DA"/>
    <w:pPr>
      <w:ind w:left="720"/>
    </w:pPr>
  </w:style>
  <w:style w:type="paragraph" w:styleId="NoSpacing">
    <w:name w:val="No Spacing"/>
    <w:uiPriority w:val="1"/>
    <w:qFormat/>
    <w:rsid w:val="00111801"/>
    <w:rPr>
      <w:sz w:val="24"/>
      <w:szCs w:val="24"/>
    </w:rPr>
  </w:style>
  <w:style w:type="paragraph" w:customStyle="1" w:styleId="CH">
    <w:name w:val="CH"/>
    <w:aliases w:val="Contents Head"/>
    <w:basedOn w:val="Normal"/>
    <w:next w:val="Normal"/>
    <w:rsid w:val="00325416"/>
    <w:pPr>
      <w:tabs>
        <w:tab w:val="left" w:pos="600"/>
      </w:tabs>
      <w:suppressAutoHyphens/>
      <w:spacing w:before="100" w:line="480" w:lineRule="exact"/>
    </w:pPr>
    <w:rPr>
      <w:rFonts w:ascii="Arial" w:hAnsi="Arial"/>
      <w:snapToGrid w:val="0"/>
      <w:color w:val="008080"/>
      <w:kern w:val="28"/>
      <w:sz w:val="62"/>
      <w:szCs w:val="20"/>
      <w:lang w:eastAsia="en-GB"/>
    </w:rPr>
  </w:style>
  <w:style w:type="paragraph" w:styleId="PlainText">
    <w:name w:val="Plain Text"/>
    <w:basedOn w:val="Normal"/>
    <w:link w:val="PlainTextChar"/>
    <w:uiPriority w:val="99"/>
    <w:unhideWhenUsed/>
    <w:rsid w:val="009C1D3F"/>
    <w:rPr>
      <w:rFonts w:ascii="Arial" w:eastAsia="Calibri" w:hAnsi="Arial"/>
      <w:sz w:val="20"/>
      <w:szCs w:val="21"/>
      <w:lang w:val="x-none" w:eastAsia="x-none"/>
    </w:rPr>
  </w:style>
  <w:style w:type="character" w:customStyle="1" w:styleId="PlainTextChar">
    <w:name w:val="Plain Text Char"/>
    <w:link w:val="PlainText"/>
    <w:uiPriority w:val="99"/>
    <w:rsid w:val="009C1D3F"/>
    <w:rPr>
      <w:rFonts w:ascii="Arial" w:eastAsia="Calibri" w:hAnsi="Arial"/>
      <w:szCs w:val="21"/>
    </w:rPr>
  </w:style>
  <w:style w:type="paragraph" w:customStyle="1" w:styleId="Default">
    <w:name w:val="Default"/>
    <w:rsid w:val="00717A83"/>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BC7574"/>
    <w:rPr>
      <w:sz w:val="20"/>
      <w:szCs w:val="20"/>
      <w:lang w:val="x-none"/>
    </w:rPr>
  </w:style>
  <w:style w:type="character" w:customStyle="1" w:styleId="FootnoteTextChar">
    <w:name w:val="Footnote Text Char"/>
    <w:link w:val="FootnoteText"/>
    <w:uiPriority w:val="99"/>
    <w:semiHidden/>
    <w:rsid w:val="00BC7574"/>
    <w:rPr>
      <w:lang w:eastAsia="en-US"/>
    </w:rPr>
  </w:style>
  <w:style w:type="character" w:styleId="FootnoteReference">
    <w:name w:val="footnote reference"/>
    <w:unhideWhenUsed/>
    <w:rsid w:val="00BC7574"/>
    <w:rPr>
      <w:vertAlign w:val="superscript"/>
    </w:rPr>
  </w:style>
  <w:style w:type="paragraph" w:styleId="NormalWeb">
    <w:name w:val="Normal (Web)"/>
    <w:basedOn w:val="Normal"/>
    <w:uiPriority w:val="99"/>
    <w:unhideWhenUsed/>
    <w:rsid w:val="00915C36"/>
    <w:pPr>
      <w:spacing w:after="135" w:line="270" w:lineRule="atLeast"/>
    </w:pPr>
    <w:rPr>
      <w:rFonts w:ascii="Arial" w:hAnsi="Arial" w:cs="Arial"/>
      <w:sz w:val="20"/>
      <w:szCs w:val="20"/>
      <w:lang w:eastAsia="en-GB"/>
    </w:rPr>
  </w:style>
  <w:style w:type="character" w:customStyle="1" w:styleId="HeaderChar">
    <w:name w:val="Header Char"/>
    <w:link w:val="Header"/>
    <w:uiPriority w:val="99"/>
    <w:rsid w:val="0051299B"/>
    <w:rPr>
      <w:sz w:val="24"/>
      <w:szCs w:val="24"/>
      <w:lang w:eastAsia="en-US"/>
    </w:rPr>
  </w:style>
  <w:style w:type="paragraph" w:customStyle="1" w:styleId="legp2paratext1">
    <w:name w:val="legp2paratext1"/>
    <w:basedOn w:val="Normal"/>
    <w:rsid w:val="0051299B"/>
    <w:pPr>
      <w:shd w:val="clear" w:color="auto" w:fill="FFFFFF"/>
      <w:spacing w:after="120" w:line="360" w:lineRule="atLeast"/>
      <w:ind w:firstLine="240"/>
      <w:jc w:val="both"/>
    </w:pPr>
    <w:rPr>
      <w:color w:val="494949"/>
      <w:sz w:val="19"/>
      <w:szCs w:val="19"/>
      <w:lang w:eastAsia="en-GB"/>
    </w:rPr>
  </w:style>
  <w:style w:type="character" w:customStyle="1" w:styleId="FooterChar">
    <w:name w:val="Footer Char"/>
    <w:link w:val="Footer"/>
    <w:uiPriority w:val="99"/>
    <w:rsid w:val="00365448"/>
    <w:rPr>
      <w:sz w:val="24"/>
      <w:szCs w:val="24"/>
      <w:lang w:eastAsia="en-US"/>
    </w:rPr>
  </w:style>
  <w:style w:type="character" w:customStyle="1" w:styleId="Heading3Char">
    <w:name w:val="Heading 3 Char"/>
    <w:uiPriority w:val="9"/>
    <w:semiHidden/>
    <w:rsid w:val="00EC6236"/>
    <w:rPr>
      <w:rFonts w:ascii="Cambria" w:eastAsia="Times New Roman" w:hAnsi="Cambria" w:cs="Times New Roman"/>
      <w:b/>
      <w:bCs/>
      <w:sz w:val="26"/>
      <w:szCs w:val="26"/>
      <w:lang w:eastAsia="en-US"/>
    </w:rPr>
  </w:style>
  <w:style w:type="character" w:customStyle="1" w:styleId="Heading3Char1">
    <w:name w:val="Heading 3 Char1"/>
    <w:link w:val="Heading3"/>
    <w:locked/>
    <w:rsid w:val="00EC6236"/>
    <w:rPr>
      <w:rFonts w:ascii="Arial" w:hAnsi="Arial" w:cs="Arial"/>
      <w:b/>
      <w:sz w:val="24"/>
      <w:szCs w:val="24"/>
    </w:rPr>
  </w:style>
  <w:style w:type="character" w:customStyle="1" w:styleId="Heading4Char">
    <w:name w:val="Heading 4 Char"/>
    <w:link w:val="Heading4"/>
    <w:uiPriority w:val="9"/>
    <w:semiHidden/>
    <w:rsid w:val="00EC6236"/>
    <w:rPr>
      <w:rFonts w:ascii="Calibri" w:eastAsia="Times New Roman" w:hAnsi="Calibri" w:cs="Times New Roman"/>
      <w:b/>
      <w:bCs/>
      <w:sz w:val="28"/>
      <w:szCs w:val="28"/>
      <w:lang w:eastAsia="en-US"/>
    </w:rPr>
  </w:style>
  <w:style w:type="character" w:styleId="CommentReference">
    <w:name w:val="annotation reference"/>
    <w:uiPriority w:val="99"/>
    <w:semiHidden/>
    <w:unhideWhenUsed/>
    <w:rsid w:val="009348B6"/>
    <w:rPr>
      <w:sz w:val="16"/>
      <w:szCs w:val="16"/>
    </w:rPr>
  </w:style>
  <w:style w:type="paragraph" w:styleId="CommentText">
    <w:name w:val="annotation text"/>
    <w:basedOn w:val="Normal"/>
    <w:link w:val="CommentTextChar"/>
    <w:uiPriority w:val="99"/>
    <w:unhideWhenUsed/>
    <w:rsid w:val="009348B6"/>
    <w:rPr>
      <w:sz w:val="20"/>
      <w:szCs w:val="20"/>
    </w:rPr>
  </w:style>
  <w:style w:type="character" w:customStyle="1" w:styleId="CommentTextChar">
    <w:name w:val="Comment Text Char"/>
    <w:link w:val="CommentText"/>
    <w:uiPriority w:val="99"/>
    <w:rsid w:val="009348B6"/>
    <w:rPr>
      <w:lang w:eastAsia="en-US"/>
    </w:rPr>
  </w:style>
  <w:style w:type="paragraph" w:styleId="CommentSubject">
    <w:name w:val="annotation subject"/>
    <w:basedOn w:val="CommentText"/>
    <w:next w:val="CommentText"/>
    <w:link w:val="CommentSubjectChar"/>
    <w:uiPriority w:val="99"/>
    <w:semiHidden/>
    <w:unhideWhenUsed/>
    <w:rsid w:val="009348B6"/>
    <w:rPr>
      <w:b/>
      <w:bCs/>
    </w:rPr>
  </w:style>
  <w:style w:type="character" w:customStyle="1" w:styleId="CommentSubjectChar">
    <w:name w:val="Comment Subject Char"/>
    <w:link w:val="CommentSubject"/>
    <w:uiPriority w:val="99"/>
    <w:semiHidden/>
    <w:rsid w:val="009348B6"/>
    <w:rPr>
      <w:b/>
      <w:bCs/>
      <w:lang w:eastAsia="en-US"/>
    </w:rPr>
  </w:style>
  <w:style w:type="character" w:customStyle="1" w:styleId="UnresolvedMention">
    <w:name w:val="Unresolved Mention"/>
    <w:uiPriority w:val="99"/>
    <w:unhideWhenUsed/>
    <w:rsid w:val="006833F2"/>
    <w:rPr>
      <w:color w:val="605E5C"/>
      <w:shd w:val="clear" w:color="auto" w:fill="E1DFDD"/>
    </w:rPr>
  </w:style>
  <w:style w:type="character" w:customStyle="1" w:styleId="Mention">
    <w:name w:val="Mention"/>
    <w:uiPriority w:val="99"/>
    <w:unhideWhenUsed/>
    <w:rsid w:val="006833F2"/>
    <w:rPr>
      <w:color w:val="2B579A"/>
      <w:shd w:val="clear" w:color="auto" w:fill="E1DFDD"/>
    </w:rPr>
  </w:style>
  <w:style w:type="paragraph" w:styleId="Revision">
    <w:name w:val="Revision"/>
    <w:hidden/>
    <w:uiPriority w:val="99"/>
    <w:semiHidden/>
    <w:rsid w:val="0047591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096">
      <w:bodyDiv w:val="1"/>
      <w:marLeft w:val="0"/>
      <w:marRight w:val="0"/>
      <w:marTop w:val="0"/>
      <w:marBottom w:val="0"/>
      <w:divBdr>
        <w:top w:val="none" w:sz="0" w:space="0" w:color="auto"/>
        <w:left w:val="none" w:sz="0" w:space="0" w:color="auto"/>
        <w:bottom w:val="none" w:sz="0" w:space="0" w:color="auto"/>
        <w:right w:val="none" w:sz="0" w:space="0" w:color="auto"/>
      </w:divBdr>
    </w:div>
    <w:div w:id="60031071">
      <w:bodyDiv w:val="1"/>
      <w:marLeft w:val="0"/>
      <w:marRight w:val="0"/>
      <w:marTop w:val="0"/>
      <w:marBottom w:val="0"/>
      <w:divBdr>
        <w:top w:val="none" w:sz="0" w:space="0" w:color="auto"/>
        <w:left w:val="none" w:sz="0" w:space="0" w:color="auto"/>
        <w:bottom w:val="none" w:sz="0" w:space="0" w:color="auto"/>
        <w:right w:val="none" w:sz="0" w:space="0" w:color="auto"/>
      </w:divBdr>
      <w:divsChild>
        <w:div w:id="957183287">
          <w:marLeft w:val="288"/>
          <w:marRight w:val="0"/>
          <w:marTop w:val="0"/>
          <w:marBottom w:val="60"/>
          <w:divBdr>
            <w:top w:val="none" w:sz="0" w:space="0" w:color="auto"/>
            <w:left w:val="none" w:sz="0" w:space="0" w:color="auto"/>
            <w:bottom w:val="none" w:sz="0" w:space="0" w:color="auto"/>
            <w:right w:val="none" w:sz="0" w:space="0" w:color="auto"/>
          </w:divBdr>
        </w:div>
        <w:div w:id="1242712629">
          <w:marLeft w:val="288"/>
          <w:marRight w:val="0"/>
          <w:marTop w:val="0"/>
          <w:marBottom w:val="60"/>
          <w:divBdr>
            <w:top w:val="none" w:sz="0" w:space="0" w:color="auto"/>
            <w:left w:val="none" w:sz="0" w:space="0" w:color="auto"/>
            <w:bottom w:val="none" w:sz="0" w:space="0" w:color="auto"/>
            <w:right w:val="none" w:sz="0" w:space="0" w:color="auto"/>
          </w:divBdr>
        </w:div>
        <w:div w:id="1258052209">
          <w:marLeft w:val="288"/>
          <w:marRight w:val="0"/>
          <w:marTop w:val="0"/>
          <w:marBottom w:val="60"/>
          <w:divBdr>
            <w:top w:val="none" w:sz="0" w:space="0" w:color="auto"/>
            <w:left w:val="none" w:sz="0" w:space="0" w:color="auto"/>
            <w:bottom w:val="none" w:sz="0" w:space="0" w:color="auto"/>
            <w:right w:val="none" w:sz="0" w:space="0" w:color="auto"/>
          </w:divBdr>
        </w:div>
        <w:div w:id="1974284997">
          <w:marLeft w:val="288"/>
          <w:marRight w:val="0"/>
          <w:marTop w:val="0"/>
          <w:marBottom w:val="60"/>
          <w:divBdr>
            <w:top w:val="none" w:sz="0" w:space="0" w:color="auto"/>
            <w:left w:val="none" w:sz="0" w:space="0" w:color="auto"/>
            <w:bottom w:val="none" w:sz="0" w:space="0" w:color="auto"/>
            <w:right w:val="none" w:sz="0" w:space="0" w:color="auto"/>
          </w:divBdr>
        </w:div>
      </w:divsChild>
    </w:div>
    <w:div w:id="87964207">
      <w:bodyDiv w:val="1"/>
      <w:marLeft w:val="0"/>
      <w:marRight w:val="0"/>
      <w:marTop w:val="0"/>
      <w:marBottom w:val="0"/>
      <w:divBdr>
        <w:top w:val="none" w:sz="0" w:space="0" w:color="auto"/>
        <w:left w:val="none" w:sz="0" w:space="0" w:color="auto"/>
        <w:bottom w:val="none" w:sz="0" w:space="0" w:color="auto"/>
        <w:right w:val="none" w:sz="0" w:space="0" w:color="auto"/>
      </w:divBdr>
    </w:div>
    <w:div w:id="96947334">
      <w:bodyDiv w:val="1"/>
      <w:marLeft w:val="0"/>
      <w:marRight w:val="0"/>
      <w:marTop w:val="0"/>
      <w:marBottom w:val="0"/>
      <w:divBdr>
        <w:top w:val="none" w:sz="0" w:space="0" w:color="auto"/>
        <w:left w:val="none" w:sz="0" w:space="0" w:color="auto"/>
        <w:bottom w:val="none" w:sz="0" w:space="0" w:color="auto"/>
        <w:right w:val="none" w:sz="0" w:space="0" w:color="auto"/>
      </w:divBdr>
    </w:div>
    <w:div w:id="107311801">
      <w:bodyDiv w:val="1"/>
      <w:marLeft w:val="0"/>
      <w:marRight w:val="0"/>
      <w:marTop w:val="0"/>
      <w:marBottom w:val="0"/>
      <w:divBdr>
        <w:top w:val="none" w:sz="0" w:space="0" w:color="auto"/>
        <w:left w:val="none" w:sz="0" w:space="0" w:color="auto"/>
        <w:bottom w:val="none" w:sz="0" w:space="0" w:color="auto"/>
        <w:right w:val="none" w:sz="0" w:space="0" w:color="auto"/>
      </w:divBdr>
    </w:div>
    <w:div w:id="157309679">
      <w:bodyDiv w:val="1"/>
      <w:marLeft w:val="0"/>
      <w:marRight w:val="0"/>
      <w:marTop w:val="0"/>
      <w:marBottom w:val="0"/>
      <w:divBdr>
        <w:top w:val="none" w:sz="0" w:space="0" w:color="auto"/>
        <w:left w:val="none" w:sz="0" w:space="0" w:color="auto"/>
        <w:bottom w:val="none" w:sz="0" w:space="0" w:color="auto"/>
        <w:right w:val="none" w:sz="0" w:space="0" w:color="auto"/>
      </w:divBdr>
    </w:div>
    <w:div w:id="162666048">
      <w:bodyDiv w:val="1"/>
      <w:marLeft w:val="0"/>
      <w:marRight w:val="0"/>
      <w:marTop w:val="0"/>
      <w:marBottom w:val="0"/>
      <w:divBdr>
        <w:top w:val="none" w:sz="0" w:space="0" w:color="auto"/>
        <w:left w:val="none" w:sz="0" w:space="0" w:color="auto"/>
        <w:bottom w:val="none" w:sz="0" w:space="0" w:color="auto"/>
        <w:right w:val="none" w:sz="0" w:space="0" w:color="auto"/>
      </w:divBdr>
    </w:div>
    <w:div w:id="179975628">
      <w:bodyDiv w:val="1"/>
      <w:marLeft w:val="0"/>
      <w:marRight w:val="0"/>
      <w:marTop w:val="0"/>
      <w:marBottom w:val="0"/>
      <w:divBdr>
        <w:top w:val="none" w:sz="0" w:space="0" w:color="auto"/>
        <w:left w:val="none" w:sz="0" w:space="0" w:color="auto"/>
        <w:bottom w:val="none" w:sz="0" w:space="0" w:color="auto"/>
        <w:right w:val="none" w:sz="0" w:space="0" w:color="auto"/>
      </w:divBdr>
    </w:div>
    <w:div w:id="180437716">
      <w:bodyDiv w:val="1"/>
      <w:marLeft w:val="0"/>
      <w:marRight w:val="0"/>
      <w:marTop w:val="0"/>
      <w:marBottom w:val="0"/>
      <w:divBdr>
        <w:top w:val="none" w:sz="0" w:space="0" w:color="auto"/>
        <w:left w:val="none" w:sz="0" w:space="0" w:color="auto"/>
        <w:bottom w:val="none" w:sz="0" w:space="0" w:color="auto"/>
        <w:right w:val="none" w:sz="0" w:space="0" w:color="auto"/>
      </w:divBdr>
    </w:div>
    <w:div w:id="286132177">
      <w:bodyDiv w:val="1"/>
      <w:marLeft w:val="0"/>
      <w:marRight w:val="0"/>
      <w:marTop w:val="0"/>
      <w:marBottom w:val="0"/>
      <w:divBdr>
        <w:top w:val="none" w:sz="0" w:space="0" w:color="auto"/>
        <w:left w:val="none" w:sz="0" w:space="0" w:color="auto"/>
        <w:bottom w:val="none" w:sz="0" w:space="0" w:color="auto"/>
        <w:right w:val="none" w:sz="0" w:space="0" w:color="auto"/>
      </w:divBdr>
    </w:div>
    <w:div w:id="291715814">
      <w:bodyDiv w:val="1"/>
      <w:marLeft w:val="0"/>
      <w:marRight w:val="0"/>
      <w:marTop w:val="0"/>
      <w:marBottom w:val="0"/>
      <w:divBdr>
        <w:top w:val="none" w:sz="0" w:space="0" w:color="auto"/>
        <w:left w:val="none" w:sz="0" w:space="0" w:color="auto"/>
        <w:bottom w:val="none" w:sz="0" w:space="0" w:color="auto"/>
        <w:right w:val="none" w:sz="0" w:space="0" w:color="auto"/>
      </w:divBdr>
    </w:div>
    <w:div w:id="301665201">
      <w:bodyDiv w:val="1"/>
      <w:marLeft w:val="0"/>
      <w:marRight w:val="0"/>
      <w:marTop w:val="0"/>
      <w:marBottom w:val="0"/>
      <w:divBdr>
        <w:top w:val="none" w:sz="0" w:space="0" w:color="auto"/>
        <w:left w:val="none" w:sz="0" w:space="0" w:color="auto"/>
        <w:bottom w:val="none" w:sz="0" w:space="0" w:color="auto"/>
        <w:right w:val="none" w:sz="0" w:space="0" w:color="auto"/>
      </w:divBdr>
    </w:div>
    <w:div w:id="333194592">
      <w:bodyDiv w:val="1"/>
      <w:marLeft w:val="0"/>
      <w:marRight w:val="0"/>
      <w:marTop w:val="0"/>
      <w:marBottom w:val="0"/>
      <w:divBdr>
        <w:top w:val="none" w:sz="0" w:space="0" w:color="auto"/>
        <w:left w:val="none" w:sz="0" w:space="0" w:color="auto"/>
        <w:bottom w:val="none" w:sz="0" w:space="0" w:color="auto"/>
        <w:right w:val="none" w:sz="0" w:space="0" w:color="auto"/>
      </w:divBdr>
    </w:div>
    <w:div w:id="375474690">
      <w:bodyDiv w:val="1"/>
      <w:marLeft w:val="0"/>
      <w:marRight w:val="0"/>
      <w:marTop w:val="0"/>
      <w:marBottom w:val="0"/>
      <w:divBdr>
        <w:top w:val="none" w:sz="0" w:space="0" w:color="auto"/>
        <w:left w:val="none" w:sz="0" w:space="0" w:color="auto"/>
        <w:bottom w:val="none" w:sz="0" w:space="0" w:color="auto"/>
        <w:right w:val="none" w:sz="0" w:space="0" w:color="auto"/>
      </w:divBdr>
    </w:div>
    <w:div w:id="390813978">
      <w:bodyDiv w:val="1"/>
      <w:marLeft w:val="0"/>
      <w:marRight w:val="0"/>
      <w:marTop w:val="0"/>
      <w:marBottom w:val="0"/>
      <w:divBdr>
        <w:top w:val="none" w:sz="0" w:space="0" w:color="auto"/>
        <w:left w:val="none" w:sz="0" w:space="0" w:color="auto"/>
        <w:bottom w:val="none" w:sz="0" w:space="0" w:color="auto"/>
        <w:right w:val="none" w:sz="0" w:space="0" w:color="auto"/>
      </w:divBdr>
    </w:div>
    <w:div w:id="523401895">
      <w:bodyDiv w:val="1"/>
      <w:marLeft w:val="0"/>
      <w:marRight w:val="0"/>
      <w:marTop w:val="0"/>
      <w:marBottom w:val="0"/>
      <w:divBdr>
        <w:top w:val="none" w:sz="0" w:space="0" w:color="auto"/>
        <w:left w:val="none" w:sz="0" w:space="0" w:color="auto"/>
        <w:bottom w:val="none" w:sz="0" w:space="0" w:color="auto"/>
        <w:right w:val="none" w:sz="0" w:space="0" w:color="auto"/>
      </w:divBdr>
    </w:div>
    <w:div w:id="662243014">
      <w:bodyDiv w:val="1"/>
      <w:marLeft w:val="0"/>
      <w:marRight w:val="0"/>
      <w:marTop w:val="0"/>
      <w:marBottom w:val="0"/>
      <w:divBdr>
        <w:top w:val="none" w:sz="0" w:space="0" w:color="auto"/>
        <w:left w:val="none" w:sz="0" w:space="0" w:color="auto"/>
        <w:bottom w:val="none" w:sz="0" w:space="0" w:color="auto"/>
        <w:right w:val="none" w:sz="0" w:space="0" w:color="auto"/>
      </w:divBdr>
    </w:div>
    <w:div w:id="692615328">
      <w:bodyDiv w:val="1"/>
      <w:marLeft w:val="0"/>
      <w:marRight w:val="0"/>
      <w:marTop w:val="0"/>
      <w:marBottom w:val="0"/>
      <w:divBdr>
        <w:top w:val="none" w:sz="0" w:space="0" w:color="auto"/>
        <w:left w:val="none" w:sz="0" w:space="0" w:color="auto"/>
        <w:bottom w:val="none" w:sz="0" w:space="0" w:color="auto"/>
        <w:right w:val="none" w:sz="0" w:space="0" w:color="auto"/>
      </w:divBdr>
    </w:div>
    <w:div w:id="708189170">
      <w:bodyDiv w:val="1"/>
      <w:marLeft w:val="0"/>
      <w:marRight w:val="0"/>
      <w:marTop w:val="0"/>
      <w:marBottom w:val="0"/>
      <w:divBdr>
        <w:top w:val="none" w:sz="0" w:space="0" w:color="auto"/>
        <w:left w:val="none" w:sz="0" w:space="0" w:color="auto"/>
        <w:bottom w:val="none" w:sz="0" w:space="0" w:color="auto"/>
        <w:right w:val="none" w:sz="0" w:space="0" w:color="auto"/>
      </w:divBdr>
    </w:div>
    <w:div w:id="708838088">
      <w:bodyDiv w:val="1"/>
      <w:marLeft w:val="0"/>
      <w:marRight w:val="0"/>
      <w:marTop w:val="0"/>
      <w:marBottom w:val="0"/>
      <w:divBdr>
        <w:top w:val="none" w:sz="0" w:space="0" w:color="auto"/>
        <w:left w:val="none" w:sz="0" w:space="0" w:color="auto"/>
        <w:bottom w:val="none" w:sz="0" w:space="0" w:color="auto"/>
        <w:right w:val="none" w:sz="0" w:space="0" w:color="auto"/>
      </w:divBdr>
    </w:div>
    <w:div w:id="714621525">
      <w:bodyDiv w:val="1"/>
      <w:marLeft w:val="0"/>
      <w:marRight w:val="0"/>
      <w:marTop w:val="0"/>
      <w:marBottom w:val="0"/>
      <w:divBdr>
        <w:top w:val="none" w:sz="0" w:space="0" w:color="auto"/>
        <w:left w:val="none" w:sz="0" w:space="0" w:color="auto"/>
        <w:bottom w:val="none" w:sz="0" w:space="0" w:color="auto"/>
        <w:right w:val="none" w:sz="0" w:space="0" w:color="auto"/>
      </w:divBdr>
    </w:div>
    <w:div w:id="724909786">
      <w:bodyDiv w:val="1"/>
      <w:marLeft w:val="0"/>
      <w:marRight w:val="0"/>
      <w:marTop w:val="0"/>
      <w:marBottom w:val="0"/>
      <w:divBdr>
        <w:top w:val="none" w:sz="0" w:space="0" w:color="auto"/>
        <w:left w:val="none" w:sz="0" w:space="0" w:color="auto"/>
        <w:bottom w:val="none" w:sz="0" w:space="0" w:color="auto"/>
        <w:right w:val="none" w:sz="0" w:space="0" w:color="auto"/>
      </w:divBdr>
    </w:div>
    <w:div w:id="731850010">
      <w:bodyDiv w:val="1"/>
      <w:marLeft w:val="0"/>
      <w:marRight w:val="0"/>
      <w:marTop w:val="0"/>
      <w:marBottom w:val="0"/>
      <w:divBdr>
        <w:top w:val="none" w:sz="0" w:space="0" w:color="auto"/>
        <w:left w:val="none" w:sz="0" w:space="0" w:color="auto"/>
        <w:bottom w:val="none" w:sz="0" w:space="0" w:color="auto"/>
        <w:right w:val="none" w:sz="0" w:space="0" w:color="auto"/>
      </w:divBdr>
      <w:divsChild>
        <w:div w:id="272245698">
          <w:marLeft w:val="288"/>
          <w:marRight w:val="0"/>
          <w:marTop w:val="0"/>
          <w:marBottom w:val="60"/>
          <w:divBdr>
            <w:top w:val="none" w:sz="0" w:space="0" w:color="auto"/>
            <w:left w:val="none" w:sz="0" w:space="0" w:color="auto"/>
            <w:bottom w:val="none" w:sz="0" w:space="0" w:color="auto"/>
            <w:right w:val="none" w:sz="0" w:space="0" w:color="auto"/>
          </w:divBdr>
        </w:div>
        <w:div w:id="1392464662">
          <w:marLeft w:val="288"/>
          <w:marRight w:val="0"/>
          <w:marTop w:val="0"/>
          <w:marBottom w:val="60"/>
          <w:divBdr>
            <w:top w:val="none" w:sz="0" w:space="0" w:color="auto"/>
            <w:left w:val="none" w:sz="0" w:space="0" w:color="auto"/>
            <w:bottom w:val="none" w:sz="0" w:space="0" w:color="auto"/>
            <w:right w:val="none" w:sz="0" w:space="0" w:color="auto"/>
          </w:divBdr>
        </w:div>
        <w:div w:id="1566139687">
          <w:marLeft w:val="288"/>
          <w:marRight w:val="0"/>
          <w:marTop w:val="0"/>
          <w:marBottom w:val="60"/>
          <w:divBdr>
            <w:top w:val="none" w:sz="0" w:space="0" w:color="auto"/>
            <w:left w:val="none" w:sz="0" w:space="0" w:color="auto"/>
            <w:bottom w:val="none" w:sz="0" w:space="0" w:color="auto"/>
            <w:right w:val="none" w:sz="0" w:space="0" w:color="auto"/>
          </w:divBdr>
        </w:div>
        <w:div w:id="1584143084">
          <w:marLeft w:val="288"/>
          <w:marRight w:val="0"/>
          <w:marTop w:val="0"/>
          <w:marBottom w:val="60"/>
          <w:divBdr>
            <w:top w:val="none" w:sz="0" w:space="0" w:color="auto"/>
            <w:left w:val="none" w:sz="0" w:space="0" w:color="auto"/>
            <w:bottom w:val="none" w:sz="0" w:space="0" w:color="auto"/>
            <w:right w:val="none" w:sz="0" w:space="0" w:color="auto"/>
          </w:divBdr>
        </w:div>
      </w:divsChild>
    </w:div>
    <w:div w:id="765349956">
      <w:bodyDiv w:val="1"/>
      <w:marLeft w:val="0"/>
      <w:marRight w:val="0"/>
      <w:marTop w:val="0"/>
      <w:marBottom w:val="0"/>
      <w:divBdr>
        <w:top w:val="none" w:sz="0" w:space="0" w:color="auto"/>
        <w:left w:val="none" w:sz="0" w:space="0" w:color="auto"/>
        <w:bottom w:val="none" w:sz="0" w:space="0" w:color="auto"/>
        <w:right w:val="none" w:sz="0" w:space="0" w:color="auto"/>
      </w:divBdr>
    </w:div>
    <w:div w:id="808278995">
      <w:bodyDiv w:val="1"/>
      <w:marLeft w:val="0"/>
      <w:marRight w:val="0"/>
      <w:marTop w:val="0"/>
      <w:marBottom w:val="0"/>
      <w:divBdr>
        <w:top w:val="none" w:sz="0" w:space="0" w:color="auto"/>
        <w:left w:val="none" w:sz="0" w:space="0" w:color="auto"/>
        <w:bottom w:val="none" w:sz="0" w:space="0" w:color="auto"/>
        <w:right w:val="none" w:sz="0" w:space="0" w:color="auto"/>
      </w:divBdr>
    </w:div>
    <w:div w:id="816455236">
      <w:bodyDiv w:val="1"/>
      <w:marLeft w:val="0"/>
      <w:marRight w:val="0"/>
      <w:marTop w:val="0"/>
      <w:marBottom w:val="0"/>
      <w:divBdr>
        <w:top w:val="none" w:sz="0" w:space="0" w:color="auto"/>
        <w:left w:val="none" w:sz="0" w:space="0" w:color="auto"/>
        <w:bottom w:val="none" w:sz="0" w:space="0" w:color="auto"/>
        <w:right w:val="none" w:sz="0" w:space="0" w:color="auto"/>
      </w:divBdr>
    </w:div>
    <w:div w:id="831220767">
      <w:bodyDiv w:val="1"/>
      <w:marLeft w:val="0"/>
      <w:marRight w:val="0"/>
      <w:marTop w:val="0"/>
      <w:marBottom w:val="0"/>
      <w:divBdr>
        <w:top w:val="none" w:sz="0" w:space="0" w:color="auto"/>
        <w:left w:val="none" w:sz="0" w:space="0" w:color="auto"/>
        <w:bottom w:val="none" w:sz="0" w:space="0" w:color="auto"/>
        <w:right w:val="none" w:sz="0" w:space="0" w:color="auto"/>
      </w:divBdr>
    </w:div>
    <w:div w:id="890726948">
      <w:bodyDiv w:val="1"/>
      <w:marLeft w:val="0"/>
      <w:marRight w:val="0"/>
      <w:marTop w:val="0"/>
      <w:marBottom w:val="0"/>
      <w:divBdr>
        <w:top w:val="none" w:sz="0" w:space="0" w:color="auto"/>
        <w:left w:val="none" w:sz="0" w:space="0" w:color="auto"/>
        <w:bottom w:val="none" w:sz="0" w:space="0" w:color="auto"/>
        <w:right w:val="none" w:sz="0" w:space="0" w:color="auto"/>
      </w:divBdr>
      <w:divsChild>
        <w:div w:id="736051770">
          <w:marLeft w:val="288"/>
          <w:marRight w:val="0"/>
          <w:marTop w:val="0"/>
          <w:marBottom w:val="80"/>
          <w:divBdr>
            <w:top w:val="none" w:sz="0" w:space="0" w:color="auto"/>
            <w:left w:val="none" w:sz="0" w:space="0" w:color="auto"/>
            <w:bottom w:val="none" w:sz="0" w:space="0" w:color="auto"/>
            <w:right w:val="none" w:sz="0" w:space="0" w:color="auto"/>
          </w:divBdr>
        </w:div>
        <w:div w:id="1198810942">
          <w:marLeft w:val="288"/>
          <w:marRight w:val="0"/>
          <w:marTop w:val="0"/>
          <w:marBottom w:val="80"/>
          <w:divBdr>
            <w:top w:val="none" w:sz="0" w:space="0" w:color="auto"/>
            <w:left w:val="none" w:sz="0" w:space="0" w:color="auto"/>
            <w:bottom w:val="none" w:sz="0" w:space="0" w:color="auto"/>
            <w:right w:val="none" w:sz="0" w:space="0" w:color="auto"/>
          </w:divBdr>
        </w:div>
        <w:div w:id="1615015784">
          <w:marLeft w:val="288"/>
          <w:marRight w:val="0"/>
          <w:marTop w:val="0"/>
          <w:marBottom w:val="80"/>
          <w:divBdr>
            <w:top w:val="none" w:sz="0" w:space="0" w:color="auto"/>
            <w:left w:val="none" w:sz="0" w:space="0" w:color="auto"/>
            <w:bottom w:val="none" w:sz="0" w:space="0" w:color="auto"/>
            <w:right w:val="none" w:sz="0" w:space="0" w:color="auto"/>
          </w:divBdr>
        </w:div>
        <w:div w:id="1946308332">
          <w:marLeft w:val="288"/>
          <w:marRight w:val="0"/>
          <w:marTop w:val="0"/>
          <w:marBottom w:val="80"/>
          <w:divBdr>
            <w:top w:val="none" w:sz="0" w:space="0" w:color="auto"/>
            <w:left w:val="none" w:sz="0" w:space="0" w:color="auto"/>
            <w:bottom w:val="none" w:sz="0" w:space="0" w:color="auto"/>
            <w:right w:val="none" w:sz="0" w:space="0" w:color="auto"/>
          </w:divBdr>
        </w:div>
      </w:divsChild>
    </w:div>
    <w:div w:id="893394377">
      <w:bodyDiv w:val="1"/>
      <w:marLeft w:val="0"/>
      <w:marRight w:val="0"/>
      <w:marTop w:val="0"/>
      <w:marBottom w:val="0"/>
      <w:divBdr>
        <w:top w:val="none" w:sz="0" w:space="0" w:color="auto"/>
        <w:left w:val="none" w:sz="0" w:space="0" w:color="auto"/>
        <w:bottom w:val="none" w:sz="0" w:space="0" w:color="auto"/>
        <w:right w:val="none" w:sz="0" w:space="0" w:color="auto"/>
      </w:divBdr>
    </w:div>
    <w:div w:id="957226904">
      <w:bodyDiv w:val="1"/>
      <w:marLeft w:val="0"/>
      <w:marRight w:val="0"/>
      <w:marTop w:val="0"/>
      <w:marBottom w:val="0"/>
      <w:divBdr>
        <w:top w:val="none" w:sz="0" w:space="0" w:color="auto"/>
        <w:left w:val="none" w:sz="0" w:space="0" w:color="auto"/>
        <w:bottom w:val="none" w:sz="0" w:space="0" w:color="auto"/>
        <w:right w:val="none" w:sz="0" w:space="0" w:color="auto"/>
      </w:divBdr>
    </w:div>
    <w:div w:id="958029722">
      <w:bodyDiv w:val="1"/>
      <w:marLeft w:val="0"/>
      <w:marRight w:val="0"/>
      <w:marTop w:val="0"/>
      <w:marBottom w:val="0"/>
      <w:divBdr>
        <w:top w:val="none" w:sz="0" w:space="0" w:color="auto"/>
        <w:left w:val="none" w:sz="0" w:space="0" w:color="auto"/>
        <w:bottom w:val="none" w:sz="0" w:space="0" w:color="auto"/>
        <w:right w:val="none" w:sz="0" w:space="0" w:color="auto"/>
      </w:divBdr>
    </w:div>
    <w:div w:id="964237486">
      <w:bodyDiv w:val="1"/>
      <w:marLeft w:val="0"/>
      <w:marRight w:val="0"/>
      <w:marTop w:val="0"/>
      <w:marBottom w:val="0"/>
      <w:divBdr>
        <w:top w:val="none" w:sz="0" w:space="0" w:color="auto"/>
        <w:left w:val="none" w:sz="0" w:space="0" w:color="auto"/>
        <w:bottom w:val="none" w:sz="0" w:space="0" w:color="auto"/>
        <w:right w:val="none" w:sz="0" w:space="0" w:color="auto"/>
      </w:divBdr>
      <w:divsChild>
        <w:div w:id="797144457">
          <w:marLeft w:val="274"/>
          <w:marRight w:val="0"/>
          <w:marTop w:val="0"/>
          <w:marBottom w:val="120"/>
          <w:divBdr>
            <w:top w:val="none" w:sz="0" w:space="0" w:color="auto"/>
            <w:left w:val="none" w:sz="0" w:space="0" w:color="auto"/>
            <w:bottom w:val="none" w:sz="0" w:space="0" w:color="auto"/>
            <w:right w:val="none" w:sz="0" w:space="0" w:color="auto"/>
          </w:divBdr>
        </w:div>
      </w:divsChild>
    </w:div>
    <w:div w:id="978613677">
      <w:bodyDiv w:val="1"/>
      <w:marLeft w:val="0"/>
      <w:marRight w:val="0"/>
      <w:marTop w:val="0"/>
      <w:marBottom w:val="0"/>
      <w:divBdr>
        <w:top w:val="none" w:sz="0" w:space="0" w:color="auto"/>
        <w:left w:val="none" w:sz="0" w:space="0" w:color="auto"/>
        <w:bottom w:val="none" w:sz="0" w:space="0" w:color="auto"/>
        <w:right w:val="none" w:sz="0" w:space="0" w:color="auto"/>
      </w:divBdr>
    </w:div>
    <w:div w:id="1004356046">
      <w:bodyDiv w:val="1"/>
      <w:marLeft w:val="0"/>
      <w:marRight w:val="0"/>
      <w:marTop w:val="0"/>
      <w:marBottom w:val="0"/>
      <w:divBdr>
        <w:top w:val="none" w:sz="0" w:space="0" w:color="auto"/>
        <w:left w:val="none" w:sz="0" w:space="0" w:color="auto"/>
        <w:bottom w:val="none" w:sz="0" w:space="0" w:color="auto"/>
        <w:right w:val="none" w:sz="0" w:space="0" w:color="auto"/>
      </w:divBdr>
    </w:div>
    <w:div w:id="1025405821">
      <w:bodyDiv w:val="1"/>
      <w:marLeft w:val="0"/>
      <w:marRight w:val="0"/>
      <w:marTop w:val="0"/>
      <w:marBottom w:val="0"/>
      <w:divBdr>
        <w:top w:val="none" w:sz="0" w:space="0" w:color="auto"/>
        <w:left w:val="none" w:sz="0" w:space="0" w:color="auto"/>
        <w:bottom w:val="none" w:sz="0" w:space="0" w:color="auto"/>
        <w:right w:val="none" w:sz="0" w:space="0" w:color="auto"/>
      </w:divBdr>
    </w:div>
    <w:div w:id="1047753860">
      <w:bodyDiv w:val="1"/>
      <w:marLeft w:val="0"/>
      <w:marRight w:val="0"/>
      <w:marTop w:val="0"/>
      <w:marBottom w:val="0"/>
      <w:divBdr>
        <w:top w:val="none" w:sz="0" w:space="0" w:color="auto"/>
        <w:left w:val="none" w:sz="0" w:space="0" w:color="auto"/>
        <w:bottom w:val="none" w:sz="0" w:space="0" w:color="auto"/>
        <w:right w:val="none" w:sz="0" w:space="0" w:color="auto"/>
      </w:divBdr>
      <w:divsChild>
        <w:div w:id="97331109">
          <w:marLeft w:val="288"/>
          <w:marRight w:val="0"/>
          <w:marTop w:val="0"/>
          <w:marBottom w:val="60"/>
          <w:divBdr>
            <w:top w:val="none" w:sz="0" w:space="0" w:color="auto"/>
            <w:left w:val="none" w:sz="0" w:space="0" w:color="auto"/>
            <w:bottom w:val="none" w:sz="0" w:space="0" w:color="auto"/>
            <w:right w:val="none" w:sz="0" w:space="0" w:color="auto"/>
          </w:divBdr>
        </w:div>
        <w:div w:id="162084476">
          <w:marLeft w:val="288"/>
          <w:marRight w:val="0"/>
          <w:marTop w:val="0"/>
          <w:marBottom w:val="60"/>
          <w:divBdr>
            <w:top w:val="none" w:sz="0" w:space="0" w:color="auto"/>
            <w:left w:val="none" w:sz="0" w:space="0" w:color="auto"/>
            <w:bottom w:val="none" w:sz="0" w:space="0" w:color="auto"/>
            <w:right w:val="none" w:sz="0" w:space="0" w:color="auto"/>
          </w:divBdr>
        </w:div>
        <w:div w:id="1403405624">
          <w:marLeft w:val="288"/>
          <w:marRight w:val="0"/>
          <w:marTop w:val="0"/>
          <w:marBottom w:val="60"/>
          <w:divBdr>
            <w:top w:val="none" w:sz="0" w:space="0" w:color="auto"/>
            <w:left w:val="none" w:sz="0" w:space="0" w:color="auto"/>
            <w:bottom w:val="none" w:sz="0" w:space="0" w:color="auto"/>
            <w:right w:val="none" w:sz="0" w:space="0" w:color="auto"/>
          </w:divBdr>
        </w:div>
        <w:div w:id="1823428697">
          <w:marLeft w:val="288"/>
          <w:marRight w:val="0"/>
          <w:marTop w:val="0"/>
          <w:marBottom w:val="60"/>
          <w:divBdr>
            <w:top w:val="none" w:sz="0" w:space="0" w:color="auto"/>
            <w:left w:val="none" w:sz="0" w:space="0" w:color="auto"/>
            <w:bottom w:val="none" w:sz="0" w:space="0" w:color="auto"/>
            <w:right w:val="none" w:sz="0" w:space="0" w:color="auto"/>
          </w:divBdr>
        </w:div>
      </w:divsChild>
    </w:div>
    <w:div w:id="1063021725">
      <w:bodyDiv w:val="1"/>
      <w:marLeft w:val="0"/>
      <w:marRight w:val="0"/>
      <w:marTop w:val="0"/>
      <w:marBottom w:val="0"/>
      <w:divBdr>
        <w:top w:val="none" w:sz="0" w:space="0" w:color="auto"/>
        <w:left w:val="none" w:sz="0" w:space="0" w:color="auto"/>
        <w:bottom w:val="none" w:sz="0" w:space="0" w:color="auto"/>
        <w:right w:val="none" w:sz="0" w:space="0" w:color="auto"/>
      </w:divBdr>
    </w:div>
    <w:div w:id="1080492981">
      <w:bodyDiv w:val="1"/>
      <w:marLeft w:val="0"/>
      <w:marRight w:val="0"/>
      <w:marTop w:val="0"/>
      <w:marBottom w:val="0"/>
      <w:divBdr>
        <w:top w:val="none" w:sz="0" w:space="0" w:color="auto"/>
        <w:left w:val="none" w:sz="0" w:space="0" w:color="auto"/>
        <w:bottom w:val="none" w:sz="0" w:space="0" w:color="auto"/>
        <w:right w:val="none" w:sz="0" w:space="0" w:color="auto"/>
      </w:divBdr>
    </w:div>
    <w:div w:id="1138717093">
      <w:bodyDiv w:val="1"/>
      <w:marLeft w:val="0"/>
      <w:marRight w:val="0"/>
      <w:marTop w:val="0"/>
      <w:marBottom w:val="0"/>
      <w:divBdr>
        <w:top w:val="none" w:sz="0" w:space="0" w:color="auto"/>
        <w:left w:val="none" w:sz="0" w:space="0" w:color="auto"/>
        <w:bottom w:val="none" w:sz="0" w:space="0" w:color="auto"/>
        <w:right w:val="none" w:sz="0" w:space="0" w:color="auto"/>
      </w:divBdr>
      <w:divsChild>
        <w:div w:id="314074037">
          <w:marLeft w:val="288"/>
          <w:marRight w:val="0"/>
          <w:marTop w:val="0"/>
          <w:marBottom w:val="60"/>
          <w:divBdr>
            <w:top w:val="none" w:sz="0" w:space="0" w:color="auto"/>
            <w:left w:val="none" w:sz="0" w:space="0" w:color="auto"/>
            <w:bottom w:val="none" w:sz="0" w:space="0" w:color="auto"/>
            <w:right w:val="none" w:sz="0" w:space="0" w:color="auto"/>
          </w:divBdr>
        </w:div>
        <w:div w:id="1303928651">
          <w:marLeft w:val="288"/>
          <w:marRight w:val="0"/>
          <w:marTop w:val="0"/>
          <w:marBottom w:val="60"/>
          <w:divBdr>
            <w:top w:val="none" w:sz="0" w:space="0" w:color="auto"/>
            <w:left w:val="none" w:sz="0" w:space="0" w:color="auto"/>
            <w:bottom w:val="none" w:sz="0" w:space="0" w:color="auto"/>
            <w:right w:val="none" w:sz="0" w:space="0" w:color="auto"/>
          </w:divBdr>
        </w:div>
        <w:div w:id="1507671465">
          <w:marLeft w:val="288"/>
          <w:marRight w:val="0"/>
          <w:marTop w:val="0"/>
          <w:marBottom w:val="60"/>
          <w:divBdr>
            <w:top w:val="none" w:sz="0" w:space="0" w:color="auto"/>
            <w:left w:val="none" w:sz="0" w:space="0" w:color="auto"/>
            <w:bottom w:val="none" w:sz="0" w:space="0" w:color="auto"/>
            <w:right w:val="none" w:sz="0" w:space="0" w:color="auto"/>
          </w:divBdr>
        </w:div>
        <w:div w:id="1591347780">
          <w:marLeft w:val="288"/>
          <w:marRight w:val="0"/>
          <w:marTop w:val="0"/>
          <w:marBottom w:val="60"/>
          <w:divBdr>
            <w:top w:val="none" w:sz="0" w:space="0" w:color="auto"/>
            <w:left w:val="none" w:sz="0" w:space="0" w:color="auto"/>
            <w:bottom w:val="none" w:sz="0" w:space="0" w:color="auto"/>
            <w:right w:val="none" w:sz="0" w:space="0" w:color="auto"/>
          </w:divBdr>
        </w:div>
      </w:divsChild>
    </w:div>
    <w:div w:id="1187215870">
      <w:bodyDiv w:val="1"/>
      <w:marLeft w:val="0"/>
      <w:marRight w:val="0"/>
      <w:marTop w:val="0"/>
      <w:marBottom w:val="0"/>
      <w:divBdr>
        <w:top w:val="none" w:sz="0" w:space="0" w:color="auto"/>
        <w:left w:val="none" w:sz="0" w:space="0" w:color="auto"/>
        <w:bottom w:val="none" w:sz="0" w:space="0" w:color="auto"/>
        <w:right w:val="none" w:sz="0" w:space="0" w:color="auto"/>
      </w:divBdr>
    </w:div>
    <w:div w:id="1188643665">
      <w:bodyDiv w:val="1"/>
      <w:marLeft w:val="0"/>
      <w:marRight w:val="0"/>
      <w:marTop w:val="0"/>
      <w:marBottom w:val="0"/>
      <w:divBdr>
        <w:top w:val="none" w:sz="0" w:space="0" w:color="auto"/>
        <w:left w:val="none" w:sz="0" w:space="0" w:color="auto"/>
        <w:bottom w:val="none" w:sz="0" w:space="0" w:color="auto"/>
        <w:right w:val="none" w:sz="0" w:space="0" w:color="auto"/>
      </w:divBdr>
      <w:divsChild>
        <w:div w:id="1947424569">
          <w:marLeft w:val="0"/>
          <w:marRight w:val="0"/>
          <w:marTop w:val="0"/>
          <w:marBottom w:val="0"/>
          <w:divBdr>
            <w:top w:val="none" w:sz="0" w:space="0" w:color="auto"/>
            <w:left w:val="none" w:sz="0" w:space="0" w:color="auto"/>
            <w:bottom w:val="none" w:sz="0" w:space="0" w:color="auto"/>
            <w:right w:val="none" w:sz="0" w:space="0" w:color="auto"/>
          </w:divBdr>
        </w:div>
      </w:divsChild>
    </w:div>
    <w:div w:id="1258367424">
      <w:bodyDiv w:val="1"/>
      <w:marLeft w:val="0"/>
      <w:marRight w:val="0"/>
      <w:marTop w:val="0"/>
      <w:marBottom w:val="0"/>
      <w:divBdr>
        <w:top w:val="none" w:sz="0" w:space="0" w:color="auto"/>
        <w:left w:val="none" w:sz="0" w:space="0" w:color="auto"/>
        <w:bottom w:val="none" w:sz="0" w:space="0" w:color="auto"/>
        <w:right w:val="none" w:sz="0" w:space="0" w:color="auto"/>
      </w:divBdr>
    </w:div>
    <w:div w:id="1266570682">
      <w:bodyDiv w:val="1"/>
      <w:marLeft w:val="0"/>
      <w:marRight w:val="0"/>
      <w:marTop w:val="0"/>
      <w:marBottom w:val="0"/>
      <w:divBdr>
        <w:top w:val="none" w:sz="0" w:space="0" w:color="auto"/>
        <w:left w:val="none" w:sz="0" w:space="0" w:color="auto"/>
        <w:bottom w:val="none" w:sz="0" w:space="0" w:color="auto"/>
        <w:right w:val="none" w:sz="0" w:space="0" w:color="auto"/>
      </w:divBdr>
    </w:div>
    <w:div w:id="1294099704">
      <w:bodyDiv w:val="1"/>
      <w:marLeft w:val="0"/>
      <w:marRight w:val="0"/>
      <w:marTop w:val="0"/>
      <w:marBottom w:val="0"/>
      <w:divBdr>
        <w:top w:val="none" w:sz="0" w:space="0" w:color="auto"/>
        <w:left w:val="none" w:sz="0" w:space="0" w:color="auto"/>
        <w:bottom w:val="none" w:sz="0" w:space="0" w:color="auto"/>
        <w:right w:val="none" w:sz="0" w:space="0" w:color="auto"/>
      </w:divBdr>
    </w:div>
    <w:div w:id="1301421713">
      <w:bodyDiv w:val="1"/>
      <w:marLeft w:val="0"/>
      <w:marRight w:val="0"/>
      <w:marTop w:val="0"/>
      <w:marBottom w:val="0"/>
      <w:divBdr>
        <w:top w:val="none" w:sz="0" w:space="0" w:color="auto"/>
        <w:left w:val="none" w:sz="0" w:space="0" w:color="auto"/>
        <w:bottom w:val="none" w:sz="0" w:space="0" w:color="auto"/>
        <w:right w:val="none" w:sz="0" w:space="0" w:color="auto"/>
      </w:divBdr>
    </w:div>
    <w:div w:id="1320384854">
      <w:bodyDiv w:val="1"/>
      <w:marLeft w:val="0"/>
      <w:marRight w:val="0"/>
      <w:marTop w:val="0"/>
      <w:marBottom w:val="0"/>
      <w:divBdr>
        <w:top w:val="none" w:sz="0" w:space="0" w:color="auto"/>
        <w:left w:val="none" w:sz="0" w:space="0" w:color="auto"/>
        <w:bottom w:val="none" w:sz="0" w:space="0" w:color="auto"/>
        <w:right w:val="none" w:sz="0" w:space="0" w:color="auto"/>
      </w:divBdr>
    </w:div>
    <w:div w:id="1327123922">
      <w:bodyDiv w:val="1"/>
      <w:marLeft w:val="0"/>
      <w:marRight w:val="0"/>
      <w:marTop w:val="0"/>
      <w:marBottom w:val="0"/>
      <w:divBdr>
        <w:top w:val="none" w:sz="0" w:space="0" w:color="auto"/>
        <w:left w:val="none" w:sz="0" w:space="0" w:color="auto"/>
        <w:bottom w:val="none" w:sz="0" w:space="0" w:color="auto"/>
        <w:right w:val="none" w:sz="0" w:space="0" w:color="auto"/>
      </w:divBdr>
    </w:div>
    <w:div w:id="1366976935">
      <w:bodyDiv w:val="1"/>
      <w:marLeft w:val="0"/>
      <w:marRight w:val="0"/>
      <w:marTop w:val="0"/>
      <w:marBottom w:val="0"/>
      <w:divBdr>
        <w:top w:val="none" w:sz="0" w:space="0" w:color="auto"/>
        <w:left w:val="none" w:sz="0" w:space="0" w:color="auto"/>
        <w:bottom w:val="none" w:sz="0" w:space="0" w:color="auto"/>
        <w:right w:val="none" w:sz="0" w:space="0" w:color="auto"/>
      </w:divBdr>
    </w:div>
    <w:div w:id="1370564854">
      <w:bodyDiv w:val="1"/>
      <w:marLeft w:val="0"/>
      <w:marRight w:val="0"/>
      <w:marTop w:val="0"/>
      <w:marBottom w:val="0"/>
      <w:divBdr>
        <w:top w:val="none" w:sz="0" w:space="0" w:color="auto"/>
        <w:left w:val="none" w:sz="0" w:space="0" w:color="auto"/>
        <w:bottom w:val="none" w:sz="0" w:space="0" w:color="auto"/>
        <w:right w:val="none" w:sz="0" w:space="0" w:color="auto"/>
      </w:divBdr>
    </w:div>
    <w:div w:id="1375811867">
      <w:bodyDiv w:val="1"/>
      <w:marLeft w:val="0"/>
      <w:marRight w:val="0"/>
      <w:marTop w:val="0"/>
      <w:marBottom w:val="0"/>
      <w:divBdr>
        <w:top w:val="none" w:sz="0" w:space="0" w:color="auto"/>
        <w:left w:val="none" w:sz="0" w:space="0" w:color="auto"/>
        <w:bottom w:val="none" w:sz="0" w:space="0" w:color="auto"/>
        <w:right w:val="none" w:sz="0" w:space="0" w:color="auto"/>
      </w:divBdr>
    </w:div>
    <w:div w:id="1386180433">
      <w:bodyDiv w:val="1"/>
      <w:marLeft w:val="0"/>
      <w:marRight w:val="0"/>
      <w:marTop w:val="0"/>
      <w:marBottom w:val="0"/>
      <w:divBdr>
        <w:top w:val="none" w:sz="0" w:space="0" w:color="auto"/>
        <w:left w:val="none" w:sz="0" w:space="0" w:color="auto"/>
        <w:bottom w:val="none" w:sz="0" w:space="0" w:color="auto"/>
        <w:right w:val="none" w:sz="0" w:space="0" w:color="auto"/>
      </w:divBdr>
    </w:div>
    <w:div w:id="1400205698">
      <w:bodyDiv w:val="1"/>
      <w:marLeft w:val="0"/>
      <w:marRight w:val="0"/>
      <w:marTop w:val="0"/>
      <w:marBottom w:val="0"/>
      <w:divBdr>
        <w:top w:val="none" w:sz="0" w:space="0" w:color="auto"/>
        <w:left w:val="none" w:sz="0" w:space="0" w:color="auto"/>
        <w:bottom w:val="none" w:sz="0" w:space="0" w:color="auto"/>
        <w:right w:val="none" w:sz="0" w:space="0" w:color="auto"/>
      </w:divBdr>
      <w:divsChild>
        <w:div w:id="1782915703">
          <w:marLeft w:val="274"/>
          <w:marRight w:val="0"/>
          <w:marTop w:val="0"/>
          <w:marBottom w:val="120"/>
          <w:divBdr>
            <w:top w:val="none" w:sz="0" w:space="0" w:color="auto"/>
            <w:left w:val="none" w:sz="0" w:space="0" w:color="auto"/>
            <w:bottom w:val="none" w:sz="0" w:space="0" w:color="auto"/>
            <w:right w:val="none" w:sz="0" w:space="0" w:color="auto"/>
          </w:divBdr>
        </w:div>
      </w:divsChild>
    </w:div>
    <w:div w:id="1419862578">
      <w:bodyDiv w:val="1"/>
      <w:marLeft w:val="0"/>
      <w:marRight w:val="0"/>
      <w:marTop w:val="0"/>
      <w:marBottom w:val="0"/>
      <w:divBdr>
        <w:top w:val="none" w:sz="0" w:space="0" w:color="auto"/>
        <w:left w:val="none" w:sz="0" w:space="0" w:color="auto"/>
        <w:bottom w:val="none" w:sz="0" w:space="0" w:color="auto"/>
        <w:right w:val="none" w:sz="0" w:space="0" w:color="auto"/>
      </w:divBdr>
    </w:div>
    <w:div w:id="1472675360">
      <w:bodyDiv w:val="1"/>
      <w:marLeft w:val="0"/>
      <w:marRight w:val="0"/>
      <w:marTop w:val="0"/>
      <w:marBottom w:val="0"/>
      <w:divBdr>
        <w:top w:val="none" w:sz="0" w:space="0" w:color="auto"/>
        <w:left w:val="none" w:sz="0" w:space="0" w:color="auto"/>
        <w:bottom w:val="none" w:sz="0" w:space="0" w:color="auto"/>
        <w:right w:val="none" w:sz="0" w:space="0" w:color="auto"/>
      </w:divBdr>
    </w:div>
    <w:div w:id="1504666685">
      <w:bodyDiv w:val="1"/>
      <w:marLeft w:val="0"/>
      <w:marRight w:val="0"/>
      <w:marTop w:val="0"/>
      <w:marBottom w:val="0"/>
      <w:divBdr>
        <w:top w:val="none" w:sz="0" w:space="0" w:color="auto"/>
        <w:left w:val="none" w:sz="0" w:space="0" w:color="auto"/>
        <w:bottom w:val="none" w:sz="0" w:space="0" w:color="auto"/>
        <w:right w:val="none" w:sz="0" w:space="0" w:color="auto"/>
      </w:divBdr>
    </w:div>
    <w:div w:id="1540703436">
      <w:bodyDiv w:val="1"/>
      <w:marLeft w:val="0"/>
      <w:marRight w:val="0"/>
      <w:marTop w:val="0"/>
      <w:marBottom w:val="0"/>
      <w:divBdr>
        <w:top w:val="none" w:sz="0" w:space="0" w:color="auto"/>
        <w:left w:val="none" w:sz="0" w:space="0" w:color="auto"/>
        <w:bottom w:val="none" w:sz="0" w:space="0" w:color="auto"/>
        <w:right w:val="none" w:sz="0" w:space="0" w:color="auto"/>
      </w:divBdr>
    </w:div>
    <w:div w:id="1543591785">
      <w:bodyDiv w:val="1"/>
      <w:marLeft w:val="0"/>
      <w:marRight w:val="0"/>
      <w:marTop w:val="0"/>
      <w:marBottom w:val="0"/>
      <w:divBdr>
        <w:top w:val="none" w:sz="0" w:space="0" w:color="auto"/>
        <w:left w:val="none" w:sz="0" w:space="0" w:color="auto"/>
        <w:bottom w:val="none" w:sz="0" w:space="0" w:color="auto"/>
        <w:right w:val="none" w:sz="0" w:space="0" w:color="auto"/>
      </w:divBdr>
    </w:div>
    <w:div w:id="1570572710">
      <w:bodyDiv w:val="1"/>
      <w:marLeft w:val="0"/>
      <w:marRight w:val="0"/>
      <w:marTop w:val="0"/>
      <w:marBottom w:val="0"/>
      <w:divBdr>
        <w:top w:val="none" w:sz="0" w:space="0" w:color="auto"/>
        <w:left w:val="none" w:sz="0" w:space="0" w:color="auto"/>
        <w:bottom w:val="none" w:sz="0" w:space="0" w:color="auto"/>
        <w:right w:val="none" w:sz="0" w:space="0" w:color="auto"/>
      </w:divBdr>
    </w:div>
    <w:div w:id="1589389297">
      <w:bodyDiv w:val="1"/>
      <w:marLeft w:val="0"/>
      <w:marRight w:val="0"/>
      <w:marTop w:val="0"/>
      <w:marBottom w:val="0"/>
      <w:divBdr>
        <w:top w:val="none" w:sz="0" w:space="0" w:color="auto"/>
        <w:left w:val="none" w:sz="0" w:space="0" w:color="auto"/>
        <w:bottom w:val="none" w:sz="0" w:space="0" w:color="auto"/>
        <w:right w:val="none" w:sz="0" w:space="0" w:color="auto"/>
      </w:divBdr>
    </w:div>
    <w:div w:id="1591964339">
      <w:bodyDiv w:val="1"/>
      <w:marLeft w:val="0"/>
      <w:marRight w:val="0"/>
      <w:marTop w:val="0"/>
      <w:marBottom w:val="0"/>
      <w:divBdr>
        <w:top w:val="none" w:sz="0" w:space="0" w:color="auto"/>
        <w:left w:val="none" w:sz="0" w:space="0" w:color="auto"/>
        <w:bottom w:val="none" w:sz="0" w:space="0" w:color="auto"/>
        <w:right w:val="none" w:sz="0" w:space="0" w:color="auto"/>
      </w:divBdr>
      <w:divsChild>
        <w:div w:id="886379861">
          <w:marLeft w:val="0"/>
          <w:marRight w:val="0"/>
          <w:marTop w:val="0"/>
          <w:marBottom w:val="0"/>
          <w:divBdr>
            <w:top w:val="none" w:sz="0" w:space="0" w:color="auto"/>
            <w:left w:val="none" w:sz="0" w:space="0" w:color="auto"/>
            <w:bottom w:val="none" w:sz="0" w:space="0" w:color="auto"/>
            <w:right w:val="none" w:sz="0" w:space="0" w:color="auto"/>
          </w:divBdr>
          <w:divsChild>
            <w:div w:id="1498185468">
              <w:marLeft w:val="0"/>
              <w:marRight w:val="0"/>
              <w:marTop w:val="0"/>
              <w:marBottom w:val="0"/>
              <w:divBdr>
                <w:top w:val="none" w:sz="0" w:space="0" w:color="auto"/>
                <w:left w:val="none" w:sz="0" w:space="0" w:color="auto"/>
                <w:bottom w:val="none" w:sz="0" w:space="0" w:color="auto"/>
                <w:right w:val="none" w:sz="0" w:space="0" w:color="auto"/>
              </w:divBdr>
              <w:divsChild>
                <w:div w:id="380252105">
                  <w:marLeft w:val="0"/>
                  <w:marRight w:val="0"/>
                  <w:marTop w:val="0"/>
                  <w:marBottom w:val="0"/>
                  <w:divBdr>
                    <w:top w:val="none" w:sz="0" w:space="0" w:color="auto"/>
                    <w:left w:val="none" w:sz="0" w:space="0" w:color="auto"/>
                    <w:bottom w:val="none" w:sz="0" w:space="0" w:color="auto"/>
                    <w:right w:val="none" w:sz="0" w:space="0" w:color="auto"/>
                  </w:divBdr>
                  <w:divsChild>
                    <w:div w:id="184637890">
                      <w:marLeft w:val="0"/>
                      <w:marRight w:val="-2921"/>
                      <w:marTop w:val="0"/>
                      <w:marBottom w:val="0"/>
                      <w:divBdr>
                        <w:top w:val="none" w:sz="0" w:space="0" w:color="auto"/>
                        <w:left w:val="none" w:sz="0" w:space="0" w:color="auto"/>
                        <w:bottom w:val="none" w:sz="0" w:space="0" w:color="auto"/>
                        <w:right w:val="none" w:sz="0" w:space="0" w:color="auto"/>
                      </w:divBdr>
                      <w:divsChild>
                        <w:div w:id="777453628">
                          <w:marLeft w:val="2459"/>
                          <w:marRight w:val="2921"/>
                          <w:marTop w:val="0"/>
                          <w:marBottom w:val="0"/>
                          <w:divBdr>
                            <w:top w:val="none" w:sz="0" w:space="0" w:color="auto"/>
                            <w:left w:val="none" w:sz="0" w:space="0" w:color="auto"/>
                            <w:bottom w:val="none" w:sz="0" w:space="0" w:color="auto"/>
                            <w:right w:val="none" w:sz="0" w:space="0" w:color="auto"/>
                          </w:divBdr>
                          <w:divsChild>
                            <w:div w:id="808715365">
                              <w:marLeft w:val="272"/>
                              <w:marRight w:val="272"/>
                              <w:marTop w:val="272"/>
                              <w:marBottom w:val="272"/>
                              <w:divBdr>
                                <w:top w:val="none" w:sz="0" w:space="0" w:color="auto"/>
                                <w:left w:val="none" w:sz="0" w:space="0" w:color="auto"/>
                                <w:bottom w:val="dotted" w:sz="6" w:space="14" w:color="003366"/>
                                <w:right w:val="none" w:sz="0" w:space="0" w:color="auto"/>
                              </w:divBdr>
                              <w:divsChild>
                                <w:div w:id="14946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96827">
      <w:bodyDiv w:val="1"/>
      <w:marLeft w:val="0"/>
      <w:marRight w:val="0"/>
      <w:marTop w:val="0"/>
      <w:marBottom w:val="0"/>
      <w:divBdr>
        <w:top w:val="none" w:sz="0" w:space="0" w:color="auto"/>
        <w:left w:val="none" w:sz="0" w:space="0" w:color="auto"/>
        <w:bottom w:val="none" w:sz="0" w:space="0" w:color="auto"/>
        <w:right w:val="none" w:sz="0" w:space="0" w:color="auto"/>
      </w:divBdr>
      <w:divsChild>
        <w:div w:id="1139109741">
          <w:marLeft w:val="288"/>
          <w:marRight w:val="0"/>
          <w:marTop w:val="0"/>
          <w:marBottom w:val="60"/>
          <w:divBdr>
            <w:top w:val="none" w:sz="0" w:space="0" w:color="auto"/>
            <w:left w:val="none" w:sz="0" w:space="0" w:color="auto"/>
            <w:bottom w:val="none" w:sz="0" w:space="0" w:color="auto"/>
            <w:right w:val="none" w:sz="0" w:space="0" w:color="auto"/>
          </w:divBdr>
        </w:div>
        <w:div w:id="1645311264">
          <w:marLeft w:val="288"/>
          <w:marRight w:val="0"/>
          <w:marTop w:val="0"/>
          <w:marBottom w:val="60"/>
          <w:divBdr>
            <w:top w:val="none" w:sz="0" w:space="0" w:color="auto"/>
            <w:left w:val="none" w:sz="0" w:space="0" w:color="auto"/>
            <w:bottom w:val="none" w:sz="0" w:space="0" w:color="auto"/>
            <w:right w:val="none" w:sz="0" w:space="0" w:color="auto"/>
          </w:divBdr>
        </w:div>
        <w:div w:id="1803107664">
          <w:marLeft w:val="288"/>
          <w:marRight w:val="0"/>
          <w:marTop w:val="0"/>
          <w:marBottom w:val="60"/>
          <w:divBdr>
            <w:top w:val="none" w:sz="0" w:space="0" w:color="auto"/>
            <w:left w:val="none" w:sz="0" w:space="0" w:color="auto"/>
            <w:bottom w:val="none" w:sz="0" w:space="0" w:color="auto"/>
            <w:right w:val="none" w:sz="0" w:space="0" w:color="auto"/>
          </w:divBdr>
        </w:div>
      </w:divsChild>
    </w:div>
    <w:div w:id="1661348366">
      <w:bodyDiv w:val="1"/>
      <w:marLeft w:val="0"/>
      <w:marRight w:val="0"/>
      <w:marTop w:val="0"/>
      <w:marBottom w:val="0"/>
      <w:divBdr>
        <w:top w:val="none" w:sz="0" w:space="0" w:color="auto"/>
        <w:left w:val="none" w:sz="0" w:space="0" w:color="auto"/>
        <w:bottom w:val="none" w:sz="0" w:space="0" w:color="auto"/>
        <w:right w:val="none" w:sz="0" w:space="0" w:color="auto"/>
      </w:divBdr>
    </w:div>
    <w:div w:id="1711102525">
      <w:bodyDiv w:val="1"/>
      <w:marLeft w:val="0"/>
      <w:marRight w:val="0"/>
      <w:marTop w:val="0"/>
      <w:marBottom w:val="0"/>
      <w:divBdr>
        <w:top w:val="none" w:sz="0" w:space="0" w:color="auto"/>
        <w:left w:val="none" w:sz="0" w:space="0" w:color="auto"/>
        <w:bottom w:val="none" w:sz="0" w:space="0" w:color="auto"/>
        <w:right w:val="none" w:sz="0" w:space="0" w:color="auto"/>
      </w:divBdr>
    </w:div>
    <w:div w:id="1713967425">
      <w:bodyDiv w:val="1"/>
      <w:marLeft w:val="0"/>
      <w:marRight w:val="0"/>
      <w:marTop w:val="0"/>
      <w:marBottom w:val="0"/>
      <w:divBdr>
        <w:top w:val="none" w:sz="0" w:space="0" w:color="auto"/>
        <w:left w:val="none" w:sz="0" w:space="0" w:color="auto"/>
        <w:bottom w:val="none" w:sz="0" w:space="0" w:color="auto"/>
        <w:right w:val="none" w:sz="0" w:space="0" w:color="auto"/>
      </w:divBdr>
    </w:div>
    <w:div w:id="1752044566">
      <w:bodyDiv w:val="1"/>
      <w:marLeft w:val="0"/>
      <w:marRight w:val="0"/>
      <w:marTop w:val="0"/>
      <w:marBottom w:val="0"/>
      <w:divBdr>
        <w:top w:val="none" w:sz="0" w:space="0" w:color="auto"/>
        <w:left w:val="none" w:sz="0" w:space="0" w:color="auto"/>
        <w:bottom w:val="none" w:sz="0" w:space="0" w:color="auto"/>
        <w:right w:val="none" w:sz="0" w:space="0" w:color="auto"/>
      </w:divBdr>
    </w:div>
    <w:div w:id="1763183723">
      <w:bodyDiv w:val="1"/>
      <w:marLeft w:val="0"/>
      <w:marRight w:val="0"/>
      <w:marTop w:val="0"/>
      <w:marBottom w:val="0"/>
      <w:divBdr>
        <w:top w:val="none" w:sz="0" w:space="0" w:color="auto"/>
        <w:left w:val="none" w:sz="0" w:space="0" w:color="auto"/>
        <w:bottom w:val="none" w:sz="0" w:space="0" w:color="auto"/>
        <w:right w:val="none" w:sz="0" w:space="0" w:color="auto"/>
      </w:divBdr>
    </w:div>
    <w:div w:id="1788505383">
      <w:bodyDiv w:val="1"/>
      <w:marLeft w:val="0"/>
      <w:marRight w:val="0"/>
      <w:marTop w:val="0"/>
      <w:marBottom w:val="0"/>
      <w:divBdr>
        <w:top w:val="none" w:sz="0" w:space="0" w:color="auto"/>
        <w:left w:val="none" w:sz="0" w:space="0" w:color="auto"/>
        <w:bottom w:val="none" w:sz="0" w:space="0" w:color="auto"/>
        <w:right w:val="none" w:sz="0" w:space="0" w:color="auto"/>
      </w:divBdr>
    </w:div>
    <w:div w:id="1848444255">
      <w:bodyDiv w:val="1"/>
      <w:marLeft w:val="0"/>
      <w:marRight w:val="0"/>
      <w:marTop w:val="0"/>
      <w:marBottom w:val="0"/>
      <w:divBdr>
        <w:top w:val="none" w:sz="0" w:space="0" w:color="auto"/>
        <w:left w:val="none" w:sz="0" w:space="0" w:color="auto"/>
        <w:bottom w:val="none" w:sz="0" w:space="0" w:color="auto"/>
        <w:right w:val="none" w:sz="0" w:space="0" w:color="auto"/>
      </w:divBdr>
    </w:div>
    <w:div w:id="1883251481">
      <w:bodyDiv w:val="1"/>
      <w:marLeft w:val="0"/>
      <w:marRight w:val="0"/>
      <w:marTop w:val="0"/>
      <w:marBottom w:val="0"/>
      <w:divBdr>
        <w:top w:val="none" w:sz="0" w:space="0" w:color="auto"/>
        <w:left w:val="none" w:sz="0" w:space="0" w:color="auto"/>
        <w:bottom w:val="none" w:sz="0" w:space="0" w:color="auto"/>
        <w:right w:val="none" w:sz="0" w:space="0" w:color="auto"/>
      </w:divBdr>
    </w:div>
    <w:div w:id="1898396344">
      <w:bodyDiv w:val="1"/>
      <w:marLeft w:val="0"/>
      <w:marRight w:val="0"/>
      <w:marTop w:val="0"/>
      <w:marBottom w:val="0"/>
      <w:divBdr>
        <w:top w:val="none" w:sz="0" w:space="0" w:color="auto"/>
        <w:left w:val="none" w:sz="0" w:space="0" w:color="auto"/>
        <w:bottom w:val="none" w:sz="0" w:space="0" w:color="auto"/>
        <w:right w:val="none" w:sz="0" w:space="0" w:color="auto"/>
      </w:divBdr>
    </w:div>
    <w:div w:id="1938905085">
      <w:bodyDiv w:val="1"/>
      <w:marLeft w:val="0"/>
      <w:marRight w:val="0"/>
      <w:marTop w:val="0"/>
      <w:marBottom w:val="0"/>
      <w:divBdr>
        <w:top w:val="none" w:sz="0" w:space="0" w:color="auto"/>
        <w:left w:val="none" w:sz="0" w:space="0" w:color="auto"/>
        <w:bottom w:val="none" w:sz="0" w:space="0" w:color="auto"/>
        <w:right w:val="none" w:sz="0" w:space="0" w:color="auto"/>
      </w:divBdr>
      <w:divsChild>
        <w:div w:id="741879467">
          <w:marLeft w:val="288"/>
          <w:marRight w:val="0"/>
          <w:marTop w:val="0"/>
          <w:marBottom w:val="120"/>
          <w:divBdr>
            <w:top w:val="none" w:sz="0" w:space="0" w:color="auto"/>
            <w:left w:val="none" w:sz="0" w:space="0" w:color="auto"/>
            <w:bottom w:val="none" w:sz="0" w:space="0" w:color="auto"/>
            <w:right w:val="none" w:sz="0" w:space="0" w:color="auto"/>
          </w:divBdr>
        </w:div>
        <w:div w:id="2096003474">
          <w:marLeft w:val="288"/>
          <w:marRight w:val="0"/>
          <w:marTop w:val="0"/>
          <w:marBottom w:val="120"/>
          <w:divBdr>
            <w:top w:val="none" w:sz="0" w:space="0" w:color="auto"/>
            <w:left w:val="none" w:sz="0" w:space="0" w:color="auto"/>
            <w:bottom w:val="none" w:sz="0" w:space="0" w:color="auto"/>
            <w:right w:val="none" w:sz="0" w:space="0" w:color="auto"/>
          </w:divBdr>
        </w:div>
      </w:divsChild>
    </w:div>
    <w:div w:id="1939827276">
      <w:bodyDiv w:val="1"/>
      <w:marLeft w:val="0"/>
      <w:marRight w:val="0"/>
      <w:marTop w:val="0"/>
      <w:marBottom w:val="0"/>
      <w:divBdr>
        <w:top w:val="none" w:sz="0" w:space="0" w:color="auto"/>
        <w:left w:val="none" w:sz="0" w:space="0" w:color="auto"/>
        <w:bottom w:val="none" w:sz="0" w:space="0" w:color="auto"/>
        <w:right w:val="none" w:sz="0" w:space="0" w:color="auto"/>
      </w:divBdr>
    </w:div>
    <w:div w:id="1957524002">
      <w:bodyDiv w:val="1"/>
      <w:marLeft w:val="0"/>
      <w:marRight w:val="0"/>
      <w:marTop w:val="0"/>
      <w:marBottom w:val="0"/>
      <w:divBdr>
        <w:top w:val="none" w:sz="0" w:space="0" w:color="auto"/>
        <w:left w:val="none" w:sz="0" w:space="0" w:color="auto"/>
        <w:bottom w:val="none" w:sz="0" w:space="0" w:color="auto"/>
        <w:right w:val="none" w:sz="0" w:space="0" w:color="auto"/>
      </w:divBdr>
    </w:div>
    <w:div w:id="1981110173">
      <w:bodyDiv w:val="1"/>
      <w:marLeft w:val="0"/>
      <w:marRight w:val="0"/>
      <w:marTop w:val="0"/>
      <w:marBottom w:val="0"/>
      <w:divBdr>
        <w:top w:val="none" w:sz="0" w:space="0" w:color="auto"/>
        <w:left w:val="none" w:sz="0" w:space="0" w:color="auto"/>
        <w:bottom w:val="none" w:sz="0" w:space="0" w:color="auto"/>
        <w:right w:val="none" w:sz="0" w:space="0" w:color="auto"/>
      </w:divBdr>
    </w:div>
    <w:div w:id="2003073235">
      <w:bodyDiv w:val="1"/>
      <w:marLeft w:val="0"/>
      <w:marRight w:val="0"/>
      <w:marTop w:val="0"/>
      <w:marBottom w:val="0"/>
      <w:divBdr>
        <w:top w:val="none" w:sz="0" w:space="0" w:color="auto"/>
        <w:left w:val="none" w:sz="0" w:space="0" w:color="auto"/>
        <w:bottom w:val="none" w:sz="0" w:space="0" w:color="auto"/>
        <w:right w:val="none" w:sz="0" w:space="0" w:color="auto"/>
      </w:divBdr>
    </w:div>
    <w:div w:id="2014721129">
      <w:bodyDiv w:val="1"/>
      <w:marLeft w:val="0"/>
      <w:marRight w:val="0"/>
      <w:marTop w:val="0"/>
      <w:marBottom w:val="0"/>
      <w:divBdr>
        <w:top w:val="none" w:sz="0" w:space="0" w:color="auto"/>
        <w:left w:val="none" w:sz="0" w:space="0" w:color="auto"/>
        <w:bottom w:val="none" w:sz="0" w:space="0" w:color="auto"/>
        <w:right w:val="none" w:sz="0" w:space="0" w:color="auto"/>
      </w:divBdr>
    </w:div>
    <w:div w:id="2024823815">
      <w:bodyDiv w:val="1"/>
      <w:marLeft w:val="0"/>
      <w:marRight w:val="0"/>
      <w:marTop w:val="0"/>
      <w:marBottom w:val="0"/>
      <w:divBdr>
        <w:top w:val="none" w:sz="0" w:space="0" w:color="auto"/>
        <w:left w:val="none" w:sz="0" w:space="0" w:color="auto"/>
        <w:bottom w:val="none" w:sz="0" w:space="0" w:color="auto"/>
        <w:right w:val="none" w:sz="0" w:space="0" w:color="auto"/>
      </w:divBdr>
    </w:div>
    <w:div w:id="2130198554">
      <w:bodyDiv w:val="1"/>
      <w:marLeft w:val="0"/>
      <w:marRight w:val="0"/>
      <w:marTop w:val="0"/>
      <w:marBottom w:val="0"/>
      <w:divBdr>
        <w:top w:val="none" w:sz="0" w:space="0" w:color="auto"/>
        <w:left w:val="none" w:sz="0" w:space="0" w:color="auto"/>
        <w:bottom w:val="none" w:sz="0" w:space="0" w:color="auto"/>
        <w:right w:val="none" w:sz="0" w:space="0" w:color="auto"/>
      </w:divBdr>
    </w:div>
    <w:div w:id="2130732768">
      <w:bodyDiv w:val="1"/>
      <w:marLeft w:val="0"/>
      <w:marRight w:val="0"/>
      <w:marTop w:val="0"/>
      <w:marBottom w:val="0"/>
      <w:divBdr>
        <w:top w:val="none" w:sz="0" w:space="0" w:color="auto"/>
        <w:left w:val="none" w:sz="0" w:space="0" w:color="auto"/>
        <w:bottom w:val="none" w:sz="0" w:space="0" w:color="auto"/>
        <w:right w:val="none" w:sz="0" w:space="0" w:color="auto"/>
      </w:divBdr>
    </w:div>
    <w:div w:id="2141218107">
      <w:bodyDiv w:val="1"/>
      <w:marLeft w:val="0"/>
      <w:marRight w:val="0"/>
      <w:marTop w:val="0"/>
      <w:marBottom w:val="0"/>
      <w:divBdr>
        <w:top w:val="none" w:sz="0" w:space="0" w:color="auto"/>
        <w:left w:val="none" w:sz="0" w:space="0" w:color="auto"/>
        <w:bottom w:val="none" w:sz="0" w:space="0" w:color="auto"/>
        <w:right w:val="none" w:sz="0" w:space="0" w:color="auto"/>
      </w:divBdr>
      <w:divsChild>
        <w:div w:id="126445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b621597b-e49e-469a-bb48-fadffc85d786">
      <UserInfo>
        <DisplayName>Lowe, Andrew</DisplayName>
        <AccountId>21</AccountId>
        <AccountType/>
      </UserInfo>
      <UserInfo>
        <DisplayName>Venables, Vicky</DisplayName>
        <AccountId>61</AccountId>
        <AccountType/>
      </UserInfo>
      <UserInfo>
        <DisplayName>O'Rourke, Daniel</DisplayName>
        <AccountId>279</AccountId>
        <AccountType/>
      </UserInfo>
      <UserInfo>
        <DisplayName>Boutflower, Andrew</DisplayName>
        <AccountId>16</AccountId>
        <AccountType/>
      </UserInfo>
    </SharedWithUsers>
    <_activity xmlns="4b147346-5468-4092-906c-cbca9c6f99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0675CC3A39544993FCEEE1B287A66F" ma:contentTypeVersion="15" ma:contentTypeDescription="Create a new document." ma:contentTypeScope="" ma:versionID="8dc66cf4d54e57ba8d77ff5107c815bd">
  <xsd:schema xmlns:xsd="http://www.w3.org/2001/XMLSchema" xmlns:xs="http://www.w3.org/2001/XMLSchema" xmlns:p="http://schemas.microsoft.com/office/2006/metadata/properties" xmlns:ns3="4b147346-5468-4092-906c-cbca9c6f99ce" xmlns:ns4="b621597b-e49e-469a-bb48-fadffc85d786" targetNamespace="http://schemas.microsoft.com/office/2006/metadata/properties" ma:root="true" ma:fieldsID="a8a0e60498edd877a782d7a1b33ed858" ns3:_="" ns4:_="">
    <xsd:import namespace="4b147346-5468-4092-906c-cbca9c6f99ce"/>
    <xsd:import namespace="b621597b-e49e-469a-bb48-fadffc85d7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47346-5468-4092-906c-cbca9c6f9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1597b-e49e-469a-bb48-fadffc85d7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97CFB-AC44-45B2-A07A-FCF24D81B307}">
  <ds:schemaRefs>
    <ds:schemaRef ds:uri="http://schemas.microsoft.com/office/2006/metadata/longProperties"/>
  </ds:schemaRefs>
</ds:datastoreItem>
</file>

<file path=customXml/itemProps2.xml><?xml version="1.0" encoding="utf-8"?>
<ds:datastoreItem xmlns:ds="http://schemas.openxmlformats.org/officeDocument/2006/customXml" ds:itemID="{F443D0F6-0706-4320-BA4B-58DE38ACF5DD}">
  <ds:schemaRefs>
    <ds:schemaRef ds:uri="http://purl.org/dc/terms/"/>
    <ds:schemaRef ds:uri="http://schemas.microsoft.com/office/2006/documentManagement/types"/>
    <ds:schemaRef ds:uri="4b147346-5468-4092-906c-cbca9c6f99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621597b-e49e-469a-bb48-fadffc85d786"/>
    <ds:schemaRef ds:uri="http://www.w3.org/XML/1998/namespace"/>
    <ds:schemaRef ds:uri="http://purl.org/dc/dcmitype/"/>
  </ds:schemaRefs>
</ds:datastoreItem>
</file>

<file path=customXml/itemProps3.xml><?xml version="1.0" encoding="utf-8"?>
<ds:datastoreItem xmlns:ds="http://schemas.openxmlformats.org/officeDocument/2006/customXml" ds:itemID="{0D038551-C66E-4780-A482-DBFA4C4A79FA}">
  <ds:schemaRefs>
    <ds:schemaRef ds:uri="http://schemas.microsoft.com/sharepoint/v3/contenttype/forms"/>
  </ds:schemaRefs>
</ds:datastoreItem>
</file>

<file path=customXml/itemProps4.xml><?xml version="1.0" encoding="utf-8"?>
<ds:datastoreItem xmlns:ds="http://schemas.openxmlformats.org/officeDocument/2006/customXml" ds:itemID="{06AA2E29-D321-4F82-BF24-FD5C70298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47346-5468-4092-906c-cbca9c6f99ce"/>
    <ds:schemaRef ds:uri="b621597b-e49e-469a-bb48-fadffc85d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A75CEC-A555-429C-B1EF-3BB8D778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5182</Words>
  <Characters>27549</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PCC Treasury Management Outturn Report 201718</vt:lpstr>
    </vt:vector>
  </TitlesOfParts>
  <Company>HP</Company>
  <LinksUpToDate>false</LinksUpToDate>
  <CharactersWithSpaces>32666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Treasury Management Outturn Report 201718</dc:title>
  <dc:subject/>
  <dc:creator>Phiroza Katrak</dc:creator>
  <cp:keywords/>
  <cp:lastModifiedBy>Odell, Suzanne (19435)</cp:lastModifiedBy>
  <cp:revision>5</cp:revision>
  <cp:lastPrinted>2022-09-12T23:59:00Z</cp:lastPrinted>
  <dcterms:created xsi:type="dcterms:W3CDTF">2024-05-15T19:53:00Z</dcterms:created>
  <dcterms:modified xsi:type="dcterms:W3CDTF">2024-05-16T13:46:00Z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Farley, Gemma</vt:lpwstr>
  </property>
  <property fmtid="{D5CDD505-2E9C-101B-9397-08002B2CF9AE}" pid="3" name="display_urn:schemas-microsoft-com:office:office#Author">
    <vt:lpwstr>Farley, Gemma</vt:lpwstr>
  </property>
  <property fmtid="{D5CDD505-2E9C-101B-9397-08002B2CF9AE}" pid="4" name="Order">
    <vt:lpwstr>100.000000000000</vt:lpwstr>
  </property>
  <property fmtid="{D5CDD505-2E9C-101B-9397-08002B2CF9AE}" pid="5" name="ContentTypeId">
    <vt:lpwstr>0x0101000E0675CC3A39544993FCEEE1B287A66F</vt:lpwstr>
  </property>
  <property fmtid="{D5CDD505-2E9C-101B-9397-08002B2CF9AE}" pid="6" name="Finance Investments and Pensions Fund">
    <vt:lpwstr>953;#Monitoring|d09bc0a6-4bb4-4848-9100-0cd854a83453</vt:lpwstr>
  </property>
  <property fmtid="{D5CDD505-2E9C-101B-9397-08002B2CF9AE}" pid="7" name="Document Type">
    <vt:lpwstr>6;#Report|34ea6f59-a1ac-4819-8503-2c5e12c8b726</vt:lpwstr>
  </property>
  <property fmtid="{D5CDD505-2E9C-101B-9397-08002B2CF9AE}" pid="8" name="Financial Year">
    <vt:lpwstr>726;#2017/2018|e1f27230-72ab-4a31-8726-d4cc90d57044</vt:lpwstr>
  </property>
  <property fmtid="{D5CDD505-2E9C-101B-9397-08002B2CF9AE}" pid="9" name="hf6b0bb3ec8741ff8f08cbde0b83b05e">
    <vt:lpwstr/>
  </property>
  <property fmtid="{D5CDD505-2E9C-101B-9397-08002B2CF9AE}" pid="10" name="m042a3c79a104f899bf2333213dedc3f">
    <vt:lpwstr/>
  </property>
  <property fmtid="{D5CDD505-2E9C-101B-9397-08002B2CF9AE}" pid="11" name="Systems (Finance)">
    <vt:lpwstr/>
  </property>
  <property fmtid="{D5CDD505-2E9C-101B-9397-08002B2CF9AE}" pid="12" name="h3c57ee0d733459794e5e77fcc72213d">
    <vt:lpwstr/>
  </property>
  <property fmtid="{D5CDD505-2E9C-101B-9397-08002B2CF9AE}" pid="13" name="j7731e1084b144ad8034d596a228c916">
    <vt:lpwstr/>
  </property>
  <property fmtid="{D5CDD505-2E9C-101B-9397-08002B2CF9AE}" pid="14" name="me72eb8e3be349208f9b2fcfad1928d1">
    <vt:lpwstr/>
  </property>
  <property fmtid="{D5CDD505-2E9C-101B-9397-08002B2CF9AE}" pid="15" name="c08708c1c0b249979edebef252a2fc86">
    <vt:lpwstr/>
  </property>
  <property fmtid="{D5CDD505-2E9C-101B-9397-08002B2CF9AE}" pid="16" name="b86249fded154c1ead0fbd5fedc80039">
    <vt:lpwstr/>
  </property>
  <property fmtid="{D5CDD505-2E9C-101B-9397-08002B2CF9AE}" pid="17" name="Education Financial Services">
    <vt:lpwstr/>
  </property>
  <property fmtid="{D5CDD505-2E9C-101B-9397-08002B2CF9AE}" pid="18" name="bd93d7c1e8624dab9f74edfdbb03615a">
    <vt:lpwstr/>
  </property>
  <property fmtid="{D5CDD505-2E9C-101B-9397-08002B2CF9AE}" pid="19" name="Library Location">
    <vt:lpwstr/>
  </property>
  <property fmtid="{D5CDD505-2E9C-101B-9397-08002B2CF9AE}" pid="20" name="Order to Cash - Accounts Receivable">
    <vt:lpwstr/>
  </property>
  <property fmtid="{D5CDD505-2E9C-101B-9397-08002B2CF9AE}" pid="21" name="Order to Cash - Banking and Control">
    <vt:lpwstr/>
  </property>
  <property fmtid="{D5CDD505-2E9C-101B-9397-08002B2CF9AE}" pid="22" name="Policies and Procedures (Finance)">
    <vt:lpwstr/>
  </property>
  <property fmtid="{D5CDD505-2E9C-101B-9397-08002B2CF9AE}" pid="23" name="lfef263e21e64358a4207c6019732fcd">
    <vt:lpwstr/>
  </property>
  <property fmtid="{D5CDD505-2E9C-101B-9397-08002B2CF9AE}" pid="24" name="ma366bab1acb4913ac9aef0ffab2c0d6">
    <vt:lpwstr/>
  </property>
  <property fmtid="{D5CDD505-2E9C-101B-9397-08002B2CF9AE}" pid="25" name="c7a9373b158a4f25bed816b79f4caa39">
    <vt:lpwstr/>
  </property>
  <property fmtid="{D5CDD505-2E9C-101B-9397-08002B2CF9AE}" pid="26" name="fe085c1eab5e4f4aa569b2f74f4bdacb">
    <vt:lpwstr/>
  </property>
  <property fmtid="{D5CDD505-2E9C-101B-9397-08002B2CF9AE}" pid="27" name="Tax and VAT (Finance)">
    <vt:lpwstr/>
  </property>
  <property fmtid="{D5CDD505-2E9C-101B-9397-08002B2CF9AE}" pid="28" name="Schools">
    <vt:lpwstr/>
  </property>
  <property fmtid="{D5CDD505-2E9C-101B-9397-08002B2CF9AE}" pid="29" name="Budget Preparation (Finance)">
    <vt:lpwstr/>
  </property>
  <property fmtid="{D5CDD505-2E9C-101B-9397-08002B2CF9AE}" pid="30" name="IBC Business Processes">
    <vt:lpwstr/>
  </property>
  <property fmtid="{D5CDD505-2E9C-101B-9397-08002B2CF9AE}" pid="31" name="aff368d56a7a41abac3dff9221a796c7">
    <vt:lpwstr/>
  </property>
  <property fmtid="{D5CDD505-2E9C-101B-9397-08002B2CF9AE}" pid="32" name="g5eed81a661a428094921165885b32ac">
    <vt:lpwstr/>
  </property>
  <property fmtid="{D5CDD505-2E9C-101B-9397-08002B2CF9AE}" pid="33" name="Customer (Finance)">
    <vt:lpwstr/>
  </property>
  <property fmtid="{D5CDD505-2E9C-101B-9397-08002B2CF9AE}" pid="34" name="Budget Monitoring (Finance)">
    <vt:lpwstr/>
  </property>
  <property fmtid="{D5CDD505-2E9C-101B-9397-08002B2CF9AE}" pid="35" name="Final Accounts (Finance)">
    <vt:lpwstr/>
  </property>
  <property fmtid="{D5CDD505-2E9C-101B-9397-08002B2CF9AE}" pid="36" name="Calendar Year">
    <vt:lpwstr/>
  </property>
  <property fmtid="{D5CDD505-2E9C-101B-9397-08002B2CF9AE}" pid="37" name="Groups and Meetings (Finance)">
    <vt:lpwstr/>
  </property>
  <property fmtid="{D5CDD505-2E9C-101B-9397-08002B2CF9AE}" pid="38" name="p90e31759909486091d47177bed7da9a">
    <vt:lpwstr/>
  </property>
  <property fmtid="{D5CDD505-2E9C-101B-9397-08002B2CF9AE}" pid="39" name="cf18ccb67a8c47b4a12d68c41e3eb221">
    <vt:lpwstr/>
  </property>
  <property fmtid="{D5CDD505-2E9C-101B-9397-08002B2CF9AE}" pid="40" name="Purchase to Pay">
    <vt:lpwstr/>
  </property>
  <property fmtid="{D5CDD505-2E9C-101B-9397-08002B2CF9AE}" pid="41" name="SAP Master Data Management">
    <vt:lpwstr/>
  </property>
  <property fmtid="{D5CDD505-2E9C-101B-9397-08002B2CF9AE}" pid="42" name="acb6aedd868e448598333099d9979513">
    <vt:lpwstr/>
  </property>
  <property fmtid="{D5CDD505-2E9C-101B-9397-08002B2CF9AE}" pid="43" name="Financial Analysis">
    <vt:lpwstr/>
  </property>
  <property fmtid="{D5CDD505-2E9C-101B-9397-08002B2CF9AE}" pid="44" name="_dlc_ExpireDate">
    <vt:lpwstr>2020-07-16T14:06:18Z</vt:lpwstr>
  </property>
  <property fmtid="{D5CDD505-2E9C-101B-9397-08002B2CF9AE}" pid="4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46" name="_dlc_policyId">
    <vt:lpwstr>0x0101004E1B537BC2B2AD43A5AF5311D732D3AA|1208973698</vt:lpwstr>
  </property>
  <property fmtid="{D5CDD505-2E9C-101B-9397-08002B2CF9AE}" pid="47" name="eeadced8a35a499eaa6ae428604d987c">
    <vt:lpwstr>2017/2018|e1f27230-72ab-4a31-8726-d4cc90d57044</vt:lpwstr>
  </property>
  <property fmtid="{D5CDD505-2E9C-101B-9397-08002B2CF9AE}" pid="48" name="xd_ProgID">
    <vt:lpwstr/>
  </property>
  <property fmtid="{D5CDD505-2E9C-101B-9397-08002B2CF9AE}" pid="49" name="ComplianceAssetId">
    <vt:lpwstr/>
  </property>
  <property fmtid="{D5CDD505-2E9C-101B-9397-08002B2CF9AE}" pid="50" name="Item ID">
    <vt:lpwstr>A1001001A18D05B60817I42491</vt:lpwstr>
  </property>
  <property fmtid="{D5CDD505-2E9C-101B-9397-08002B2CF9AE}" pid="51" name="TemplateUrl">
    <vt:lpwstr/>
  </property>
  <property fmtid="{D5CDD505-2E9C-101B-9397-08002B2CF9AE}" pid="52" name="Active Document">
    <vt:bool>true</vt:bool>
  </property>
  <property fmtid="{D5CDD505-2E9C-101B-9397-08002B2CF9AE}" pid="53" name="hc3a5e09668742aa96af821d37d4cad5">
    <vt:lpwstr>Monitoring|d09bc0a6-4bb4-4848-9100-0cd854a83453</vt:lpwstr>
  </property>
  <property fmtid="{D5CDD505-2E9C-101B-9397-08002B2CF9AE}" pid="54" name="hc632fe273cb498aa970207d30c3b1d8">
    <vt:lpwstr>Report|34ea6f59-a1ac-4819-8503-2c5e12c8b726</vt:lpwstr>
  </property>
  <property fmtid="{D5CDD505-2E9C-101B-9397-08002B2CF9AE}" pid="55" name="xd_Signature">
    <vt:bool>false</vt:bool>
  </property>
  <property fmtid="{D5CDD505-2E9C-101B-9397-08002B2CF9AE}" pid="56" name="TaxCatchAll">
    <vt:lpwstr>6;#Report|34ea6f59-a1ac-4819-8503-2c5e12c8b726</vt:lpwstr>
  </property>
  <property fmtid="{D5CDD505-2E9C-101B-9397-08002B2CF9AE}" pid="57" name="MediaServiceImageTags">
    <vt:lpwstr/>
  </property>
</Properties>
</file>