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6DA" w:rsidRDefault="00D820BB" w:rsidP="00D820BB">
      <w:r w:rsidRPr="00DD08B1">
        <w:rPr>
          <w:rFonts w:ascii="Calibri" w:eastAsia="Calibri" w:hAnsi="Calibri" w:cs="Calibri"/>
          <w:noProof/>
          <w:lang w:eastAsia="en-GB"/>
        </w:rPr>
        <mc:AlternateContent>
          <mc:Choice Requires="wps">
            <w:drawing>
              <wp:anchor distT="0" distB="0" distL="114300" distR="114300" simplePos="0" relativeHeight="251659264" behindDoc="0" locked="0" layoutInCell="1" allowOverlap="1" wp14:anchorId="762B6487" wp14:editId="57FD3FD8">
                <wp:simplePos x="0" y="0"/>
                <wp:positionH relativeFrom="margin">
                  <wp:align>center</wp:align>
                </wp:positionH>
                <wp:positionV relativeFrom="paragraph">
                  <wp:posOffset>2654300</wp:posOffset>
                </wp:positionV>
                <wp:extent cx="6083300" cy="2514600"/>
                <wp:effectExtent l="0" t="0" r="12700" b="19050"/>
                <wp:wrapNone/>
                <wp:docPr id="38" name="Flowchart: Alternate Process 38"/>
                <wp:cNvGraphicFramePr/>
                <a:graphic xmlns:a="http://schemas.openxmlformats.org/drawingml/2006/main">
                  <a:graphicData uri="http://schemas.microsoft.com/office/word/2010/wordprocessingShape">
                    <wps:wsp>
                      <wps:cNvSpPr/>
                      <wps:spPr>
                        <a:xfrm>
                          <a:off x="0" y="0"/>
                          <a:ext cx="6083300" cy="2514600"/>
                        </a:xfrm>
                        <a:prstGeom prst="flowChartAlternateProcess">
                          <a:avLst/>
                        </a:prstGeom>
                        <a:solidFill>
                          <a:srgbClr val="27CED7">
                            <a:lumMod val="20000"/>
                            <a:lumOff val="80000"/>
                          </a:srgbClr>
                        </a:solidFill>
                        <a:ln w="19050" cap="flat" cmpd="sng" algn="ctr">
                          <a:solidFill>
                            <a:srgbClr val="27CED7">
                              <a:lumMod val="75000"/>
                            </a:srgbClr>
                          </a:solidFill>
                          <a:prstDash val="solid"/>
                          <a:miter lim="800000"/>
                        </a:ln>
                        <a:effectLst/>
                      </wps:spPr>
                      <wps:txbx>
                        <w:txbxContent>
                          <w:p w:rsidR="0034176D" w:rsidRPr="004C3C3B" w:rsidRDefault="0034176D" w:rsidP="00F10A24">
                            <w:pPr>
                              <w:pStyle w:val="Title"/>
                              <w:rPr>
                                <w:color w:val="002060"/>
                                <w:sz w:val="40"/>
                                <w:szCs w:val="40"/>
                              </w:rPr>
                            </w:pPr>
                            <w:r w:rsidRPr="004C3C3B">
                              <w:rPr>
                                <w:color w:val="002060"/>
                                <w:sz w:val="40"/>
                                <w:szCs w:val="40"/>
                              </w:rPr>
                              <w:t xml:space="preserve">Violence Reduction Partnership (VRP) </w:t>
                            </w:r>
                          </w:p>
                          <w:p w:rsidR="0034176D" w:rsidRPr="004C3C3B" w:rsidRDefault="0034176D" w:rsidP="005D443B">
                            <w:pPr>
                              <w:pStyle w:val="Title"/>
                              <w:rPr>
                                <w:color w:val="002060"/>
                                <w:sz w:val="40"/>
                                <w:szCs w:val="40"/>
                              </w:rPr>
                            </w:pPr>
                            <w:r>
                              <w:rPr>
                                <w:color w:val="002060"/>
                                <w:sz w:val="40"/>
                                <w:szCs w:val="40"/>
                              </w:rPr>
                              <w:t xml:space="preserve">Interventions, Evaluations and Opportunities (IEO) Working Group </w:t>
                            </w:r>
                            <w:r w:rsidRPr="004C3C3B">
                              <w:rPr>
                                <w:color w:val="002060"/>
                                <w:sz w:val="40"/>
                                <w:szCs w:val="40"/>
                              </w:rPr>
                              <w:t>Terms of Reference (ToR)</w:t>
                            </w:r>
                          </w:p>
                          <w:p w:rsidR="0034176D" w:rsidRPr="004C3C3B" w:rsidRDefault="0034176D" w:rsidP="00F10A24">
                            <w:pPr>
                              <w:rPr>
                                <w:color w:val="002060"/>
                                <w:sz w:val="40"/>
                                <w:szCs w:val="40"/>
                              </w:rPr>
                            </w:pPr>
                          </w:p>
                          <w:p w:rsidR="0034176D" w:rsidRPr="004C3C3B" w:rsidRDefault="00B7265E" w:rsidP="00F10A24">
                            <w:pPr>
                              <w:pStyle w:val="Title"/>
                              <w:rPr>
                                <w:color w:val="002060"/>
                                <w:sz w:val="40"/>
                                <w:szCs w:val="40"/>
                              </w:rPr>
                            </w:pPr>
                            <w:r>
                              <w:rPr>
                                <w:color w:val="002060"/>
                                <w:sz w:val="40"/>
                                <w:szCs w:val="40"/>
                              </w:rPr>
                              <w:t>February</w:t>
                            </w:r>
                            <w:r w:rsidR="00F41533">
                              <w:rPr>
                                <w:color w:val="002060"/>
                                <w:sz w:val="40"/>
                                <w:szCs w:val="40"/>
                              </w:rPr>
                              <w:t xml:space="preserve"> 2024</w:t>
                            </w:r>
                          </w:p>
                          <w:p w:rsidR="0034176D" w:rsidRPr="003C0335" w:rsidRDefault="0034176D" w:rsidP="003C0335">
                            <w:pPr>
                              <w:pStyle w:val="ListParagraph"/>
                              <w:spacing w:after="0" w:line="240" w:lineRule="auto"/>
                              <w:jc w:val="center"/>
                              <w:rPr>
                                <w:rFonts w:cs="Calibri"/>
                                <w:b/>
                                <w:color w:val="00206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2B6487"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38" o:spid="_x0000_s1026" type="#_x0000_t176" style="position:absolute;margin-left:0;margin-top:209pt;width:479pt;height:198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mqDqAIAAIIFAAAOAAAAZHJzL2Uyb0RvYy54bWysVEtv2zAMvg/YfxB0X+2kSdMadYogWYYB&#10;XRugHXZmZDkWoNckJXb360fJTvrY0MMwH2Q+RIr8+Li+6ZQkB+68MLqko7OcEq6ZqYTelfT74/rT&#10;JSU+gK5AGs1L+sQ9vZl//HDd2oKPTWNkxR1BJ9oXrS1pE4ItssyzhivwZ8ZyjcraOAUBWbfLKgct&#10;elcyG+f5RdYaV1lnGPcepateSefJf11zFu7r2vNAZEkxtpBOl85tPLP5NRQ7B7YRbAgD/iEKBULj&#10;oydXKwhA9k784UoJ5ow3dThjRmWmrgXjKQfMZpS/yeahActTLgiOtyeY/P9zy+4OG0dEVdJzrJQG&#10;hTVaS9OyBlwoyEIG7jQETjY9xgSvIWat9QWaPtiNGziPZASgq52Kf0yNdAnnpxPOvAuEofAivzw/&#10;z7EcDHXj6WhygQz6yZ7NrfPhCzeKRKKkNYa0jCGdAhriSaDD4daH3v5oF0PwRopqLaRMjNttl9KR&#10;A2AnjGfLz6tZspV79c1UgzjHr28JFGPj9OLLoxjj872bFOsr/1KTFgfgKp/GvABbuZYQkFQWwfV6&#10;RwnIHc4ICy49/Mp6cPtudLPpEN17YcT8V+Cb3lN6o09ICawkkUKVNOVzBFzqiA5PozKgGIvblzNS&#10;odt2Q423pnrCbnGmHyNv2Vrge7fgwwYczg2mjrsg3OMRK1ZSM1CUNMb9+ps83sd2Ri0lLc4hYvVz&#10;D45TIr9qbPSr0WQSBzcxk+lsjIx7qdm+1Oi9Whos8Ai3jmWJjPeDPJK1M+oHroxFfBVVoBm+3Vdl&#10;YJah3w+4dBhfLNI1HFYL4VY/WBadR8gi0o/dD3B26NGA7X1njjMLxZuu7O9GS20W+2BqkVo2Qtzj&#10;ij0VGRz01F3DUoqb5CWfbj2vzvlvAAAA//8DAFBLAwQUAAYACAAAACEArFqTe90AAAAIAQAADwAA&#10;AGRycy9kb3ducmV2LnhtbEyPwU7DMBBE70j8g7VI3KgTFFBI41RQgeCAKlr6AW6yjSPidbDdNP17&#10;tqdym9WM3s6Ui8n2YkQfOkcK0lkCAql2TUetgu33210OIkRNje4doYITBlhU11elLhp3pDWOm9gK&#10;hlAotAIT41BIGWqDVoeZG5DY2ztvdeTTt7Lx+shw28v7JHmUVnfEH4wecGmw/tkcrIJslS/jp/84&#10;fa1eyZjfbP/yvh6Vur2ZnucgIk7xEoZzfa4OFXfauQM1QfQKeEhkUpqzYPvp4Sx2CvI0S0BWpfw/&#10;oPoDAAD//wMAUEsBAi0AFAAGAAgAAAAhALaDOJL+AAAA4QEAABMAAAAAAAAAAAAAAAAAAAAAAFtD&#10;b250ZW50X1R5cGVzXS54bWxQSwECLQAUAAYACAAAACEAOP0h/9YAAACUAQAACwAAAAAAAAAAAAAA&#10;AAAvAQAAX3JlbHMvLnJlbHNQSwECLQAUAAYACAAAACEAqSpqg6gCAACCBQAADgAAAAAAAAAAAAAA&#10;AAAuAgAAZHJzL2Uyb0RvYy54bWxQSwECLQAUAAYACAAAACEArFqTe90AAAAIAQAADwAAAAAAAAAA&#10;AAAAAAACBQAAZHJzL2Rvd25yZXYueG1sUEsFBgAAAAAEAAQA8wAAAAwGAAAAAA==&#10;" fillcolor="#d4f5f7" strokecolor="#1d9ba1" strokeweight="1.5pt">
                <v:textbox>
                  <w:txbxContent>
                    <w:p w:rsidR="0034176D" w:rsidRPr="004C3C3B" w:rsidRDefault="0034176D" w:rsidP="00F10A24">
                      <w:pPr>
                        <w:pStyle w:val="Title"/>
                        <w:rPr>
                          <w:color w:val="002060"/>
                          <w:sz w:val="40"/>
                          <w:szCs w:val="40"/>
                        </w:rPr>
                      </w:pPr>
                      <w:r w:rsidRPr="004C3C3B">
                        <w:rPr>
                          <w:color w:val="002060"/>
                          <w:sz w:val="40"/>
                          <w:szCs w:val="40"/>
                        </w:rPr>
                        <w:t xml:space="preserve">Violence Reduction Partnership (VRP) </w:t>
                      </w:r>
                    </w:p>
                    <w:p w:rsidR="0034176D" w:rsidRPr="004C3C3B" w:rsidRDefault="0034176D" w:rsidP="005D443B">
                      <w:pPr>
                        <w:pStyle w:val="Title"/>
                        <w:rPr>
                          <w:color w:val="002060"/>
                          <w:sz w:val="40"/>
                          <w:szCs w:val="40"/>
                        </w:rPr>
                      </w:pPr>
                      <w:r>
                        <w:rPr>
                          <w:color w:val="002060"/>
                          <w:sz w:val="40"/>
                          <w:szCs w:val="40"/>
                        </w:rPr>
                        <w:t xml:space="preserve">Interventions, Evaluations and Opportunities (IEO) Working Group </w:t>
                      </w:r>
                      <w:r w:rsidRPr="004C3C3B">
                        <w:rPr>
                          <w:color w:val="002060"/>
                          <w:sz w:val="40"/>
                          <w:szCs w:val="40"/>
                        </w:rPr>
                        <w:t>Terms of Reference (ToR)</w:t>
                      </w:r>
                    </w:p>
                    <w:p w:rsidR="0034176D" w:rsidRPr="004C3C3B" w:rsidRDefault="0034176D" w:rsidP="00F10A24">
                      <w:pPr>
                        <w:rPr>
                          <w:color w:val="002060"/>
                          <w:sz w:val="40"/>
                          <w:szCs w:val="40"/>
                        </w:rPr>
                      </w:pPr>
                    </w:p>
                    <w:p w:rsidR="0034176D" w:rsidRPr="004C3C3B" w:rsidRDefault="00B7265E" w:rsidP="00F10A24">
                      <w:pPr>
                        <w:pStyle w:val="Title"/>
                        <w:rPr>
                          <w:color w:val="002060"/>
                          <w:sz w:val="40"/>
                          <w:szCs w:val="40"/>
                        </w:rPr>
                      </w:pPr>
                      <w:r>
                        <w:rPr>
                          <w:color w:val="002060"/>
                          <w:sz w:val="40"/>
                          <w:szCs w:val="40"/>
                        </w:rPr>
                        <w:t>February</w:t>
                      </w:r>
                      <w:r w:rsidR="00F41533">
                        <w:rPr>
                          <w:color w:val="002060"/>
                          <w:sz w:val="40"/>
                          <w:szCs w:val="40"/>
                        </w:rPr>
                        <w:t xml:space="preserve"> 2024</w:t>
                      </w:r>
                    </w:p>
                    <w:p w:rsidR="0034176D" w:rsidRPr="003C0335" w:rsidRDefault="0034176D" w:rsidP="003C0335">
                      <w:pPr>
                        <w:pStyle w:val="ListParagraph"/>
                        <w:spacing w:after="0" w:line="240" w:lineRule="auto"/>
                        <w:jc w:val="center"/>
                        <w:rPr>
                          <w:rFonts w:cs="Calibri"/>
                          <w:b/>
                          <w:color w:val="002060"/>
                        </w:rPr>
                      </w:pPr>
                    </w:p>
                  </w:txbxContent>
                </v:textbox>
                <w10:wrap anchorx="margin"/>
              </v:shape>
            </w:pict>
          </mc:Fallback>
        </mc:AlternateContent>
      </w:r>
      <w:r>
        <w:rPr>
          <w:b/>
          <w:noProof/>
          <w:color w:val="FF0000"/>
          <w:sz w:val="40"/>
          <w:szCs w:val="40"/>
          <w:lang w:eastAsia="en-GB"/>
        </w:rPr>
        <w:drawing>
          <wp:anchor distT="0" distB="0" distL="114300" distR="114300" simplePos="0" relativeHeight="251661312" behindDoc="0" locked="0" layoutInCell="1" allowOverlap="1" wp14:anchorId="15E902B2" wp14:editId="271922FC">
            <wp:simplePos x="0" y="0"/>
            <wp:positionH relativeFrom="margin">
              <wp:posOffset>1282065</wp:posOffset>
            </wp:positionH>
            <wp:positionV relativeFrom="paragraph">
              <wp:posOffset>393700</wp:posOffset>
            </wp:positionV>
            <wp:extent cx="3326765" cy="1714500"/>
            <wp:effectExtent l="0" t="0" r="6985" b="0"/>
            <wp:wrapSquare wrapText="bothSides"/>
            <wp:docPr id="1" name="Picture 1" descr="C:\Users\50661\AppData\Local\Microsoft\Windows\INetCache\Content.MSO\99CF07C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50661\AppData\Local\Microsoft\Windows\INetCache\Content.MSO\99CF07C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26765"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EE3C59">
        <w:br w:type="page"/>
      </w:r>
      <w:bookmarkStart w:id="0" w:name="_Toc147405687"/>
    </w:p>
    <w:p w:rsidR="00F10A24" w:rsidRPr="00AE63D4" w:rsidRDefault="00F10A24" w:rsidP="00F10A24">
      <w:pPr>
        <w:pStyle w:val="Heading1"/>
      </w:pPr>
      <w:r>
        <w:lastRenderedPageBreak/>
        <w:t>distribution list</w:t>
      </w:r>
      <w:bookmarkEnd w:id="0"/>
      <w:r w:rsidR="004C3C3B">
        <w:t xml:space="preserve"> and </w:t>
      </w:r>
      <w:r w:rsidR="005D443B">
        <w:t xml:space="preserve">IEO </w:t>
      </w:r>
      <w:r>
        <w:t xml:space="preserve">membership </w:t>
      </w:r>
    </w:p>
    <w:tbl>
      <w:tblPr>
        <w:tblStyle w:val="GridTable1Light"/>
        <w:tblW w:w="9209" w:type="dxa"/>
        <w:jc w:val="center"/>
        <w:tblLook w:val="04A0" w:firstRow="1" w:lastRow="0" w:firstColumn="1" w:lastColumn="0" w:noHBand="0" w:noVBand="1"/>
      </w:tblPr>
      <w:tblGrid>
        <w:gridCol w:w="1750"/>
        <w:gridCol w:w="1372"/>
        <w:gridCol w:w="6087"/>
      </w:tblGrid>
      <w:tr w:rsidR="005A00E9" w:rsidRPr="00C92113" w:rsidTr="005A00E9">
        <w:trPr>
          <w:cnfStyle w:val="100000000000" w:firstRow="1" w:lastRow="0" w:firstColumn="0" w:lastColumn="0" w:oddVBand="0" w:evenVBand="0" w:oddHBand="0" w:evenHBand="0" w:firstRowFirstColumn="0" w:firstRowLastColumn="0" w:lastRowFirstColumn="0" w:lastRowLastColumn="0"/>
          <w:trHeight w:val="268"/>
          <w:jc w:val="center"/>
        </w:trPr>
        <w:tc>
          <w:tcPr>
            <w:cnfStyle w:val="001000000000" w:firstRow="0" w:lastRow="0" w:firstColumn="1" w:lastColumn="0" w:oddVBand="0" w:evenVBand="0" w:oddHBand="0" w:evenHBand="0" w:firstRowFirstColumn="0" w:firstRowLastColumn="0" w:lastRowFirstColumn="0" w:lastRowLastColumn="0"/>
            <w:tcW w:w="1750" w:type="dxa"/>
            <w:shd w:val="clear" w:color="auto" w:fill="auto"/>
          </w:tcPr>
          <w:p w:rsidR="005A00E9" w:rsidRPr="004C3C3B" w:rsidRDefault="005A00E9" w:rsidP="00A52B5E">
            <w:pPr>
              <w:jc w:val="center"/>
              <w:rPr>
                <w:rFonts w:cstheme="minorHAnsi"/>
                <w:color w:val="002060"/>
                <w:sz w:val="24"/>
                <w:szCs w:val="24"/>
              </w:rPr>
            </w:pPr>
            <w:r w:rsidRPr="004C3C3B">
              <w:rPr>
                <w:rFonts w:cstheme="minorHAnsi"/>
                <w:color w:val="002060"/>
                <w:sz w:val="24"/>
                <w:szCs w:val="24"/>
              </w:rPr>
              <w:t>Agency</w:t>
            </w:r>
          </w:p>
        </w:tc>
        <w:tc>
          <w:tcPr>
            <w:tcW w:w="1372" w:type="dxa"/>
            <w:shd w:val="clear" w:color="auto" w:fill="auto"/>
          </w:tcPr>
          <w:p w:rsidR="005A00E9" w:rsidRDefault="005A00E9" w:rsidP="00A52B5E">
            <w:pPr>
              <w:jc w:val="center"/>
              <w:cnfStyle w:val="100000000000" w:firstRow="1" w:lastRow="0" w:firstColumn="0" w:lastColumn="0" w:oddVBand="0" w:evenVBand="0" w:oddHBand="0" w:evenHBand="0" w:firstRowFirstColumn="0" w:firstRowLastColumn="0" w:lastRowFirstColumn="0" w:lastRowLastColumn="0"/>
              <w:rPr>
                <w:color w:val="002060"/>
                <w:sz w:val="24"/>
                <w:szCs w:val="24"/>
              </w:rPr>
            </w:pPr>
            <w:r w:rsidRPr="004C3C3B">
              <w:rPr>
                <w:color w:val="002060"/>
                <w:sz w:val="24"/>
                <w:szCs w:val="24"/>
              </w:rPr>
              <w:t>Specified or Relevant Authority</w:t>
            </w:r>
            <w:r w:rsidRPr="004C3C3B">
              <w:rPr>
                <w:rStyle w:val="FootnoteReference"/>
                <w:color w:val="002060"/>
                <w:sz w:val="24"/>
                <w:szCs w:val="24"/>
              </w:rPr>
              <w:footnoteReference w:id="1"/>
            </w:r>
          </w:p>
          <w:p w:rsidR="005A00E9" w:rsidRPr="004C3C3B" w:rsidRDefault="005A00E9" w:rsidP="00A52B5E">
            <w:pPr>
              <w:jc w:val="center"/>
              <w:cnfStyle w:val="100000000000" w:firstRow="1" w:lastRow="0" w:firstColumn="0" w:lastColumn="0" w:oddVBand="0" w:evenVBand="0" w:oddHBand="0" w:evenHBand="0" w:firstRowFirstColumn="0" w:firstRowLastColumn="0" w:lastRowFirstColumn="0" w:lastRowLastColumn="0"/>
              <w:rPr>
                <w:color w:val="002060"/>
                <w:sz w:val="24"/>
                <w:szCs w:val="24"/>
              </w:rPr>
            </w:pPr>
          </w:p>
        </w:tc>
        <w:tc>
          <w:tcPr>
            <w:tcW w:w="6087" w:type="dxa"/>
            <w:shd w:val="clear" w:color="auto" w:fill="auto"/>
          </w:tcPr>
          <w:p w:rsidR="005A00E9" w:rsidRDefault="005A00E9" w:rsidP="00A52B5E">
            <w:pPr>
              <w:spacing w:line="259" w:lineRule="auto"/>
              <w:jc w:val="center"/>
              <w:cnfStyle w:val="100000000000" w:firstRow="1" w:lastRow="0" w:firstColumn="0" w:lastColumn="0" w:oddVBand="0" w:evenVBand="0" w:oddHBand="0" w:evenHBand="0" w:firstRowFirstColumn="0" w:firstRowLastColumn="0" w:lastRowFirstColumn="0" w:lastRowLastColumn="0"/>
              <w:rPr>
                <w:color w:val="002060"/>
                <w:sz w:val="24"/>
                <w:szCs w:val="24"/>
              </w:rPr>
            </w:pPr>
            <w:r w:rsidRPr="004C3C3B">
              <w:rPr>
                <w:color w:val="002060"/>
                <w:sz w:val="24"/>
                <w:szCs w:val="24"/>
              </w:rPr>
              <w:t>Name &amp; Role / Partner</w:t>
            </w:r>
          </w:p>
          <w:p w:rsidR="005A00E9" w:rsidRDefault="005A00E9" w:rsidP="00A52B5E">
            <w:pPr>
              <w:spacing w:line="259" w:lineRule="auto"/>
              <w:jc w:val="center"/>
              <w:cnfStyle w:val="100000000000" w:firstRow="1" w:lastRow="0" w:firstColumn="0" w:lastColumn="0" w:oddVBand="0" w:evenVBand="0" w:oddHBand="0" w:evenHBand="0" w:firstRowFirstColumn="0" w:firstRowLastColumn="0" w:lastRowFirstColumn="0" w:lastRowLastColumn="0"/>
              <w:rPr>
                <w:color w:val="002060"/>
                <w:sz w:val="24"/>
                <w:szCs w:val="24"/>
              </w:rPr>
            </w:pPr>
          </w:p>
          <w:p w:rsidR="005A00E9" w:rsidRPr="004C3C3B" w:rsidRDefault="005A00E9" w:rsidP="002E44A1">
            <w:pPr>
              <w:spacing w:line="259" w:lineRule="auto"/>
              <w:cnfStyle w:val="100000000000" w:firstRow="1" w:lastRow="0" w:firstColumn="0" w:lastColumn="0" w:oddVBand="0" w:evenVBand="0" w:oddHBand="0" w:evenHBand="0" w:firstRowFirstColumn="0" w:firstRowLastColumn="0" w:lastRowFirstColumn="0" w:lastRowLastColumn="0"/>
              <w:rPr>
                <w:color w:val="002060"/>
                <w:sz w:val="24"/>
                <w:szCs w:val="24"/>
              </w:rPr>
            </w:pPr>
          </w:p>
        </w:tc>
      </w:tr>
      <w:tr w:rsidR="005A00E9" w:rsidRPr="00C92113" w:rsidTr="005A00E9">
        <w:trPr>
          <w:trHeight w:val="268"/>
          <w:jc w:val="center"/>
        </w:trPr>
        <w:tc>
          <w:tcPr>
            <w:cnfStyle w:val="001000000000" w:firstRow="0" w:lastRow="0" w:firstColumn="1" w:lastColumn="0" w:oddVBand="0" w:evenVBand="0" w:oddHBand="0" w:evenHBand="0" w:firstRowFirstColumn="0" w:firstRowLastColumn="0" w:lastRowFirstColumn="0" w:lastRowLastColumn="0"/>
            <w:tcW w:w="1750" w:type="dxa"/>
          </w:tcPr>
          <w:p w:rsidR="005A00E9" w:rsidRPr="004C3C3B" w:rsidRDefault="005A00E9" w:rsidP="00A52B5E">
            <w:pPr>
              <w:rPr>
                <w:rFonts w:cstheme="minorHAnsi"/>
                <w:b w:val="0"/>
                <w:color w:val="002060"/>
                <w:sz w:val="24"/>
                <w:szCs w:val="24"/>
              </w:rPr>
            </w:pPr>
            <w:r w:rsidRPr="004C3C3B">
              <w:rPr>
                <w:rFonts w:cstheme="minorHAnsi"/>
                <w:b w:val="0"/>
                <w:color w:val="002060"/>
                <w:sz w:val="24"/>
                <w:szCs w:val="24"/>
              </w:rPr>
              <w:t>Violence</w:t>
            </w:r>
          </w:p>
          <w:p w:rsidR="005A00E9" w:rsidRPr="004C3C3B" w:rsidRDefault="005A00E9" w:rsidP="00A52B5E">
            <w:pPr>
              <w:rPr>
                <w:rFonts w:cstheme="minorHAnsi"/>
                <w:b w:val="0"/>
                <w:color w:val="002060"/>
                <w:sz w:val="24"/>
                <w:szCs w:val="24"/>
              </w:rPr>
            </w:pPr>
            <w:r w:rsidRPr="004C3C3B">
              <w:rPr>
                <w:rFonts w:cstheme="minorHAnsi"/>
                <w:b w:val="0"/>
                <w:color w:val="002060"/>
                <w:sz w:val="24"/>
                <w:szCs w:val="24"/>
              </w:rPr>
              <w:t>Reduction</w:t>
            </w:r>
          </w:p>
          <w:p w:rsidR="005A00E9" w:rsidRPr="004C3C3B" w:rsidRDefault="005A00E9" w:rsidP="00A52B5E">
            <w:pPr>
              <w:rPr>
                <w:rFonts w:cstheme="minorHAnsi"/>
                <w:b w:val="0"/>
                <w:color w:val="002060"/>
                <w:sz w:val="24"/>
                <w:szCs w:val="24"/>
              </w:rPr>
            </w:pPr>
            <w:r w:rsidRPr="004C3C3B">
              <w:rPr>
                <w:rFonts w:cstheme="minorHAnsi"/>
                <w:b w:val="0"/>
                <w:color w:val="002060"/>
                <w:sz w:val="24"/>
                <w:szCs w:val="24"/>
              </w:rPr>
              <w:t>Unit (VRU)</w:t>
            </w:r>
          </w:p>
          <w:p w:rsidR="005A00E9" w:rsidRPr="004C3C3B" w:rsidRDefault="005A00E9" w:rsidP="00A52B5E">
            <w:pPr>
              <w:rPr>
                <w:rFonts w:cstheme="minorHAnsi"/>
                <w:b w:val="0"/>
                <w:color w:val="002060"/>
                <w:sz w:val="24"/>
                <w:szCs w:val="24"/>
              </w:rPr>
            </w:pPr>
          </w:p>
        </w:tc>
        <w:tc>
          <w:tcPr>
            <w:tcW w:w="1372" w:type="dxa"/>
          </w:tcPr>
          <w:p w:rsidR="005A00E9" w:rsidRPr="004C3C3B" w:rsidRDefault="005A00E9" w:rsidP="00A52B5E">
            <w:pPr>
              <w:cnfStyle w:val="000000000000" w:firstRow="0" w:lastRow="0" w:firstColumn="0" w:lastColumn="0" w:oddVBand="0" w:evenVBand="0" w:oddHBand="0" w:evenHBand="0" w:firstRowFirstColumn="0" w:firstRowLastColumn="0" w:lastRowFirstColumn="0" w:lastRowLastColumn="0"/>
              <w:rPr>
                <w:rFonts w:cstheme="minorHAnsi"/>
                <w:color w:val="002060"/>
                <w:sz w:val="24"/>
                <w:szCs w:val="24"/>
              </w:rPr>
            </w:pPr>
            <w:r w:rsidRPr="004C3C3B">
              <w:rPr>
                <w:rFonts w:cstheme="minorHAnsi"/>
                <w:color w:val="002060"/>
                <w:sz w:val="24"/>
                <w:szCs w:val="24"/>
              </w:rPr>
              <w:t>N/A</w:t>
            </w:r>
          </w:p>
        </w:tc>
        <w:tc>
          <w:tcPr>
            <w:tcW w:w="6087" w:type="dxa"/>
          </w:tcPr>
          <w:p w:rsidR="005A00E9" w:rsidRPr="00B83F31" w:rsidRDefault="005A00E9" w:rsidP="00A52B5E">
            <w:pPr>
              <w:cnfStyle w:val="000000000000" w:firstRow="0" w:lastRow="0" w:firstColumn="0" w:lastColumn="0" w:oddVBand="0" w:evenVBand="0" w:oddHBand="0" w:evenHBand="0" w:firstRowFirstColumn="0" w:firstRowLastColumn="0" w:lastRowFirstColumn="0" w:lastRowLastColumn="0"/>
              <w:rPr>
                <w:rFonts w:cstheme="minorHAnsi"/>
                <w:color w:val="002060"/>
                <w:sz w:val="24"/>
                <w:szCs w:val="24"/>
              </w:rPr>
            </w:pPr>
            <w:r w:rsidRPr="00B83F31">
              <w:rPr>
                <w:rFonts w:cstheme="minorHAnsi"/>
                <w:color w:val="002060"/>
                <w:sz w:val="24"/>
                <w:szCs w:val="24"/>
              </w:rPr>
              <w:t>VRU Director and Chair</w:t>
            </w:r>
          </w:p>
          <w:p w:rsidR="005A00E9" w:rsidRPr="00B83F31" w:rsidRDefault="005A00E9" w:rsidP="00A52B5E">
            <w:pPr>
              <w:cnfStyle w:val="000000000000" w:firstRow="0" w:lastRow="0" w:firstColumn="0" w:lastColumn="0" w:oddVBand="0" w:evenVBand="0" w:oddHBand="0" w:evenHBand="0" w:firstRowFirstColumn="0" w:firstRowLastColumn="0" w:lastRowFirstColumn="0" w:lastRowLastColumn="0"/>
              <w:rPr>
                <w:rFonts w:cstheme="minorHAnsi"/>
                <w:color w:val="002060"/>
                <w:sz w:val="24"/>
                <w:szCs w:val="24"/>
              </w:rPr>
            </w:pPr>
            <w:r w:rsidRPr="00B83F31">
              <w:rPr>
                <w:rFonts w:cstheme="minorHAnsi"/>
                <w:color w:val="002060"/>
                <w:sz w:val="24"/>
                <w:szCs w:val="24"/>
              </w:rPr>
              <w:t>VRU Manager - Vice Chair</w:t>
            </w:r>
          </w:p>
          <w:p w:rsidR="005A00E9" w:rsidRPr="00B83F31" w:rsidRDefault="005A00E9" w:rsidP="00A52B5E">
            <w:pPr>
              <w:cnfStyle w:val="000000000000" w:firstRow="0" w:lastRow="0" w:firstColumn="0" w:lastColumn="0" w:oddVBand="0" w:evenVBand="0" w:oddHBand="0" w:evenHBand="0" w:firstRowFirstColumn="0" w:firstRowLastColumn="0" w:lastRowFirstColumn="0" w:lastRowLastColumn="0"/>
              <w:rPr>
                <w:rFonts w:cstheme="minorHAnsi"/>
                <w:color w:val="002060"/>
                <w:sz w:val="24"/>
                <w:szCs w:val="24"/>
              </w:rPr>
            </w:pPr>
            <w:r w:rsidRPr="00B83F31">
              <w:rPr>
                <w:rFonts w:cstheme="minorHAnsi"/>
                <w:color w:val="002060"/>
                <w:sz w:val="24"/>
                <w:szCs w:val="24"/>
              </w:rPr>
              <w:t xml:space="preserve">VRU Programmes and Projects Officer </w:t>
            </w:r>
          </w:p>
          <w:p w:rsidR="005A00E9" w:rsidRPr="004C3C3B" w:rsidRDefault="005A00E9" w:rsidP="00A52B5E">
            <w:pPr>
              <w:cnfStyle w:val="000000000000" w:firstRow="0" w:lastRow="0" w:firstColumn="0" w:lastColumn="0" w:oddVBand="0" w:evenVBand="0" w:oddHBand="0" w:evenHBand="0" w:firstRowFirstColumn="0" w:firstRowLastColumn="0" w:lastRowFirstColumn="0" w:lastRowLastColumn="0"/>
              <w:rPr>
                <w:rFonts w:cstheme="minorHAnsi"/>
                <w:color w:val="002060"/>
                <w:sz w:val="24"/>
                <w:szCs w:val="24"/>
              </w:rPr>
            </w:pPr>
          </w:p>
        </w:tc>
      </w:tr>
      <w:tr w:rsidR="005A00E9" w:rsidRPr="00C92113" w:rsidTr="005A00E9">
        <w:trPr>
          <w:trHeight w:val="268"/>
          <w:jc w:val="center"/>
        </w:trPr>
        <w:tc>
          <w:tcPr>
            <w:cnfStyle w:val="001000000000" w:firstRow="0" w:lastRow="0" w:firstColumn="1" w:lastColumn="0" w:oddVBand="0" w:evenVBand="0" w:oddHBand="0" w:evenHBand="0" w:firstRowFirstColumn="0" w:firstRowLastColumn="0" w:lastRowFirstColumn="0" w:lastRowLastColumn="0"/>
            <w:tcW w:w="1750" w:type="dxa"/>
          </w:tcPr>
          <w:p w:rsidR="005A00E9" w:rsidRPr="004C3C3B" w:rsidRDefault="005A00E9" w:rsidP="00A45AE1">
            <w:pPr>
              <w:rPr>
                <w:rFonts w:cs="Arial"/>
                <w:b w:val="0"/>
                <w:color w:val="002060"/>
                <w:sz w:val="24"/>
                <w:szCs w:val="24"/>
              </w:rPr>
            </w:pPr>
            <w:r w:rsidRPr="004C3C3B">
              <w:rPr>
                <w:rFonts w:cs="Arial"/>
                <w:b w:val="0"/>
                <w:color w:val="002060"/>
                <w:sz w:val="24"/>
                <w:szCs w:val="24"/>
              </w:rPr>
              <w:t>Police</w:t>
            </w:r>
          </w:p>
        </w:tc>
        <w:tc>
          <w:tcPr>
            <w:tcW w:w="1372" w:type="dxa"/>
          </w:tcPr>
          <w:p w:rsidR="005A00E9" w:rsidRPr="004C3C3B" w:rsidRDefault="005A00E9" w:rsidP="00A45AE1">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r w:rsidRPr="004C3C3B">
              <w:rPr>
                <w:rFonts w:eastAsia="Times New Roman" w:cs="Arial"/>
                <w:color w:val="002060"/>
                <w:sz w:val="24"/>
                <w:szCs w:val="24"/>
                <w:lang w:eastAsia="en-GB"/>
              </w:rPr>
              <w:t xml:space="preserve">Specified Authority </w:t>
            </w:r>
          </w:p>
        </w:tc>
        <w:tc>
          <w:tcPr>
            <w:tcW w:w="6087" w:type="dxa"/>
          </w:tcPr>
          <w:p w:rsidR="005A00E9" w:rsidRPr="00B83F31" w:rsidRDefault="00B83F31" w:rsidP="00A45AE1">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r w:rsidRPr="00B83F31">
              <w:rPr>
                <w:rFonts w:eastAsia="Times New Roman" w:cs="Arial"/>
                <w:color w:val="002060"/>
                <w:sz w:val="24"/>
                <w:szCs w:val="24"/>
                <w:lang w:eastAsia="en-GB"/>
              </w:rPr>
              <w:t>Representation</w:t>
            </w:r>
            <w:r w:rsidR="005A00E9" w:rsidRPr="00B83F31">
              <w:rPr>
                <w:rFonts w:eastAsia="Times New Roman" w:cs="Arial"/>
                <w:color w:val="002060"/>
                <w:sz w:val="24"/>
                <w:szCs w:val="24"/>
                <w:lang w:eastAsia="en-GB"/>
              </w:rPr>
              <w:t xml:space="preserve"> from Violent Crime Taskforce (VCT) </w:t>
            </w:r>
          </w:p>
          <w:p w:rsidR="00B83F31" w:rsidRDefault="00B83F31" w:rsidP="00A45AE1">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r w:rsidRPr="00B83F31">
              <w:rPr>
                <w:rFonts w:eastAsia="Times New Roman" w:cs="Arial"/>
                <w:color w:val="002060"/>
                <w:sz w:val="24"/>
                <w:szCs w:val="24"/>
                <w:lang w:eastAsia="en-GB"/>
              </w:rPr>
              <w:t xml:space="preserve">Representation from Crime Prevention </w:t>
            </w:r>
          </w:p>
          <w:p w:rsidR="002D68DC" w:rsidRPr="00B83F31" w:rsidRDefault="002D68DC" w:rsidP="00A45AE1">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r>
              <w:rPr>
                <w:rFonts w:eastAsia="Times New Roman" w:cs="Arial"/>
                <w:color w:val="002060"/>
                <w:sz w:val="24"/>
                <w:szCs w:val="24"/>
                <w:lang w:eastAsia="en-GB"/>
              </w:rPr>
              <w:t xml:space="preserve">Chief Inspector </w:t>
            </w:r>
          </w:p>
          <w:p w:rsidR="005A00E9" w:rsidRPr="004C3C3B" w:rsidRDefault="005A00E9" w:rsidP="00A45AE1">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p>
        </w:tc>
      </w:tr>
      <w:tr w:rsidR="005A00E9" w:rsidRPr="00C92113" w:rsidTr="005A00E9">
        <w:trPr>
          <w:trHeight w:val="268"/>
          <w:jc w:val="center"/>
        </w:trPr>
        <w:tc>
          <w:tcPr>
            <w:cnfStyle w:val="001000000000" w:firstRow="0" w:lastRow="0" w:firstColumn="1" w:lastColumn="0" w:oddVBand="0" w:evenVBand="0" w:oddHBand="0" w:evenHBand="0" w:firstRowFirstColumn="0" w:firstRowLastColumn="0" w:lastRowFirstColumn="0" w:lastRowLastColumn="0"/>
            <w:tcW w:w="1750" w:type="dxa"/>
          </w:tcPr>
          <w:p w:rsidR="005A00E9" w:rsidRPr="004C3C3B" w:rsidRDefault="005A00E9" w:rsidP="00A45AE1">
            <w:pPr>
              <w:rPr>
                <w:rFonts w:cs="Arial"/>
                <w:b w:val="0"/>
                <w:color w:val="002060"/>
                <w:sz w:val="24"/>
                <w:szCs w:val="24"/>
              </w:rPr>
            </w:pPr>
            <w:r w:rsidRPr="004C3C3B">
              <w:rPr>
                <w:rFonts w:cs="Arial"/>
                <w:b w:val="0"/>
                <w:color w:val="002060"/>
                <w:sz w:val="24"/>
                <w:szCs w:val="24"/>
              </w:rPr>
              <w:t xml:space="preserve">Hampshire </w:t>
            </w:r>
            <w:r>
              <w:rPr>
                <w:rFonts w:cs="Arial"/>
                <w:b w:val="0"/>
                <w:color w:val="002060"/>
                <w:sz w:val="24"/>
                <w:szCs w:val="24"/>
              </w:rPr>
              <w:t>and Isle of Wight Fire &amp; Rescue Service (HIWFRS</w:t>
            </w:r>
            <w:r w:rsidRPr="004C3C3B">
              <w:rPr>
                <w:rFonts w:cs="Arial"/>
                <w:b w:val="0"/>
                <w:color w:val="002060"/>
                <w:sz w:val="24"/>
                <w:szCs w:val="24"/>
              </w:rPr>
              <w:t>)</w:t>
            </w:r>
          </w:p>
          <w:p w:rsidR="005A00E9" w:rsidRPr="004C3C3B" w:rsidRDefault="005A00E9" w:rsidP="00A45AE1">
            <w:pPr>
              <w:rPr>
                <w:rFonts w:cs="Arial"/>
                <w:b w:val="0"/>
                <w:color w:val="002060"/>
                <w:sz w:val="24"/>
                <w:szCs w:val="24"/>
              </w:rPr>
            </w:pPr>
          </w:p>
        </w:tc>
        <w:tc>
          <w:tcPr>
            <w:tcW w:w="1372" w:type="dxa"/>
          </w:tcPr>
          <w:p w:rsidR="005A00E9" w:rsidRPr="004C3C3B" w:rsidRDefault="005A00E9" w:rsidP="00A45AE1">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r w:rsidRPr="004C3C3B">
              <w:rPr>
                <w:rFonts w:eastAsia="Times New Roman" w:cs="Arial"/>
                <w:color w:val="002060"/>
                <w:sz w:val="24"/>
                <w:szCs w:val="24"/>
                <w:lang w:eastAsia="en-GB"/>
              </w:rPr>
              <w:t>Specified Authority</w:t>
            </w:r>
          </w:p>
        </w:tc>
        <w:tc>
          <w:tcPr>
            <w:tcW w:w="6087" w:type="dxa"/>
          </w:tcPr>
          <w:p w:rsidR="00350467" w:rsidRPr="00B83F31" w:rsidRDefault="00B83F31" w:rsidP="00A45AE1">
            <w:pPr>
              <w:textAlignment w:val="baseline"/>
              <w:cnfStyle w:val="000000000000" w:firstRow="0" w:lastRow="0" w:firstColumn="0" w:lastColumn="0" w:oddVBand="0" w:evenVBand="0" w:oddHBand="0" w:evenHBand="0" w:firstRowFirstColumn="0" w:firstRowLastColumn="0" w:lastRowFirstColumn="0" w:lastRowLastColumn="0"/>
              <w:rPr>
                <w:color w:val="002060"/>
                <w:sz w:val="16"/>
                <w:szCs w:val="16"/>
                <w:lang w:eastAsia="en-GB"/>
              </w:rPr>
            </w:pPr>
            <w:r w:rsidRPr="00B83F31">
              <w:rPr>
                <w:rFonts w:cs="Arial"/>
                <w:color w:val="002060"/>
                <w:sz w:val="24"/>
                <w:szCs w:val="24"/>
              </w:rPr>
              <w:t xml:space="preserve">Representations from Princes Trust </w:t>
            </w:r>
          </w:p>
          <w:p w:rsidR="00350467" w:rsidRPr="00350467" w:rsidRDefault="00350467" w:rsidP="00A45AE1">
            <w:pPr>
              <w:textAlignment w:val="baseline"/>
              <w:cnfStyle w:val="000000000000" w:firstRow="0" w:lastRow="0" w:firstColumn="0" w:lastColumn="0" w:oddVBand="0" w:evenVBand="0" w:oddHBand="0" w:evenHBand="0" w:firstRowFirstColumn="0" w:firstRowLastColumn="0" w:lastRowFirstColumn="0" w:lastRowLastColumn="0"/>
              <w:rPr>
                <w:color w:val="00B050"/>
                <w:sz w:val="24"/>
                <w:szCs w:val="24"/>
                <w:lang w:eastAsia="en-GB"/>
              </w:rPr>
            </w:pPr>
            <w:r w:rsidRPr="00B83F31">
              <w:rPr>
                <w:color w:val="002060"/>
                <w:sz w:val="24"/>
                <w:szCs w:val="24"/>
                <w:lang w:eastAsia="en-GB"/>
              </w:rPr>
              <w:t xml:space="preserve">Representation from HIWFRS </w:t>
            </w:r>
          </w:p>
        </w:tc>
      </w:tr>
      <w:tr w:rsidR="005A00E9" w:rsidRPr="00C92113" w:rsidTr="005A00E9">
        <w:trPr>
          <w:trHeight w:val="268"/>
          <w:jc w:val="center"/>
        </w:trPr>
        <w:tc>
          <w:tcPr>
            <w:cnfStyle w:val="001000000000" w:firstRow="0" w:lastRow="0" w:firstColumn="1" w:lastColumn="0" w:oddVBand="0" w:evenVBand="0" w:oddHBand="0" w:evenHBand="0" w:firstRowFirstColumn="0" w:firstRowLastColumn="0" w:lastRowFirstColumn="0" w:lastRowLastColumn="0"/>
            <w:tcW w:w="1750" w:type="dxa"/>
          </w:tcPr>
          <w:p w:rsidR="005A00E9" w:rsidRPr="004C3C3B" w:rsidRDefault="005A00E9" w:rsidP="00A45AE1">
            <w:pPr>
              <w:rPr>
                <w:rFonts w:cs="Arial"/>
                <w:b w:val="0"/>
                <w:color w:val="002060"/>
                <w:sz w:val="24"/>
                <w:szCs w:val="24"/>
              </w:rPr>
            </w:pPr>
            <w:r w:rsidRPr="004C3C3B">
              <w:rPr>
                <w:rFonts w:cs="Arial"/>
                <w:b w:val="0"/>
                <w:color w:val="002060"/>
                <w:sz w:val="24"/>
                <w:szCs w:val="24"/>
              </w:rPr>
              <w:t>Youth Justice Service (YJS)</w:t>
            </w:r>
          </w:p>
        </w:tc>
        <w:tc>
          <w:tcPr>
            <w:tcW w:w="1372" w:type="dxa"/>
          </w:tcPr>
          <w:p w:rsidR="005A00E9" w:rsidRPr="004C3C3B" w:rsidRDefault="005A00E9" w:rsidP="00A45AE1">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r w:rsidRPr="004C3C3B">
              <w:rPr>
                <w:rFonts w:eastAsia="Times New Roman" w:cs="Arial"/>
                <w:color w:val="002060"/>
                <w:sz w:val="24"/>
                <w:szCs w:val="24"/>
                <w:lang w:eastAsia="en-GB"/>
              </w:rPr>
              <w:t>Specified Authority</w:t>
            </w:r>
          </w:p>
        </w:tc>
        <w:tc>
          <w:tcPr>
            <w:tcW w:w="6087" w:type="dxa"/>
          </w:tcPr>
          <w:p w:rsidR="005A00E9" w:rsidRPr="00B83F31" w:rsidRDefault="00B83F31" w:rsidP="00A45AE1">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r w:rsidRPr="00B83F31">
              <w:rPr>
                <w:rFonts w:eastAsia="Times New Roman" w:cs="Arial"/>
                <w:color w:val="002060"/>
                <w:sz w:val="24"/>
                <w:szCs w:val="24"/>
                <w:lang w:eastAsia="en-GB"/>
              </w:rPr>
              <w:t>Representation</w:t>
            </w:r>
            <w:r w:rsidR="005A00E9" w:rsidRPr="00B83F31">
              <w:rPr>
                <w:rFonts w:eastAsia="Times New Roman" w:cs="Arial"/>
                <w:color w:val="002060"/>
                <w:sz w:val="24"/>
                <w:szCs w:val="24"/>
                <w:lang w:eastAsia="en-GB"/>
              </w:rPr>
              <w:t xml:space="preserve"> from Hampshire YJS</w:t>
            </w:r>
          </w:p>
          <w:p w:rsidR="005A00E9" w:rsidRPr="00B83F31" w:rsidRDefault="00B83F31" w:rsidP="00727576">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r w:rsidRPr="00B83F31">
              <w:rPr>
                <w:rFonts w:eastAsia="Times New Roman" w:cs="Arial"/>
                <w:color w:val="002060"/>
                <w:sz w:val="24"/>
                <w:szCs w:val="24"/>
                <w:lang w:eastAsia="en-GB"/>
              </w:rPr>
              <w:t>Representation</w:t>
            </w:r>
            <w:r w:rsidR="005A00E9" w:rsidRPr="00B83F31">
              <w:rPr>
                <w:rFonts w:eastAsia="Times New Roman" w:cs="Arial"/>
                <w:color w:val="002060"/>
                <w:sz w:val="24"/>
                <w:szCs w:val="24"/>
                <w:lang w:eastAsia="en-GB"/>
              </w:rPr>
              <w:t xml:space="preserve"> from Isle of Wight YJS</w:t>
            </w:r>
          </w:p>
          <w:p w:rsidR="005A00E9" w:rsidRPr="00B83F31" w:rsidRDefault="00B83F31" w:rsidP="00A45AE1">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r w:rsidRPr="00B83F31">
              <w:rPr>
                <w:rFonts w:eastAsia="Times New Roman" w:cs="Arial"/>
                <w:color w:val="002060"/>
                <w:sz w:val="24"/>
                <w:szCs w:val="24"/>
                <w:lang w:eastAsia="en-GB"/>
              </w:rPr>
              <w:t>Representation</w:t>
            </w:r>
            <w:r w:rsidR="005A00E9" w:rsidRPr="00B83F31">
              <w:rPr>
                <w:rFonts w:eastAsia="Times New Roman" w:cs="Arial"/>
                <w:color w:val="002060"/>
                <w:sz w:val="24"/>
                <w:szCs w:val="24"/>
                <w:lang w:eastAsia="en-GB"/>
              </w:rPr>
              <w:t xml:space="preserve"> from Portsmouth YJS</w:t>
            </w:r>
          </w:p>
          <w:p w:rsidR="005A00E9" w:rsidRPr="00B83F31" w:rsidRDefault="00B83F31" w:rsidP="00727576">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r w:rsidRPr="00B83F31">
              <w:rPr>
                <w:rFonts w:eastAsia="Times New Roman" w:cs="Arial"/>
                <w:color w:val="002060"/>
                <w:sz w:val="24"/>
                <w:szCs w:val="24"/>
                <w:lang w:eastAsia="en-GB"/>
              </w:rPr>
              <w:t>Representation</w:t>
            </w:r>
            <w:r w:rsidR="005A00E9" w:rsidRPr="00B83F31">
              <w:rPr>
                <w:rFonts w:eastAsia="Times New Roman" w:cs="Arial"/>
                <w:color w:val="002060"/>
                <w:sz w:val="24"/>
                <w:szCs w:val="24"/>
                <w:lang w:eastAsia="en-GB"/>
              </w:rPr>
              <w:t xml:space="preserve"> from Southampton YJS</w:t>
            </w:r>
          </w:p>
          <w:p w:rsidR="005A00E9" w:rsidRPr="004C3C3B" w:rsidRDefault="005A00E9" w:rsidP="00727576">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p>
        </w:tc>
      </w:tr>
      <w:tr w:rsidR="005A00E9" w:rsidRPr="00C92113" w:rsidTr="005A00E9">
        <w:trPr>
          <w:trHeight w:val="268"/>
          <w:jc w:val="center"/>
        </w:trPr>
        <w:tc>
          <w:tcPr>
            <w:cnfStyle w:val="001000000000" w:firstRow="0" w:lastRow="0" w:firstColumn="1" w:lastColumn="0" w:oddVBand="0" w:evenVBand="0" w:oddHBand="0" w:evenHBand="0" w:firstRowFirstColumn="0" w:firstRowLastColumn="0" w:lastRowFirstColumn="0" w:lastRowLastColumn="0"/>
            <w:tcW w:w="1750" w:type="dxa"/>
          </w:tcPr>
          <w:p w:rsidR="005A00E9" w:rsidRPr="004C3C3B" w:rsidRDefault="005A00E9" w:rsidP="00A45AE1">
            <w:pPr>
              <w:rPr>
                <w:rFonts w:cs="Arial"/>
                <w:b w:val="0"/>
                <w:color w:val="002060"/>
                <w:sz w:val="24"/>
                <w:szCs w:val="24"/>
              </w:rPr>
            </w:pPr>
            <w:r w:rsidRPr="004C3C3B">
              <w:rPr>
                <w:rFonts w:cs="Arial"/>
                <w:b w:val="0"/>
                <w:color w:val="002060"/>
                <w:sz w:val="24"/>
                <w:szCs w:val="24"/>
              </w:rPr>
              <w:t>Health – Integrated Care Boards</w:t>
            </w:r>
          </w:p>
          <w:p w:rsidR="005A00E9" w:rsidRPr="004C3C3B" w:rsidRDefault="005A00E9" w:rsidP="00A45AE1">
            <w:pPr>
              <w:rPr>
                <w:rFonts w:cs="Arial"/>
                <w:b w:val="0"/>
                <w:color w:val="002060"/>
                <w:sz w:val="24"/>
                <w:szCs w:val="24"/>
              </w:rPr>
            </w:pPr>
          </w:p>
        </w:tc>
        <w:tc>
          <w:tcPr>
            <w:tcW w:w="1372" w:type="dxa"/>
          </w:tcPr>
          <w:p w:rsidR="005A00E9" w:rsidRPr="004C3C3B" w:rsidRDefault="005A00E9" w:rsidP="00A45AE1">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r w:rsidRPr="004C3C3B">
              <w:rPr>
                <w:rFonts w:eastAsia="Times New Roman" w:cs="Arial"/>
                <w:color w:val="002060"/>
                <w:sz w:val="24"/>
                <w:szCs w:val="24"/>
                <w:lang w:eastAsia="en-GB"/>
              </w:rPr>
              <w:t>Specified Authority</w:t>
            </w:r>
          </w:p>
        </w:tc>
        <w:tc>
          <w:tcPr>
            <w:tcW w:w="6087" w:type="dxa"/>
          </w:tcPr>
          <w:p w:rsidR="005A00E9" w:rsidRPr="00B83F31" w:rsidRDefault="005A00E9" w:rsidP="00A45AE1">
            <w:pPr>
              <w:cnfStyle w:val="000000000000" w:firstRow="0" w:lastRow="0" w:firstColumn="0" w:lastColumn="0" w:oddVBand="0" w:evenVBand="0" w:oddHBand="0" w:evenHBand="0" w:firstRowFirstColumn="0" w:firstRowLastColumn="0" w:lastRowFirstColumn="0" w:lastRowLastColumn="0"/>
              <w:rPr>
                <w:rFonts w:cs="Arial"/>
                <w:color w:val="002060"/>
                <w:sz w:val="24"/>
                <w:szCs w:val="24"/>
              </w:rPr>
            </w:pPr>
            <w:r w:rsidRPr="00B83F31">
              <w:rPr>
                <w:rFonts w:cs="Arial"/>
                <w:color w:val="002060"/>
                <w:sz w:val="24"/>
                <w:szCs w:val="24"/>
              </w:rPr>
              <w:t>Senior Programme Manager, Mental Health Crisis Care</w:t>
            </w:r>
          </w:p>
          <w:p w:rsidR="00AB058B" w:rsidRPr="00B83F31" w:rsidRDefault="00AB058B" w:rsidP="00727576">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r w:rsidRPr="00B83F31">
              <w:rPr>
                <w:color w:val="002060"/>
                <w:sz w:val="24"/>
                <w:szCs w:val="24"/>
                <w:lang w:eastAsia="en-GB"/>
              </w:rPr>
              <w:t xml:space="preserve">Representation from Public Health </w:t>
            </w:r>
          </w:p>
          <w:p w:rsidR="005A00E9" w:rsidRPr="00551C27" w:rsidRDefault="005A00E9" w:rsidP="00A45AE1">
            <w:pPr>
              <w:cnfStyle w:val="000000000000" w:firstRow="0" w:lastRow="0" w:firstColumn="0" w:lastColumn="0" w:oddVBand="0" w:evenVBand="0" w:oddHBand="0" w:evenHBand="0" w:firstRowFirstColumn="0" w:firstRowLastColumn="0" w:lastRowFirstColumn="0" w:lastRowLastColumn="0"/>
              <w:rPr>
                <w:rFonts w:cs="Arial"/>
                <w:b/>
                <w:color w:val="002060"/>
                <w:sz w:val="24"/>
                <w:szCs w:val="24"/>
              </w:rPr>
            </w:pPr>
          </w:p>
        </w:tc>
      </w:tr>
      <w:tr w:rsidR="005A00E9" w:rsidRPr="00C92113" w:rsidTr="005A00E9">
        <w:trPr>
          <w:trHeight w:val="268"/>
          <w:jc w:val="center"/>
        </w:trPr>
        <w:tc>
          <w:tcPr>
            <w:cnfStyle w:val="001000000000" w:firstRow="0" w:lastRow="0" w:firstColumn="1" w:lastColumn="0" w:oddVBand="0" w:evenVBand="0" w:oddHBand="0" w:evenHBand="0" w:firstRowFirstColumn="0" w:firstRowLastColumn="0" w:lastRowFirstColumn="0" w:lastRowLastColumn="0"/>
            <w:tcW w:w="1750" w:type="dxa"/>
          </w:tcPr>
          <w:p w:rsidR="005A00E9" w:rsidRPr="004C3C3B" w:rsidRDefault="005A00E9" w:rsidP="00A45AE1">
            <w:pPr>
              <w:rPr>
                <w:rFonts w:cs="Arial"/>
                <w:b w:val="0"/>
                <w:color w:val="002060"/>
                <w:sz w:val="24"/>
                <w:szCs w:val="24"/>
              </w:rPr>
            </w:pPr>
            <w:r w:rsidRPr="004C3C3B">
              <w:rPr>
                <w:rFonts w:cs="Arial"/>
                <w:b w:val="0"/>
                <w:color w:val="002060"/>
                <w:sz w:val="24"/>
                <w:szCs w:val="24"/>
              </w:rPr>
              <w:t xml:space="preserve">Local Authorities </w:t>
            </w:r>
          </w:p>
          <w:p w:rsidR="005A00E9" w:rsidRPr="004C3C3B" w:rsidRDefault="005A00E9" w:rsidP="00A45AE1">
            <w:pPr>
              <w:rPr>
                <w:rFonts w:cs="Arial"/>
                <w:b w:val="0"/>
                <w:color w:val="002060"/>
                <w:sz w:val="24"/>
                <w:szCs w:val="24"/>
              </w:rPr>
            </w:pPr>
          </w:p>
        </w:tc>
        <w:tc>
          <w:tcPr>
            <w:tcW w:w="1372" w:type="dxa"/>
          </w:tcPr>
          <w:p w:rsidR="005A00E9" w:rsidRPr="004C3C3B" w:rsidRDefault="005A00E9" w:rsidP="00A45AE1">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r w:rsidRPr="004C3C3B">
              <w:rPr>
                <w:rFonts w:eastAsia="Times New Roman" w:cs="Arial"/>
                <w:color w:val="002060"/>
                <w:sz w:val="24"/>
                <w:szCs w:val="24"/>
                <w:lang w:eastAsia="en-GB"/>
              </w:rPr>
              <w:t>Specified Authority</w:t>
            </w:r>
          </w:p>
        </w:tc>
        <w:tc>
          <w:tcPr>
            <w:tcW w:w="6087" w:type="dxa"/>
          </w:tcPr>
          <w:p w:rsidR="005A00E9" w:rsidRPr="00B83F31" w:rsidRDefault="00B83F31" w:rsidP="00A45AE1">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r w:rsidRPr="00B83F31">
              <w:rPr>
                <w:rFonts w:eastAsia="Times New Roman" w:cs="Arial"/>
                <w:color w:val="002060"/>
                <w:sz w:val="24"/>
                <w:szCs w:val="24"/>
                <w:lang w:eastAsia="en-GB"/>
              </w:rPr>
              <w:t>Representation</w:t>
            </w:r>
            <w:r w:rsidR="005A00E9" w:rsidRPr="00B83F31">
              <w:rPr>
                <w:rFonts w:eastAsia="Times New Roman" w:cs="Arial"/>
                <w:color w:val="002060"/>
                <w:sz w:val="24"/>
                <w:szCs w:val="24"/>
                <w:lang w:eastAsia="en-GB"/>
              </w:rPr>
              <w:t xml:space="preserve"> from Willow Team, Hampshire County Council</w:t>
            </w:r>
          </w:p>
          <w:p w:rsidR="005A00E9" w:rsidRPr="00B83F31" w:rsidRDefault="00B83F31" w:rsidP="00A45AE1">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r w:rsidRPr="00B83F31">
              <w:rPr>
                <w:rFonts w:eastAsia="Times New Roman" w:cs="Arial"/>
                <w:color w:val="002060"/>
                <w:sz w:val="24"/>
                <w:szCs w:val="24"/>
                <w:lang w:eastAsia="en-GB"/>
              </w:rPr>
              <w:t>Representation</w:t>
            </w:r>
            <w:r w:rsidR="005A00E9" w:rsidRPr="00B83F31">
              <w:rPr>
                <w:rFonts w:eastAsia="Times New Roman" w:cs="Arial"/>
                <w:color w:val="002060"/>
                <w:sz w:val="24"/>
                <w:szCs w:val="24"/>
                <w:lang w:eastAsia="en-GB"/>
              </w:rPr>
              <w:t xml:space="preserve"> from Edge of Care Children and Families Services, Portsmouth City Council</w:t>
            </w:r>
          </w:p>
          <w:p w:rsidR="00AB058B" w:rsidRPr="00B83F31" w:rsidRDefault="00436B66" w:rsidP="00A45AE1">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r w:rsidRPr="00B83F31">
              <w:rPr>
                <w:rFonts w:eastAsia="Times New Roman" w:cs="Arial"/>
                <w:color w:val="002060"/>
                <w:sz w:val="24"/>
                <w:szCs w:val="24"/>
                <w:lang w:eastAsia="en-GB"/>
              </w:rPr>
              <w:t xml:space="preserve">Representations </w:t>
            </w:r>
            <w:r w:rsidR="005A00E9" w:rsidRPr="00B83F31">
              <w:rPr>
                <w:rFonts w:eastAsia="Times New Roman" w:cs="Arial"/>
                <w:color w:val="002060"/>
                <w:sz w:val="24"/>
                <w:szCs w:val="24"/>
                <w:lang w:eastAsia="en-GB"/>
              </w:rPr>
              <w:t>from Hampshire and Isle of Wight Sa</w:t>
            </w:r>
            <w:r w:rsidR="00AB058B" w:rsidRPr="00B83F31">
              <w:rPr>
                <w:rFonts w:eastAsia="Times New Roman" w:cs="Arial"/>
                <w:color w:val="002060"/>
                <w:sz w:val="24"/>
                <w:szCs w:val="24"/>
                <w:lang w:eastAsia="en-GB"/>
              </w:rPr>
              <w:t>feguarding Children Partnerships</w:t>
            </w:r>
          </w:p>
          <w:p w:rsidR="00AB058B" w:rsidRPr="00B83F31" w:rsidRDefault="00AB058B" w:rsidP="00A45AE1">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r w:rsidRPr="00B83F31">
              <w:rPr>
                <w:rFonts w:eastAsia="Times New Roman" w:cs="Arial"/>
                <w:color w:val="002060"/>
                <w:sz w:val="24"/>
                <w:szCs w:val="24"/>
                <w:lang w:eastAsia="en-GB"/>
              </w:rPr>
              <w:t xml:space="preserve">Representation from Test Valley Borough Council </w:t>
            </w:r>
          </w:p>
          <w:p w:rsidR="00AB058B" w:rsidRPr="00B83F31" w:rsidRDefault="00AB058B" w:rsidP="00A45AE1">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r w:rsidRPr="00B83F31">
              <w:rPr>
                <w:rFonts w:eastAsia="Times New Roman" w:cs="Arial"/>
                <w:color w:val="002060"/>
                <w:sz w:val="24"/>
                <w:szCs w:val="24"/>
                <w:lang w:eastAsia="en-GB"/>
              </w:rPr>
              <w:t xml:space="preserve">Representation from Fareham Borough Council </w:t>
            </w:r>
          </w:p>
          <w:p w:rsidR="00AB058B" w:rsidRPr="00B83F31" w:rsidRDefault="00AB058B" w:rsidP="00A45AE1">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r w:rsidRPr="00B83F31">
              <w:rPr>
                <w:rFonts w:eastAsia="Times New Roman" w:cs="Arial"/>
                <w:color w:val="002060"/>
                <w:sz w:val="24"/>
                <w:szCs w:val="24"/>
                <w:lang w:eastAsia="en-GB"/>
              </w:rPr>
              <w:t xml:space="preserve">Representation from New Forest District Council </w:t>
            </w:r>
          </w:p>
          <w:p w:rsidR="00436B66" w:rsidRPr="00B83F31" w:rsidRDefault="00436B66" w:rsidP="00A45AE1">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r w:rsidRPr="00B83F31">
              <w:rPr>
                <w:rFonts w:eastAsia="Times New Roman" w:cs="Arial"/>
                <w:color w:val="002060"/>
                <w:sz w:val="24"/>
                <w:szCs w:val="24"/>
                <w:lang w:eastAsia="en-GB"/>
              </w:rPr>
              <w:t>Representation from Havant Borough Council</w:t>
            </w:r>
          </w:p>
          <w:p w:rsidR="00436B66" w:rsidRPr="00B83F31" w:rsidRDefault="00436B66" w:rsidP="00A45AE1">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r w:rsidRPr="00B83F31">
              <w:rPr>
                <w:rFonts w:eastAsia="Times New Roman" w:cs="Arial"/>
                <w:color w:val="002060"/>
                <w:sz w:val="24"/>
                <w:szCs w:val="24"/>
                <w:lang w:eastAsia="en-GB"/>
              </w:rPr>
              <w:t>Representation from Rush District Council</w:t>
            </w:r>
          </w:p>
          <w:p w:rsidR="00436B66" w:rsidRPr="00B83F31" w:rsidRDefault="00436B66" w:rsidP="00436B66">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r w:rsidRPr="00B83F31">
              <w:rPr>
                <w:rFonts w:eastAsia="Times New Roman" w:cs="Arial"/>
                <w:color w:val="002060"/>
                <w:sz w:val="24"/>
                <w:szCs w:val="24"/>
                <w:lang w:eastAsia="en-GB"/>
              </w:rPr>
              <w:t xml:space="preserve">Representation from Basingstoke and Deane District Council </w:t>
            </w:r>
          </w:p>
          <w:p w:rsidR="00350467" w:rsidRPr="00B83F31" w:rsidRDefault="00350467" w:rsidP="00436B66">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r w:rsidRPr="00B83F31">
              <w:rPr>
                <w:rFonts w:eastAsia="Times New Roman" w:cs="Arial"/>
                <w:color w:val="002060"/>
                <w:sz w:val="24"/>
                <w:szCs w:val="24"/>
                <w:lang w:eastAsia="en-GB"/>
              </w:rPr>
              <w:lastRenderedPageBreak/>
              <w:t>Representation from Gosport Borough Council</w:t>
            </w:r>
          </w:p>
          <w:p w:rsidR="00436B66" w:rsidRPr="00B83F31" w:rsidRDefault="00436B66" w:rsidP="00436B66">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r w:rsidRPr="00B83F31">
              <w:rPr>
                <w:rFonts w:eastAsia="Times New Roman" w:cs="Arial"/>
                <w:color w:val="002060"/>
                <w:sz w:val="24"/>
                <w:szCs w:val="24"/>
                <w:lang w:eastAsia="en-GB"/>
              </w:rPr>
              <w:t>Representation from Portsmouth City Council</w:t>
            </w:r>
          </w:p>
          <w:p w:rsidR="00436B66" w:rsidRPr="00B83F31" w:rsidRDefault="00350467" w:rsidP="00A45AE1">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r w:rsidRPr="00B83F31">
              <w:rPr>
                <w:rFonts w:eastAsia="Times New Roman" w:cs="Arial"/>
                <w:color w:val="002060"/>
                <w:sz w:val="24"/>
                <w:szCs w:val="24"/>
                <w:lang w:eastAsia="en-GB"/>
              </w:rPr>
              <w:t>Representation from East Hampshire District Council</w:t>
            </w:r>
          </w:p>
          <w:p w:rsidR="00B83F31" w:rsidRPr="00B83F31" w:rsidRDefault="00B83F31" w:rsidP="00A45AE1">
            <w:pPr>
              <w:textAlignment w:val="baseline"/>
              <w:cnfStyle w:val="000000000000" w:firstRow="0" w:lastRow="0" w:firstColumn="0" w:lastColumn="0" w:oddVBand="0" w:evenVBand="0" w:oddHBand="0" w:evenHBand="0" w:firstRowFirstColumn="0" w:firstRowLastColumn="0" w:lastRowFirstColumn="0" w:lastRowLastColumn="0"/>
              <w:rPr>
                <w:b/>
                <w:bCs/>
                <w:color w:val="002060"/>
                <w:sz w:val="16"/>
                <w:szCs w:val="16"/>
                <w:lang w:eastAsia="en-GB"/>
              </w:rPr>
            </w:pPr>
            <w:r w:rsidRPr="00B83F31">
              <w:rPr>
                <w:rFonts w:eastAsia="Times New Roman" w:cs="Arial"/>
                <w:color w:val="002060"/>
                <w:sz w:val="24"/>
                <w:szCs w:val="24"/>
                <w:lang w:eastAsia="en-GB"/>
              </w:rPr>
              <w:t xml:space="preserve">Representation from Southampton City Council </w:t>
            </w:r>
          </w:p>
          <w:p w:rsidR="005A00E9" w:rsidRPr="004C3C3B" w:rsidRDefault="005A00E9" w:rsidP="00A45AE1">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p>
        </w:tc>
      </w:tr>
      <w:tr w:rsidR="005A00E9" w:rsidRPr="00C92113" w:rsidTr="005A00E9">
        <w:trPr>
          <w:trHeight w:val="268"/>
          <w:jc w:val="center"/>
        </w:trPr>
        <w:tc>
          <w:tcPr>
            <w:cnfStyle w:val="001000000000" w:firstRow="0" w:lastRow="0" w:firstColumn="1" w:lastColumn="0" w:oddVBand="0" w:evenVBand="0" w:oddHBand="0" w:evenHBand="0" w:firstRowFirstColumn="0" w:firstRowLastColumn="0" w:lastRowFirstColumn="0" w:lastRowLastColumn="0"/>
            <w:tcW w:w="1750" w:type="dxa"/>
          </w:tcPr>
          <w:p w:rsidR="005A00E9" w:rsidRPr="004C3C3B" w:rsidRDefault="005A00E9" w:rsidP="00A45AE1">
            <w:pPr>
              <w:rPr>
                <w:rFonts w:cs="Arial"/>
                <w:b w:val="0"/>
                <w:color w:val="002060"/>
                <w:sz w:val="24"/>
                <w:szCs w:val="24"/>
              </w:rPr>
            </w:pPr>
            <w:r w:rsidRPr="004C3C3B">
              <w:rPr>
                <w:rFonts w:cs="Arial"/>
                <w:b w:val="0"/>
                <w:color w:val="002060"/>
                <w:sz w:val="24"/>
                <w:szCs w:val="24"/>
              </w:rPr>
              <w:lastRenderedPageBreak/>
              <w:t>Office of Police and Crime Commissioner (OPCC)</w:t>
            </w:r>
          </w:p>
          <w:p w:rsidR="005A00E9" w:rsidRPr="004C3C3B" w:rsidRDefault="005A00E9" w:rsidP="00A45AE1">
            <w:pPr>
              <w:rPr>
                <w:rFonts w:cs="Arial"/>
                <w:b w:val="0"/>
                <w:color w:val="002060"/>
                <w:sz w:val="24"/>
                <w:szCs w:val="24"/>
              </w:rPr>
            </w:pPr>
          </w:p>
        </w:tc>
        <w:tc>
          <w:tcPr>
            <w:tcW w:w="1372" w:type="dxa"/>
          </w:tcPr>
          <w:p w:rsidR="005A00E9" w:rsidRPr="004C3C3B" w:rsidRDefault="005A00E9" w:rsidP="00A45AE1">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r w:rsidRPr="004C3C3B">
              <w:rPr>
                <w:rFonts w:eastAsia="Times New Roman" w:cs="Arial"/>
                <w:color w:val="002060"/>
                <w:sz w:val="24"/>
                <w:szCs w:val="24"/>
                <w:lang w:eastAsia="en-GB"/>
              </w:rPr>
              <w:t>N/A</w:t>
            </w:r>
          </w:p>
        </w:tc>
        <w:tc>
          <w:tcPr>
            <w:tcW w:w="6087" w:type="dxa"/>
          </w:tcPr>
          <w:p w:rsidR="005A00E9" w:rsidRPr="00B83F31" w:rsidRDefault="005A00E9" w:rsidP="00A45AE1">
            <w:pPr>
              <w:textAlignment w:val="baseline"/>
              <w:cnfStyle w:val="000000000000" w:firstRow="0" w:lastRow="0" w:firstColumn="0" w:lastColumn="0" w:oddVBand="0" w:evenVBand="0" w:oddHBand="0" w:evenHBand="0" w:firstRowFirstColumn="0" w:firstRowLastColumn="0" w:lastRowFirstColumn="0" w:lastRowLastColumn="0"/>
              <w:rPr>
                <w:color w:val="002060"/>
                <w:sz w:val="16"/>
                <w:szCs w:val="16"/>
                <w:lang w:eastAsia="en-GB"/>
              </w:rPr>
            </w:pPr>
            <w:r w:rsidRPr="00B83F31">
              <w:rPr>
                <w:rFonts w:eastAsia="Times New Roman" w:cs="Arial"/>
                <w:color w:val="002060"/>
                <w:sz w:val="24"/>
                <w:szCs w:val="24"/>
                <w:lang w:eastAsia="en-GB"/>
              </w:rPr>
              <w:t>Criminal Justice Programmes and Projects Officer</w:t>
            </w:r>
            <w:r w:rsidRPr="00B83F31">
              <w:rPr>
                <w:color w:val="002060"/>
                <w:sz w:val="16"/>
                <w:szCs w:val="16"/>
                <w:lang w:eastAsia="en-GB"/>
              </w:rPr>
              <w:t> </w:t>
            </w:r>
          </w:p>
          <w:p w:rsidR="005A00E9" w:rsidRPr="004C3C3B" w:rsidRDefault="005A00E9" w:rsidP="00A45AE1">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p>
        </w:tc>
      </w:tr>
      <w:tr w:rsidR="005A00E9" w:rsidRPr="00C92113" w:rsidTr="005A00E9">
        <w:trPr>
          <w:trHeight w:val="268"/>
          <w:jc w:val="center"/>
        </w:trPr>
        <w:tc>
          <w:tcPr>
            <w:cnfStyle w:val="001000000000" w:firstRow="0" w:lastRow="0" w:firstColumn="1" w:lastColumn="0" w:oddVBand="0" w:evenVBand="0" w:oddHBand="0" w:evenHBand="0" w:firstRowFirstColumn="0" w:firstRowLastColumn="0" w:lastRowFirstColumn="0" w:lastRowLastColumn="0"/>
            <w:tcW w:w="1750" w:type="dxa"/>
          </w:tcPr>
          <w:p w:rsidR="005A00E9" w:rsidRPr="004C3C3B" w:rsidRDefault="005A00E9" w:rsidP="00A45AE1">
            <w:pPr>
              <w:rPr>
                <w:rFonts w:cs="Arial"/>
                <w:b w:val="0"/>
                <w:color w:val="002060"/>
                <w:sz w:val="24"/>
                <w:szCs w:val="24"/>
              </w:rPr>
            </w:pPr>
            <w:r w:rsidRPr="004C3C3B">
              <w:rPr>
                <w:rFonts w:cs="Arial"/>
                <w:b w:val="0"/>
                <w:color w:val="002060"/>
                <w:sz w:val="24"/>
                <w:szCs w:val="24"/>
              </w:rPr>
              <w:t>Probation</w:t>
            </w:r>
          </w:p>
        </w:tc>
        <w:tc>
          <w:tcPr>
            <w:tcW w:w="1372" w:type="dxa"/>
          </w:tcPr>
          <w:p w:rsidR="005A00E9" w:rsidRPr="004C3C3B" w:rsidRDefault="005A00E9" w:rsidP="00A45AE1">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r w:rsidRPr="004C3C3B">
              <w:rPr>
                <w:rFonts w:eastAsia="Times New Roman" w:cs="Arial"/>
                <w:color w:val="002060"/>
                <w:sz w:val="24"/>
                <w:szCs w:val="24"/>
                <w:lang w:eastAsia="en-GB"/>
              </w:rPr>
              <w:t>Specified Authority</w:t>
            </w:r>
          </w:p>
          <w:p w:rsidR="005A00E9" w:rsidRPr="004C3C3B" w:rsidRDefault="005A00E9" w:rsidP="00A45AE1">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p>
        </w:tc>
        <w:tc>
          <w:tcPr>
            <w:tcW w:w="6087" w:type="dxa"/>
          </w:tcPr>
          <w:p w:rsidR="005A00E9" w:rsidRPr="00B83F31" w:rsidRDefault="005A00E9" w:rsidP="00A45AE1">
            <w:pPr>
              <w:textAlignment w:val="baseline"/>
              <w:cnfStyle w:val="000000000000" w:firstRow="0" w:lastRow="0" w:firstColumn="0" w:lastColumn="0" w:oddVBand="0" w:evenVBand="0" w:oddHBand="0" w:evenHBand="0" w:firstRowFirstColumn="0" w:firstRowLastColumn="0" w:lastRowFirstColumn="0" w:lastRowLastColumn="0"/>
              <w:rPr>
                <w:rFonts w:cs="Arial"/>
                <w:color w:val="002060"/>
                <w:sz w:val="24"/>
                <w:szCs w:val="24"/>
              </w:rPr>
            </w:pPr>
            <w:r w:rsidRPr="00B83F31">
              <w:rPr>
                <w:rFonts w:cs="Arial"/>
                <w:color w:val="002060"/>
                <w:sz w:val="24"/>
                <w:szCs w:val="24"/>
              </w:rPr>
              <w:t>Senior Probation Officer</w:t>
            </w:r>
          </w:p>
          <w:p w:rsidR="005A00E9" w:rsidRPr="00B83F31" w:rsidRDefault="005A00E9" w:rsidP="00A45AE1">
            <w:pPr>
              <w:textAlignment w:val="baseline"/>
              <w:cnfStyle w:val="000000000000" w:firstRow="0" w:lastRow="0" w:firstColumn="0" w:lastColumn="0" w:oddVBand="0" w:evenVBand="0" w:oddHBand="0" w:evenHBand="0" w:firstRowFirstColumn="0" w:firstRowLastColumn="0" w:lastRowFirstColumn="0" w:lastRowLastColumn="0"/>
              <w:rPr>
                <w:rFonts w:cs="Arial"/>
                <w:color w:val="002060"/>
                <w:sz w:val="24"/>
                <w:szCs w:val="24"/>
              </w:rPr>
            </w:pPr>
            <w:r w:rsidRPr="00B83F31">
              <w:rPr>
                <w:rFonts w:cs="Arial"/>
                <w:color w:val="002060"/>
                <w:sz w:val="24"/>
                <w:szCs w:val="24"/>
              </w:rPr>
              <w:t>Head of Community Integration</w:t>
            </w:r>
          </w:p>
          <w:p w:rsidR="005A00E9" w:rsidRPr="004C3C3B" w:rsidRDefault="005A00E9" w:rsidP="00A45AE1">
            <w:pPr>
              <w:textAlignment w:val="baseline"/>
              <w:cnfStyle w:val="000000000000" w:firstRow="0" w:lastRow="0" w:firstColumn="0" w:lastColumn="0" w:oddVBand="0" w:evenVBand="0" w:oddHBand="0" w:evenHBand="0" w:firstRowFirstColumn="0" w:firstRowLastColumn="0" w:lastRowFirstColumn="0" w:lastRowLastColumn="0"/>
              <w:rPr>
                <w:rFonts w:cs="Arial"/>
                <w:color w:val="002060"/>
                <w:sz w:val="24"/>
                <w:szCs w:val="24"/>
              </w:rPr>
            </w:pPr>
          </w:p>
        </w:tc>
      </w:tr>
      <w:tr w:rsidR="005A00E9" w:rsidRPr="00C92113" w:rsidTr="005A00E9">
        <w:trPr>
          <w:trHeight w:val="268"/>
          <w:jc w:val="center"/>
        </w:trPr>
        <w:tc>
          <w:tcPr>
            <w:cnfStyle w:val="001000000000" w:firstRow="0" w:lastRow="0" w:firstColumn="1" w:lastColumn="0" w:oddVBand="0" w:evenVBand="0" w:oddHBand="0" w:evenHBand="0" w:firstRowFirstColumn="0" w:firstRowLastColumn="0" w:lastRowFirstColumn="0" w:lastRowLastColumn="0"/>
            <w:tcW w:w="1750" w:type="dxa"/>
          </w:tcPr>
          <w:p w:rsidR="005A00E9" w:rsidRPr="004C3C3B" w:rsidRDefault="005A00E9" w:rsidP="00A45AE1">
            <w:pPr>
              <w:rPr>
                <w:rFonts w:cs="Arial"/>
                <w:b w:val="0"/>
                <w:color w:val="002060"/>
                <w:sz w:val="24"/>
                <w:szCs w:val="24"/>
              </w:rPr>
            </w:pPr>
            <w:r w:rsidRPr="004C3C3B">
              <w:rPr>
                <w:rFonts w:cs="Arial"/>
                <w:b w:val="0"/>
                <w:color w:val="002060"/>
                <w:sz w:val="24"/>
                <w:szCs w:val="24"/>
              </w:rPr>
              <w:t>Education</w:t>
            </w:r>
          </w:p>
          <w:p w:rsidR="005A00E9" w:rsidRPr="004C3C3B" w:rsidRDefault="005A00E9" w:rsidP="00A45AE1">
            <w:pPr>
              <w:rPr>
                <w:rFonts w:cs="Arial"/>
                <w:b w:val="0"/>
                <w:color w:val="002060"/>
                <w:sz w:val="24"/>
                <w:szCs w:val="24"/>
              </w:rPr>
            </w:pPr>
          </w:p>
        </w:tc>
        <w:tc>
          <w:tcPr>
            <w:tcW w:w="1372" w:type="dxa"/>
          </w:tcPr>
          <w:p w:rsidR="005A00E9" w:rsidRPr="004C3C3B" w:rsidRDefault="005A00E9" w:rsidP="00A45AE1">
            <w:pPr>
              <w:cnfStyle w:val="000000000000" w:firstRow="0" w:lastRow="0" w:firstColumn="0" w:lastColumn="0" w:oddVBand="0" w:evenVBand="0" w:oddHBand="0" w:evenHBand="0" w:firstRowFirstColumn="0" w:firstRowLastColumn="0" w:lastRowFirstColumn="0" w:lastRowLastColumn="0"/>
              <w:rPr>
                <w:rFonts w:cs="Arial"/>
                <w:color w:val="002060"/>
                <w:sz w:val="24"/>
                <w:szCs w:val="24"/>
              </w:rPr>
            </w:pPr>
            <w:r w:rsidRPr="004C3C3B">
              <w:rPr>
                <w:rFonts w:cs="Arial"/>
                <w:color w:val="002060"/>
                <w:sz w:val="24"/>
                <w:szCs w:val="24"/>
              </w:rPr>
              <w:t>Relevant Authority</w:t>
            </w:r>
          </w:p>
          <w:p w:rsidR="005A00E9" w:rsidRPr="004C3C3B" w:rsidRDefault="005A00E9" w:rsidP="00A45AE1">
            <w:pPr>
              <w:cnfStyle w:val="000000000000" w:firstRow="0" w:lastRow="0" w:firstColumn="0" w:lastColumn="0" w:oddVBand="0" w:evenVBand="0" w:oddHBand="0" w:evenHBand="0" w:firstRowFirstColumn="0" w:firstRowLastColumn="0" w:lastRowFirstColumn="0" w:lastRowLastColumn="0"/>
              <w:rPr>
                <w:rFonts w:cs="Arial"/>
                <w:color w:val="002060"/>
                <w:sz w:val="24"/>
                <w:szCs w:val="24"/>
              </w:rPr>
            </w:pPr>
          </w:p>
        </w:tc>
        <w:tc>
          <w:tcPr>
            <w:tcW w:w="6087" w:type="dxa"/>
          </w:tcPr>
          <w:p w:rsidR="005A00E9" w:rsidRPr="00B83F31" w:rsidRDefault="00AB058B" w:rsidP="00A45AE1">
            <w:pPr>
              <w:cnfStyle w:val="000000000000" w:firstRow="0" w:lastRow="0" w:firstColumn="0" w:lastColumn="0" w:oddVBand="0" w:evenVBand="0" w:oddHBand="0" w:evenHBand="0" w:firstRowFirstColumn="0" w:firstRowLastColumn="0" w:lastRowFirstColumn="0" w:lastRowLastColumn="0"/>
              <w:rPr>
                <w:rFonts w:cs="Arial"/>
                <w:color w:val="002060"/>
                <w:sz w:val="24"/>
                <w:szCs w:val="24"/>
              </w:rPr>
            </w:pPr>
            <w:r w:rsidRPr="00B83F31">
              <w:rPr>
                <w:rFonts w:cs="Arial"/>
                <w:color w:val="002060"/>
                <w:sz w:val="24"/>
                <w:szCs w:val="24"/>
              </w:rPr>
              <w:t xml:space="preserve">Representation from </w:t>
            </w:r>
            <w:r w:rsidR="005A00E9" w:rsidRPr="00B83F31">
              <w:rPr>
                <w:rFonts w:cs="Arial"/>
                <w:color w:val="002060"/>
                <w:sz w:val="24"/>
                <w:szCs w:val="24"/>
              </w:rPr>
              <w:t xml:space="preserve">County Safeguarding and Computing Inspector </w:t>
            </w:r>
            <w:r w:rsidRPr="00B83F31">
              <w:rPr>
                <w:rFonts w:cs="Arial"/>
                <w:color w:val="002060"/>
                <w:sz w:val="24"/>
                <w:szCs w:val="24"/>
              </w:rPr>
              <w:t xml:space="preserve">/ Adviser, Hampshire </w:t>
            </w:r>
          </w:p>
          <w:p w:rsidR="00AB058B" w:rsidRPr="00B83F31" w:rsidRDefault="00AB058B" w:rsidP="00A45AE1">
            <w:pPr>
              <w:cnfStyle w:val="000000000000" w:firstRow="0" w:lastRow="0" w:firstColumn="0" w:lastColumn="0" w:oddVBand="0" w:evenVBand="0" w:oddHBand="0" w:evenHBand="0" w:firstRowFirstColumn="0" w:firstRowLastColumn="0" w:lastRowFirstColumn="0" w:lastRowLastColumn="0"/>
              <w:rPr>
                <w:rFonts w:cs="Arial"/>
                <w:color w:val="002060"/>
                <w:sz w:val="24"/>
                <w:szCs w:val="24"/>
              </w:rPr>
            </w:pPr>
            <w:r w:rsidRPr="00B83F31">
              <w:rPr>
                <w:rFonts w:cs="Arial"/>
                <w:color w:val="002060"/>
                <w:sz w:val="24"/>
                <w:szCs w:val="24"/>
              </w:rPr>
              <w:t>Representation from Southampton Education and Inclusion Lead</w:t>
            </w:r>
          </w:p>
          <w:p w:rsidR="00AB058B" w:rsidRPr="00B83F31" w:rsidRDefault="00436B66" w:rsidP="00A45AE1">
            <w:pPr>
              <w:cnfStyle w:val="000000000000" w:firstRow="0" w:lastRow="0" w:firstColumn="0" w:lastColumn="0" w:oddVBand="0" w:evenVBand="0" w:oddHBand="0" w:evenHBand="0" w:firstRowFirstColumn="0" w:firstRowLastColumn="0" w:lastRowFirstColumn="0" w:lastRowLastColumn="0"/>
              <w:rPr>
                <w:rFonts w:cs="Arial"/>
                <w:color w:val="002060"/>
                <w:sz w:val="24"/>
                <w:szCs w:val="24"/>
              </w:rPr>
            </w:pPr>
            <w:r w:rsidRPr="00B83F31">
              <w:rPr>
                <w:rFonts w:cs="Arial"/>
                <w:color w:val="002060"/>
                <w:sz w:val="24"/>
                <w:szCs w:val="24"/>
              </w:rPr>
              <w:t xml:space="preserve">Representation from Hampshire Education </w:t>
            </w:r>
          </w:p>
          <w:p w:rsidR="00436B66" w:rsidRPr="004C3C3B" w:rsidRDefault="00436B66" w:rsidP="00A45AE1">
            <w:pPr>
              <w:cnfStyle w:val="000000000000" w:firstRow="0" w:lastRow="0" w:firstColumn="0" w:lastColumn="0" w:oddVBand="0" w:evenVBand="0" w:oddHBand="0" w:evenHBand="0" w:firstRowFirstColumn="0" w:firstRowLastColumn="0" w:lastRowFirstColumn="0" w:lastRowLastColumn="0"/>
              <w:rPr>
                <w:rFonts w:cs="Arial"/>
                <w:color w:val="002060"/>
                <w:sz w:val="24"/>
                <w:szCs w:val="24"/>
              </w:rPr>
            </w:pPr>
          </w:p>
        </w:tc>
      </w:tr>
      <w:tr w:rsidR="005A00E9" w:rsidRPr="00C92113" w:rsidTr="005A00E9">
        <w:trPr>
          <w:trHeight w:val="268"/>
          <w:jc w:val="center"/>
        </w:trPr>
        <w:tc>
          <w:tcPr>
            <w:cnfStyle w:val="001000000000" w:firstRow="0" w:lastRow="0" w:firstColumn="1" w:lastColumn="0" w:oddVBand="0" w:evenVBand="0" w:oddHBand="0" w:evenHBand="0" w:firstRowFirstColumn="0" w:firstRowLastColumn="0" w:lastRowFirstColumn="0" w:lastRowLastColumn="0"/>
            <w:tcW w:w="1750" w:type="dxa"/>
          </w:tcPr>
          <w:p w:rsidR="005A00E9" w:rsidRPr="004C3C3B" w:rsidRDefault="005A00E9" w:rsidP="00A45AE1">
            <w:pPr>
              <w:rPr>
                <w:rFonts w:cs="Arial"/>
                <w:b w:val="0"/>
                <w:color w:val="002060"/>
                <w:sz w:val="24"/>
                <w:szCs w:val="24"/>
              </w:rPr>
            </w:pPr>
            <w:r w:rsidRPr="004C3C3B">
              <w:rPr>
                <w:rFonts w:cs="Arial"/>
                <w:b w:val="0"/>
                <w:color w:val="002060"/>
                <w:sz w:val="24"/>
                <w:szCs w:val="24"/>
              </w:rPr>
              <w:t>Prison Service</w:t>
            </w:r>
          </w:p>
        </w:tc>
        <w:tc>
          <w:tcPr>
            <w:tcW w:w="1372" w:type="dxa"/>
          </w:tcPr>
          <w:p w:rsidR="005A00E9" w:rsidRPr="004C3C3B" w:rsidRDefault="005A00E9" w:rsidP="00A45AE1">
            <w:pPr>
              <w:cnfStyle w:val="000000000000" w:firstRow="0" w:lastRow="0" w:firstColumn="0" w:lastColumn="0" w:oddVBand="0" w:evenVBand="0" w:oddHBand="0" w:evenHBand="0" w:firstRowFirstColumn="0" w:firstRowLastColumn="0" w:lastRowFirstColumn="0" w:lastRowLastColumn="0"/>
              <w:rPr>
                <w:rFonts w:cs="Arial"/>
                <w:color w:val="002060"/>
                <w:sz w:val="24"/>
                <w:szCs w:val="24"/>
              </w:rPr>
            </w:pPr>
            <w:r w:rsidRPr="004C3C3B">
              <w:rPr>
                <w:rFonts w:cs="Arial"/>
                <w:color w:val="002060"/>
                <w:sz w:val="24"/>
                <w:szCs w:val="24"/>
              </w:rPr>
              <w:t>Relevant Authority</w:t>
            </w:r>
          </w:p>
          <w:p w:rsidR="005A00E9" w:rsidRPr="004C3C3B" w:rsidRDefault="005A00E9" w:rsidP="00A45AE1">
            <w:pPr>
              <w:cnfStyle w:val="000000000000" w:firstRow="0" w:lastRow="0" w:firstColumn="0" w:lastColumn="0" w:oddVBand="0" w:evenVBand="0" w:oddHBand="0" w:evenHBand="0" w:firstRowFirstColumn="0" w:firstRowLastColumn="0" w:lastRowFirstColumn="0" w:lastRowLastColumn="0"/>
              <w:rPr>
                <w:rFonts w:cs="Arial"/>
                <w:color w:val="002060"/>
                <w:sz w:val="24"/>
                <w:szCs w:val="24"/>
              </w:rPr>
            </w:pPr>
          </w:p>
        </w:tc>
        <w:tc>
          <w:tcPr>
            <w:tcW w:w="6087" w:type="dxa"/>
          </w:tcPr>
          <w:p w:rsidR="005A00E9" w:rsidRPr="004C3C3B" w:rsidRDefault="005A00E9" w:rsidP="00A45AE1">
            <w:pPr>
              <w:cnfStyle w:val="000000000000" w:firstRow="0" w:lastRow="0" w:firstColumn="0" w:lastColumn="0" w:oddVBand="0" w:evenVBand="0" w:oddHBand="0" w:evenHBand="0" w:firstRowFirstColumn="0" w:firstRowLastColumn="0" w:lastRowFirstColumn="0" w:lastRowLastColumn="0"/>
              <w:rPr>
                <w:rFonts w:cs="Arial"/>
                <w:color w:val="002060"/>
                <w:sz w:val="24"/>
                <w:szCs w:val="24"/>
              </w:rPr>
            </w:pPr>
            <w:r>
              <w:rPr>
                <w:rFonts w:cs="Arial"/>
                <w:color w:val="002060"/>
                <w:sz w:val="24"/>
                <w:szCs w:val="24"/>
              </w:rPr>
              <w:t xml:space="preserve">No representation at this stage </w:t>
            </w:r>
          </w:p>
        </w:tc>
      </w:tr>
      <w:tr w:rsidR="005A00E9" w:rsidRPr="00C92113" w:rsidTr="005A00E9">
        <w:trPr>
          <w:trHeight w:val="268"/>
          <w:jc w:val="center"/>
        </w:trPr>
        <w:tc>
          <w:tcPr>
            <w:cnfStyle w:val="001000000000" w:firstRow="0" w:lastRow="0" w:firstColumn="1" w:lastColumn="0" w:oddVBand="0" w:evenVBand="0" w:oddHBand="0" w:evenHBand="0" w:firstRowFirstColumn="0" w:firstRowLastColumn="0" w:lastRowFirstColumn="0" w:lastRowLastColumn="0"/>
            <w:tcW w:w="1750" w:type="dxa"/>
          </w:tcPr>
          <w:p w:rsidR="005A00E9" w:rsidRDefault="005A00E9" w:rsidP="00A45AE1">
            <w:pPr>
              <w:rPr>
                <w:rFonts w:cs="Arial"/>
                <w:b w:val="0"/>
                <w:color w:val="002060"/>
                <w:sz w:val="24"/>
                <w:szCs w:val="24"/>
              </w:rPr>
            </w:pPr>
            <w:r>
              <w:rPr>
                <w:rFonts w:cs="Arial"/>
                <w:b w:val="0"/>
                <w:color w:val="002060"/>
                <w:sz w:val="24"/>
                <w:szCs w:val="24"/>
              </w:rPr>
              <w:t>Voluntary Sector</w:t>
            </w:r>
          </w:p>
          <w:p w:rsidR="005A00E9" w:rsidRPr="004C3C3B" w:rsidRDefault="005A00E9" w:rsidP="00A45AE1">
            <w:pPr>
              <w:rPr>
                <w:rFonts w:cs="Arial"/>
                <w:b w:val="0"/>
                <w:color w:val="002060"/>
                <w:sz w:val="24"/>
                <w:szCs w:val="24"/>
              </w:rPr>
            </w:pPr>
          </w:p>
        </w:tc>
        <w:tc>
          <w:tcPr>
            <w:tcW w:w="1372" w:type="dxa"/>
          </w:tcPr>
          <w:p w:rsidR="005A00E9" w:rsidRPr="004C3C3B" w:rsidRDefault="005A00E9" w:rsidP="00A45AE1">
            <w:pPr>
              <w:cnfStyle w:val="000000000000" w:firstRow="0" w:lastRow="0" w:firstColumn="0" w:lastColumn="0" w:oddVBand="0" w:evenVBand="0" w:oddHBand="0" w:evenHBand="0" w:firstRowFirstColumn="0" w:firstRowLastColumn="0" w:lastRowFirstColumn="0" w:lastRowLastColumn="0"/>
              <w:rPr>
                <w:rFonts w:cs="Arial"/>
                <w:color w:val="002060"/>
                <w:sz w:val="24"/>
                <w:szCs w:val="24"/>
              </w:rPr>
            </w:pPr>
            <w:r>
              <w:rPr>
                <w:rFonts w:cs="Arial"/>
                <w:color w:val="002060"/>
                <w:sz w:val="24"/>
                <w:szCs w:val="24"/>
              </w:rPr>
              <w:t>N/A</w:t>
            </w:r>
          </w:p>
        </w:tc>
        <w:tc>
          <w:tcPr>
            <w:tcW w:w="6087" w:type="dxa"/>
          </w:tcPr>
          <w:p w:rsidR="005A00E9" w:rsidRPr="00B83F31" w:rsidRDefault="00AB058B" w:rsidP="00A45AE1">
            <w:pPr>
              <w:cnfStyle w:val="000000000000" w:firstRow="0" w:lastRow="0" w:firstColumn="0" w:lastColumn="0" w:oddVBand="0" w:evenVBand="0" w:oddHBand="0" w:evenHBand="0" w:firstRowFirstColumn="0" w:firstRowLastColumn="0" w:lastRowFirstColumn="0" w:lastRowLastColumn="0"/>
              <w:rPr>
                <w:rFonts w:cs="Arial"/>
                <w:color w:val="002060"/>
                <w:sz w:val="24"/>
                <w:szCs w:val="24"/>
              </w:rPr>
            </w:pPr>
            <w:r w:rsidRPr="00B83F31">
              <w:rPr>
                <w:rFonts w:cs="Arial"/>
                <w:color w:val="002060"/>
                <w:sz w:val="24"/>
                <w:szCs w:val="24"/>
              </w:rPr>
              <w:t xml:space="preserve">Representation from No Limits for Voluntary Sector </w:t>
            </w:r>
          </w:p>
          <w:p w:rsidR="00350467" w:rsidRDefault="00350467" w:rsidP="00A45AE1">
            <w:pPr>
              <w:cnfStyle w:val="000000000000" w:firstRow="0" w:lastRow="0" w:firstColumn="0" w:lastColumn="0" w:oddVBand="0" w:evenVBand="0" w:oddHBand="0" w:evenHBand="0" w:firstRowFirstColumn="0" w:firstRowLastColumn="0" w:lastRowFirstColumn="0" w:lastRowLastColumn="0"/>
              <w:rPr>
                <w:rFonts w:cs="Arial"/>
                <w:color w:val="002060"/>
                <w:sz w:val="24"/>
                <w:szCs w:val="24"/>
              </w:rPr>
            </w:pPr>
            <w:r w:rsidRPr="00B83F31">
              <w:rPr>
                <w:rFonts w:cs="Arial"/>
                <w:color w:val="002060"/>
                <w:sz w:val="24"/>
                <w:szCs w:val="24"/>
              </w:rPr>
              <w:t xml:space="preserve">Representation from Housing </w:t>
            </w:r>
          </w:p>
          <w:p w:rsidR="009A2EF2" w:rsidRPr="00A12AF7" w:rsidRDefault="009A2EF2" w:rsidP="009A2EF2">
            <w:pPr>
              <w:cnfStyle w:val="000000000000" w:firstRow="0" w:lastRow="0" w:firstColumn="0" w:lastColumn="0" w:oddVBand="0" w:evenVBand="0" w:oddHBand="0" w:evenHBand="0" w:firstRowFirstColumn="0" w:firstRowLastColumn="0" w:lastRowFirstColumn="0" w:lastRowLastColumn="0"/>
              <w:rPr>
                <w:rFonts w:cs="Arial"/>
                <w:color w:val="002060"/>
                <w:sz w:val="24"/>
                <w:szCs w:val="24"/>
              </w:rPr>
            </w:pPr>
            <w:r>
              <w:rPr>
                <w:rFonts w:cs="Arial"/>
                <w:color w:val="002060"/>
                <w:sz w:val="24"/>
                <w:szCs w:val="24"/>
              </w:rPr>
              <w:t xml:space="preserve">Representation from Interim Chief Executive Officer </w:t>
            </w:r>
          </w:p>
          <w:p w:rsidR="009A2EF2" w:rsidRDefault="009A2EF2" w:rsidP="00A45AE1">
            <w:pPr>
              <w:cnfStyle w:val="000000000000" w:firstRow="0" w:lastRow="0" w:firstColumn="0" w:lastColumn="0" w:oddVBand="0" w:evenVBand="0" w:oddHBand="0" w:evenHBand="0" w:firstRowFirstColumn="0" w:firstRowLastColumn="0" w:lastRowFirstColumn="0" w:lastRowLastColumn="0"/>
              <w:rPr>
                <w:rFonts w:cs="Arial"/>
                <w:color w:val="002060"/>
                <w:sz w:val="24"/>
                <w:szCs w:val="24"/>
              </w:rPr>
            </w:pPr>
          </w:p>
        </w:tc>
      </w:tr>
    </w:tbl>
    <w:p w:rsidR="00A52B5E" w:rsidRPr="00C92113" w:rsidRDefault="00A52B5E" w:rsidP="00F10A24">
      <w:pPr>
        <w:rPr>
          <w:sz w:val="24"/>
          <w:szCs w:val="24"/>
        </w:rPr>
      </w:pPr>
    </w:p>
    <w:sdt>
      <w:sdtPr>
        <w:rPr>
          <w:rFonts w:ascii="Arial" w:eastAsiaTheme="minorHAnsi" w:hAnsi="Arial" w:cstheme="minorBidi"/>
          <w:caps/>
          <w:color w:val="auto"/>
          <w:sz w:val="22"/>
          <w:szCs w:val="22"/>
        </w:rPr>
        <w:id w:val="1497756685"/>
        <w:docPartObj>
          <w:docPartGallery w:val="Table of Contents"/>
          <w:docPartUnique/>
        </w:docPartObj>
      </w:sdtPr>
      <w:sdtEndPr>
        <w:rPr>
          <w:b/>
          <w:bCs/>
          <w:caps w:val="0"/>
          <w:noProof/>
        </w:rPr>
      </w:sdtEndPr>
      <w:sdtContent>
        <w:p w:rsidR="00F10A24" w:rsidRPr="00C92113" w:rsidRDefault="00F10A24" w:rsidP="00F10A24">
          <w:pPr>
            <w:pStyle w:val="Heading3"/>
            <w:rPr>
              <w:rFonts w:ascii="Arial" w:eastAsiaTheme="minorHAnsi" w:hAnsi="Arial" w:cstheme="minorBidi"/>
              <w:caps/>
              <w:color w:val="auto"/>
            </w:rPr>
          </w:pPr>
          <w:r w:rsidRPr="00C92113">
            <w:rPr>
              <w:rStyle w:val="Strong"/>
              <w:rFonts w:cs="Arial"/>
            </w:rPr>
            <w:t>Contents</w:t>
          </w:r>
        </w:p>
        <w:p w:rsidR="00F10A24" w:rsidRPr="004C3C3B" w:rsidRDefault="00F10A24" w:rsidP="00F10A24">
          <w:pPr>
            <w:pStyle w:val="TOC1"/>
            <w:tabs>
              <w:tab w:val="right" w:leader="dot" w:pos="9016"/>
            </w:tabs>
            <w:rPr>
              <w:rFonts w:ascii="Arial" w:hAnsi="Arial" w:cs="Arial"/>
              <w:noProof/>
              <w:color w:val="002060"/>
              <w:sz w:val="24"/>
              <w:szCs w:val="24"/>
              <w:lang w:val="en-GB" w:eastAsia="en-GB"/>
            </w:rPr>
          </w:pPr>
          <w:r w:rsidRPr="00C92113">
            <w:rPr>
              <w:rFonts w:ascii="Arial" w:hAnsi="Arial" w:cs="Arial"/>
              <w:sz w:val="24"/>
              <w:szCs w:val="24"/>
            </w:rPr>
            <w:fldChar w:fldCharType="begin"/>
          </w:r>
          <w:r w:rsidRPr="00C92113">
            <w:rPr>
              <w:rFonts w:ascii="Arial" w:hAnsi="Arial" w:cs="Arial"/>
              <w:sz w:val="24"/>
              <w:szCs w:val="24"/>
            </w:rPr>
            <w:instrText xml:space="preserve"> TOC \o "1-2" \h \z \u </w:instrText>
          </w:r>
          <w:r w:rsidRPr="00C92113">
            <w:rPr>
              <w:rFonts w:ascii="Arial" w:hAnsi="Arial" w:cs="Arial"/>
              <w:sz w:val="24"/>
              <w:szCs w:val="24"/>
            </w:rPr>
            <w:fldChar w:fldCharType="separate"/>
          </w:r>
          <w:hyperlink w:anchor="_Toc147405687" w:history="1">
            <w:r w:rsidRPr="004C3C3B">
              <w:rPr>
                <w:rStyle w:val="Hyperlink"/>
                <w:rFonts w:ascii="Arial" w:hAnsi="Arial" w:cs="Arial"/>
                <w:noProof/>
                <w:color w:val="002060"/>
                <w:sz w:val="24"/>
                <w:szCs w:val="24"/>
              </w:rPr>
              <w:t>Distribution list</w:t>
            </w:r>
            <w:r w:rsidRPr="004C3C3B">
              <w:rPr>
                <w:rFonts w:ascii="Arial" w:hAnsi="Arial" w:cs="Arial"/>
                <w:noProof/>
                <w:webHidden/>
                <w:color w:val="002060"/>
                <w:sz w:val="24"/>
                <w:szCs w:val="24"/>
              </w:rPr>
              <w:tab/>
            </w:r>
            <w:r w:rsidRPr="004C3C3B">
              <w:rPr>
                <w:rFonts w:ascii="Arial" w:hAnsi="Arial" w:cs="Arial"/>
                <w:noProof/>
                <w:webHidden/>
                <w:color w:val="002060"/>
                <w:sz w:val="24"/>
                <w:szCs w:val="24"/>
              </w:rPr>
              <w:fldChar w:fldCharType="begin"/>
            </w:r>
            <w:r w:rsidRPr="004C3C3B">
              <w:rPr>
                <w:rFonts w:ascii="Arial" w:hAnsi="Arial" w:cs="Arial"/>
                <w:noProof/>
                <w:webHidden/>
                <w:color w:val="002060"/>
                <w:sz w:val="24"/>
                <w:szCs w:val="24"/>
              </w:rPr>
              <w:instrText xml:space="preserve"> PAGEREF _Toc147405687 \h </w:instrText>
            </w:r>
            <w:r w:rsidRPr="004C3C3B">
              <w:rPr>
                <w:rFonts w:ascii="Arial" w:hAnsi="Arial" w:cs="Arial"/>
                <w:noProof/>
                <w:webHidden/>
                <w:color w:val="002060"/>
                <w:sz w:val="24"/>
                <w:szCs w:val="24"/>
              </w:rPr>
            </w:r>
            <w:r w:rsidRPr="004C3C3B">
              <w:rPr>
                <w:rFonts w:ascii="Arial" w:hAnsi="Arial" w:cs="Arial"/>
                <w:noProof/>
                <w:webHidden/>
                <w:color w:val="002060"/>
                <w:sz w:val="24"/>
                <w:szCs w:val="24"/>
              </w:rPr>
              <w:fldChar w:fldCharType="separate"/>
            </w:r>
            <w:r w:rsidR="001F002D">
              <w:rPr>
                <w:rFonts w:ascii="Arial" w:hAnsi="Arial" w:cs="Arial"/>
                <w:noProof/>
                <w:webHidden/>
                <w:color w:val="002060"/>
                <w:sz w:val="24"/>
                <w:szCs w:val="24"/>
              </w:rPr>
              <w:t>2</w:t>
            </w:r>
            <w:r w:rsidRPr="004C3C3B">
              <w:rPr>
                <w:rFonts w:ascii="Arial" w:hAnsi="Arial" w:cs="Arial"/>
                <w:noProof/>
                <w:webHidden/>
                <w:color w:val="002060"/>
                <w:sz w:val="24"/>
                <w:szCs w:val="24"/>
              </w:rPr>
              <w:fldChar w:fldCharType="end"/>
            </w:r>
          </w:hyperlink>
        </w:p>
        <w:p w:rsidR="00F10A24" w:rsidRPr="004C3C3B" w:rsidRDefault="001F002D" w:rsidP="00F10A24">
          <w:pPr>
            <w:pStyle w:val="TOC1"/>
            <w:tabs>
              <w:tab w:val="right" w:leader="dot" w:pos="9016"/>
            </w:tabs>
            <w:rPr>
              <w:rFonts w:ascii="Arial" w:hAnsi="Arial" w:cs="Arial"/>
              <w:noProof/>
              <w:color w:val="002060"/>
              <w:sz w:val="24"/>
              <w:szCs w:val="24"/>
              <w:lang w:val="en-GB" w:eastAsia="en-GB"/>
            </w:rPr>
          </w:pPr>
          <w:hyperlink w:anchor="_Toc147405688" w:history="1">
            <w:r w:rsidR="00F10A24" w:rsidRPr="004C3C3B">
              <w:rPr>
                <w:rStyle w:val="Hyperlink"/>
                <w:rFonts w:ascii="Arial" w:hAnsi="Arial" w:cs="Arial"/>
                <w:noProof/>
                <w:color w:val="002060"/>
                <w:sz w:val="24"/>
                <w:szCs w:val="24"/>
              </w:rPr>
              <w:t>Introduction</w:t>
            </w:r>
            <w:r w:rsidR="00F10A24" w:rsidRPr="004C3C3B">
              <w:rPr>
                <w:rFonts w:ascii="Arial" w:hAnsi="Arial" w:cs="Arial"/>
                <w:noProof/>
                <w:webHidden/>
                <w:color w:val="002060"/>
                <w:sz w:val="24"/>
                <w:szCs w:val="24"/>
              </w:rPr>
              <w:tab/>
            </w:r>
            <w:r w:rsidR="00F10A24" w:rsidRPr="004C3C3B">
              <w:rPr>
                <w:rFonts w:ascii="Arial" w:hAnsi="Arial" w:cs="Arial"/>
                <w:noProof/>
                <w:webHidden/>
                <w:color w:val="002060"/>
                <w:sz w:val="24"/>
                <w:szCs w:val="24"/>
              </w:rPr>
              <w:fldChar w:fldCharType="begin"/>
            </w:r>
            <w:r w:rsidR="00F10A24" w:rsidRPr="004C3C3B">
              <w:rPr>
                <w:rFonts w:ascii="Arial" w:hAnsi="Arial" w:cs="Arial"/>
                <w:noProof/>
                <w:webHidden/>
                <w:color w:val="002060"/>
                <w:sz w:val="24"/>
                <w:szCs w:val="24"/>
              </w:rPr>
              <w:instrText xml:space="preserve"> PAGEREF _Toc147405688 \h </w:instrText>
            </w:r>
            <w:r w:rsidR="00F10A24" w:rsidRPr="004C3C3B">
              <w:rPr>
                <w:rFonts w:ascii="Arial" w:hAnsi="Arial" w:cs="Arial"/>
                <w:noProof/>
                <w:webHidden/>
                <w:color w:val="002060"/>
                <w:sz w:val="24"/>
                <w:szCs w:val="24"/>
              </w:rPr>
            </w:r>
            <w:r w:rsidR="00F10A24" w:rsidRPr="004C3C3B">
              <w:rPr>
                <w:rFonts w:ascii="Arial" w:hAnsi="Arial" w:cs="Arial"/>
                <w:noProof/>
                <w:webHidden/>
                <w:color w:val="002060"/>
                <w:sz w:val="24"/>
                <w:szCs w:val="24"/>
              </w:rPr>
              <w:fldChar w:fldCharType="separate"/>
            </w:r>
            <w:r>
              <w:rPr>
                <w:rFonts w:ascii="Arial" w:hAnsi="Arial" w:cs="Arial"/>
                <w:noProof/>
                <w:webHidden/>
                <w:color w:val="002060"/>
                <w:sz w:val="24"/>
                <w:szCs w:val="24"/>
              </w:rPr>
              <w:t>3</w:t>
            </w:r>
            <w:r w:rsidR="00F10A24" w:rsidRPr="004C3C3B">
              <w:rPr>
                <w:rFonts w:ascii="Arial" w:hAnsi="Arial" w:cs="Arial"/>
                <w:noProof/>
                <w:webHidden/>
                <w:color w:val="002060"/>
                <w:sz w:val="24"/>
                <w:szCs w:val="24"/>
              </w:rPr>
              <w:fldChar w:fldCharType="end"/>
            </w:r>
          </w:hyperlink>
        </w:p>
        <w:p w:rsidR="00F10A24" w:rsidRPr="004C3C3B" w:rsidRDefault="001F002D" w:rsidP="00F10A24">
          <w:pPr>
            <w:pStyle w:val="TOC1"/>
            <w:tabs>
              <w:tab w:val="right" w:leader="dot" w:pos="9016"/>
            </w:tabs>
            <w:rPr>
              <w:rFonts w:ascii="Arial" w:hAnsi="Arial" w:cs="Arial"/>
              <w:noProof/>
              <w:color w:val="002060"/>
              <w:sz w:val="24"/>
              <w:szCs w:val="24"/>
              <w:lang w:val="en-GB" w:eastAsia="en-GB"/>
            </w:rPr>
          </w:pPr>
          <w:hyperlink w:anchor="_Toc147405689" w:history="1">
            <w:r w:rsidR="00F10A24" w:rsidRPr="004C3C3B">
              <w:rPr>
                <w:rStyle w:val="Hyperlink"/>
                <w:rFonts w:ascii="Arial" w:hAnsi="Arial" w:cs="Arial"/>
                <w:noProof/>
                <w:color w:val="002060"/>
                <w:sz w:val="24"/>
                <w:szCs w:val="24"/>
              </w:rPr>
              <w:t>Vision and Mission</w:t>
            </w:r>
            <w:r w:rsidR="00F10A24" w:rsidRPr="004C3C3B">
              <w:rPr>
                <w:rFonts w:ascii="Arial" w:hAnsi="Arial" w:cs="Arial"/>
                <w:noProof/>
                <w:webHidden/>
                <w:color w:val="002060"/>
                <w:sz w:val="24"/>
                <w:szCs w:val="24"/>
              </w:rPr>
              <w:tab/>
            </w:r>
            <w:r w:rsidR="00F10A24" w:rsidRPr="004C3C3B">
              <w:rPr>
                <w:rFonts w:ascii="Arial" w:hAnsi="Arial" w:cs="Arial"/>
                <w:noProof/>
                <w:webHidden/>
                <w:color w:val="002060"/>
                <w:sz w:val="24"/>
                <w:szCs w:val="24"/>
              </w:rPr>
              <w:fldChar w:fldCharType="begin"/>
            </w:r>
            <w:r w:rsidR="00F10A24" w:rsidRPr="004C3C3B">
              <w:rPr>
                <w:rFonts w:ascii="Arial" w:hAnsi="Arial" w:cs="Arial"/>
                <w:noProof/>
                <w:webHidden/>
                <w:color w:val="002060"/>
                <w:sz w:val="24"/>
                <w:szCs w:val="24"/>
              </w:rPr>
              <w:instrText xml:space="preserve"> PAGEREF _Toc147405689 \h </w:instrText>
            </w:r>
            <w:r w:rsidR="00F10A24" w:rsidRPr="004C3C3B">
              <w:rPr>
                <w:rFonts w:ascii="Arial" w:hAnsi="Arial" w:cs="Arial"/>
                <w:noProof/>
                <w:webHidden/>
                <w:color w:val="002060"/>
                <w:sz w:val="24"/>
                <w:szCs w:val="24"/>
              </w:rPr>
            </w:r>
            <w:r w:rsidR="00F10A24" w:rsidRPr="004C3C3B">
              <w:rPr>
                <w:rFonts w:ascii="Arial" w:hAnsi="Arial" w:cs="Arial"/>
                <w:noProof/>
                <w:webHidden/>
                <w:color w:val="002060"/>
                <w:sz w:val="24"/>
                <w:szCs w:val="24"/>
              </w:rPr>
              <w:fldChar w:fldCharType="separate"/>
            </w:r>
            <w:r>
              <w:rPr>
                <w:rFonts w:ascii="Arial" w:hAnsi="Arial" w:cs="Arial"/>
                <w:noProof/>
                <w:webHidden/>
                <w:color w:val="002060"/>
                <w:sz w:val="24"/>
                <w:szCs w:val="24"/>
              </w:rPr>
              <w:t>4</w:t>
            </w:r>
            <w:r w:rsidR="00F10A24" w:rsidRPr="004C3C3B">
              <w:rPr>
                <w:rFonts w:ascii="Arial" w:hAnsi="Arial" w:cs="Arial"/>
                <w:noProof/>
                <w:webHidden/>
                <w:color w:val="002060"/>
                <w:sz w:val="24"/>
                <w:szCs w:val="24"/>
              </w:rPr>
              <w:fldChar w:fldCharType="end"/>
            </w:r>
          </w:hyperlink>
        </w:p>
        <w:p w:rsidR="00F10A24" w:rsidRPr="004C3C3B" w:rsidRDefault="001F002D" w:rsidP="00F10A24">
          <w:pPr>
            <w:pStyle w:val="TOC1"/>
            <w:tabs>
              <w:tab w:val="right" w:leader="dot" w:pos="9016"/>
            </w:tabs>
            <w:rPr>
              <w:rFonts w:ascii="Arial" w:hAnsi="Arial" w:cs="Arial"/>
              <w:noProof/>
              <w:color w:val="002060"/>
              <w:sz w:val="24"/>
              <w:szCs w:val="24"/>
              <w:lang w:val="en-GB" w:eastAsia="en-GB"/>
            </w:rPr>
          </w:pPr>
          <w:hyperlink w:anchor="_Toc147405690" w:history="1">
            <w:r w:rsidR="00F10A24" w:rsidRPr="004C3C3B">
              <w:rPr>
                <w:rStyle w:val="Hyperlink"/>
                <w:rFonts w:ascii="Arial" w:hAnsi="Arial" w:cs="Arial"/>
                <w:noProof/>
                <w:color w:val="002060"/>
                <w:sz w:val="24"/>
                <w:szCs w:val="24"/>
              </w:rPr>
              <w:t>Aims and Activities linked to the Theory of C</w:t>
            </w:r>
            <w:r w:rsidR="004C1478" w:rsidRPr="004C3C3B">
              <w:rPr>
                <w:rStyle w:val="Hyperlink"/>
                <w:rFonts w:ascii="Arial" w:hAnsi="Arial" w:cs="Arial"/>
                <w:noProof/>
                <w:color w:val="002060"/>
                <w:sz w:val="24"/>
                <w:szCs w:val="24"/>
              </w:rPr>
              <w:t>hange (ToC</w:t>
            </w:r>
            <w:r w:rsidR="00F10A24" w:rsidRPr="004C3C3B">
              <w:rPr>
                <w:rStyle w:val="Hyperlink"/>
                <w:rFonts w:ascii="Arial" w:hAnsi="Arial" w:cs="Arial"/>
                <w:noProof/>
                <w:color w:val="002060"/>
                <w:sz w:val="24"/>
                <w:szCs w:val="24"/>
              </w:rPr>
              <w:t>)</w:t>
            </w:r>
            <w:r w:rsidR="00F10A24" w:rsidRPr="004C3C3B">
              <w:rPr>
                <w:rFonts w:ascii="Arial" w:hAnsi="Arial" w:cs="Arial"/>
                <w:noProof/>
                <w:webHidden/>
                <w:color w:val="002060"/>
                <w:sz w:val="24"/>
                <w:szCs w:val="24"/>
              </w:rPr>
              <w:tab/>
            </w:r>
            <w:r w:rsidR="00F10A24" w:rsidRPr="004C3C3B">
              <w:rPr>
                <w:rFonts w:ascii="Arial" w:hAnsi="Arial" w:cs="Arial"/>
                <w:noProof/>
                <w:webHidden/>
                <w:color w:val="002060"/>
                <w:sz w:val="24"/>
                <w:szCs w:val="24"/>
              </w:rPr>
              <w:fldChar w:fldCharType="begin"/>
            </w:r>
            <w:r w:rsidR="00F10A24" w:rsidRPr="004C3C3B">
              <w:rPr>
                <w:rFonts w:ascii="Arial" w:hAnsi="Arial" w:cs="Arial"/>
                <w:noProof/>
                <w:webHidden/>
                <w:color w:val="002060"/>
                <w:sz w:val="24"/>
                <w:szCs w:val="24"/>
              </w:rPr>
              <w:instrText xml:space="preserve"> PAGEREF _Toc147405690 \h </w:instrText>
            </w:r>
            <w:r w:rsidR="00F10A24" w:rsidRPr="004C3C3B">
              <w:rPr>
                <w:rFonts w:ascii="Arial" w:hAnsi="Arial" w:cs="Arial"/>
                <w:noProof/>
                <w:webHidden/>
                <w:color w:val="002060"/>
                <w:sz w:val="24"/>
                <w:szCs w:val="24"/>
              </w:rPr>
            </w:r>
            <w:r w:rsidR="00F10A24" w:rsidRPr="004C3C3B">
              <w:rPr>
                <w:rFonts w:ascii="Arial" w:hAnsi="Arial" w:cs="Arial"/>
                <w:noProof/>
                <w:webHidden/>
                <w:color w:val="002060"/>
                <w:sz w:val="24"/>
                <w:szCs w:val="24"/>
              </w:rPr>
              <w:fldChar w:fldCharType="separate"/>
            </w:r>
            <w:r>
              <w:rPr>
                <w:rFonts w:ascii="Arial" w:hAnsi="Arial" w:cs="Arial"/>
                <w:noProof/>
                <w:webHidden/>
                <w:color w:val="002060"/>
                <w:sz w:val="24"/>
                <w:szCs w:val="24"/>
              </w:rPr>
              <w:t>4</w:t>
            </w:r>
            <w:r w:rsidR="00F10A24" w:rsidRPr="004C3C3B">
              <w:rPr>
                <w:rFonts w:ascii="Arial" w:hAnsi="Arial" w:cs="Arial"/>
                <w:noProof/>
                <w:webHidden/>
                <w:color w:val="002060"/>
                <w:sz w:val="24"/>
                <w:szCs w:val="24"/>
              </w:rPr>
              <w:fldChar w:fldCharType="end"/>
            </w:r>
          </w:hyperlink>
        </w:p>
        <w:p w:rsidR="00F10A24" w:rsidRPr="004C3C3B" w:rsidRDefault="001F002D" w:rsidP="00F10A24">
          <w:pPr>
            <w:pStyle w:val="TOC1"/>
            <w:tabs>
              <w:tab w:val="right" w:leader="dot" w:pos="9016"/>
            </w:tabs>
            <w:rPr>
              <w:rFonts w:ascii="Arial" w:hAnsi="Arial" w:cs="Arial"/>
              <w:noProof/>
              <w:color w:val="002060"/>
              <w:sz w:val="24"/>
              <w:szCs w:val="24"/>
              <w:lang w:val="en-GB" w:eastAsia="en-GB"/>
            </w:rPr>
          </w:pPr>
          <w:hyperlink w:anchor="_Toc147405692" w:history="1">
            <w:r w:rsidR="00F10A24" w:rsidRPr="004C3C3B">
              <w:rPr>
                <w:rStyle w:val="Hyperlink"/>
                <w:rFonts w:ascii="Arial" w:hAnsi="Arial" w:cs="Arial"/>
                <w:noProof/>
                <w:color w:val="002060"/>
                <w:sz w:val="24"/>
                <w:szCs w:val="24"/>
              </w:rPr>
              <w:t>Outcomes Based Performan</w:t>
            </w:r>
            <w:r w:rsidR="00CA77A5">
              <w:rPr>
                <w:rStyle w:val="Hyperlink"/>
                <w:rFonts w:ascii="Arial" w:hAnsi="Arial" w:cs="Arial"/>
                <w:noProof/>
                <w:color w:val="002060"/>
                <w:sz w:val="24"/>
                <w:szCs w:val="24"/>
              </w:rPr>
              <w:t>ce Framework</w:t>
            </w:r>
            <w:r w:rsidR="00F10A24" w:rsidRPr="004C3C3B">
              <w:rPr>
                <w:rFonts w:ascii="Arial" w:hAnsi="Arial" w:cs="Arial"/>
                <w:noProof/>
                <w:webHidden/>
                <w:color w:val="002060"/>
                <w:sz w:val="24"/>
                <w:szCs w:val="24"/>
              </w:rPr>
              <w:tab/>
            </w:r>
            <w:r w:rsidR="00F10A24" w:rsidRPr="004C3C3B">
              <w:rPr>
                <w:rFonts w:ascii="Arial" w:hAnsi="Arial" w:cs="Arial"/>
                <w:noProof/>
                <w:webHidden/>
                <w:color w:val="002060"/>
                <w:sz w:val="24"/>
                <w:szCs w:val="24"/>
              </w:rPr>
              <w:fldChar w:fldCharType="begin"/>
            </w:r>
            <w:r w:rsidR="00F10A24" w:rsidRPr="004C3C3B">
              <w:rPr>
                <w:rFonts w:ascii="Arial" w:hAnsi="Arial" w:cs="Arial"/>
                <w:noProof/>
                <w:webHidden/>
                <w:color w:val="002060"/>
                <w:sz w:val="24"/>
                <w:szCs w:val="24"/>
              </w:rPr>
              <w:instrText xml:space="preserve"> PAGEREF _Toc147405692 \h </w:instrText>
            </w:r>
            <w:r w:rsidR="00F10A24" w:rsidRPr="004C3C3B">
              <w:rPr>
                <w:rFonts w:ascii="Arial" w:hAnsi="Arial" w:cs="Arial"/>
                <w:noProof/>
                <w:webHidden/>
                <w:color w:val="002060"/>
                <w:sz w:val="24"/>
                <w:szCs w:val="24"/>
              </w:rPr>
            </w:r>
            <w:r w:rsidR="00F10A24" w:rsidRPr="004C3C3B">
              <w:rPr>
                <w:rFonts w:ascii="Arial" w:hAnsi="Arial" w:cs="Arial"/>
                <w:noProof/>
                <w:webHidden/>
                <w:color w:val="002060"/>
                <w:sz w:val="24"/>
                <w:szCs w:val="24"/>
              </w:rPr>
              <w:fldChar w:fldCharType="separate"/>
            </w:r>
            <w:r>
              <w:rPr>
                <w:rFonts w:ascii="Arial" w:hAnsi="Arial" w:cs="Arial"/>
                <w:noProof/>
                <w:webHidden/>
                <w:color w:val="002060"/>
                <w:sz w:val="24"/>
                <w:szCs w:val="24"/>
              </w:rPr>
              <w:t>6</w:t>
            </w:r>
            <w:r w:rsidR="00F10A24" w:rsidRPr="004C3C3B">
              <w:rPr>
                <w:rFonts w:ascii="Arial" w:hAnsi="Arial" w:cs="Arial"/>
                <w:noProof/>
                <w:webHidden/>
                <w:color w:val="002060"/>
                <w:sz w:val="24"/>
                <w:szCs w:val="24"/>
              </w:rPr>
              <w:fldChar w:fldCharType="end"/>
            </w:r>
          </w:hyperlink>
        </w:p>
        <w:p w:rsidR="00F10A24" w:rsidRPr="004C3C3B" w:rsidRDefault="001F002D" w:rsidP="00F10A24">
          <w:pPr>
            <w:pStyle w:val="TOC1"/>
            <w:tabs>
              <w:tab w:val="right" w:leader="dot" w:pos="9016"/>
            </w:tabs>
            <w:rPr>
              <w:rFonts w:ascii="Arial" w:hAnsi="Arial" w:cs="Arial"/>
              <w:noProof/>
              <w:color w:val="002060"/>
              <w:sz w:val="24"/>
              <w:szCs w:val="24"/>
              <w:lang w:val="en-GB" w:eastAsia="en-GB"/>
            </w:rPr>
          </w:pPr>
          <w:hyperlink w:anchor="_Toc147405693" w:history="1">
            <w:r w:rsidR="00F10A24" w:rsidRPr="004C3C3B">
              <w:rPr>
                <w:rStyle w:val="Hyperlink"/>
                <w:rFonts w:ascii="Arial" w:hAnsi="Arial" w:cs="Arial"/>
                <w:noProof/>
                <w:color w:val="002060"/>
                <w:sz w:val="24"/>
                <w:szCs w:val="24"/>
              </w:rPr>
              <w:t>Partner Responsibilities</w:t>
            </w:r>
            <w:r w:rsidR="00F10A24" w:rsidRPr="004C3C3B">
              <w:rPr>
                <w:rFonts w:ascii="Arial" w:hAnsi="Arial" w:cs="Arial"/>
                <w:noProof/>
                <w:webHidden/>
                <w:color w:val="002060"/>
                <w:sz w:val="24"/>
                <w:szCs w:val="24"/>
              </w:rPr>
              <w:tab/>
            </w:r>
            <w:r w:rsidR="00F10A24" w:rsidRPr="004C3C3B">
              <w:rPr>
                <w:rFonts w:ascii="Arial" w:hAnsi="Arial" w:cs="Arial"/>
                <w:noProof/>
                <w:webHidden/>
                <w:color w:val="002060"/>
                <w:sz w:val="24"/>
                <w:szCs w:val="24"/>
              </w:rPr>
              <w:fldChar w:fldCharType="begin"/>
            </w:r>
            <w:r w:rsidR="00F10A24" w:rsidRPr="004C3C3B">
              <w:rPr>
                <w:rFonts w:ascii="Arial" w:hAnsi="Arial" w:cs="Arial"/>
                <w:noProof/>
                <w:webHidden/>
                <w:color w:val="002060"/>
                <w:sz w:val="24"/>
                <w:szCs w:val="24"/>
              </w:rPr>
              <w:instrText xml:space="preserve"> PAGEREF _Toc147405693 \h </w:instrText>
            </w:r>
            <w:r w:rsidR="00F10A24" w:rsidRPr="004C3C3B">
              <w:rPr>
                <w:rFonts w:ascii="Arial" w:hAnsi="Arial" w:cs="Arial"/>
                <w:noProof/>
                <w:webHidden/>
                <w:color w:val="002060"/>
                <w:sz w:val="24"/>
                <w:szCs w:val="24"/>
              </w:rPr>
            </w:r>
            <w:r w:rsidR="00F10A24" w:rsidRPr="004C3C3B">
              <w:rPr>
                <w:rFonts w:ascii="Arial" w:hAnsi="Arial" w:cs="Arial"/>
                <w:noProof/>
                <w:webHidden/>
                <w:color w:val="002060"/>
                <w:sz w:val="24"/>
                <w:szCs w:val="24"/>
              </w:rPr>
              <w:fldChar w:fldCharType="separate"/>
            </w:r>
            <w:r>
              <w:rPr>
                <w:rFonts w:ascii="Arial" w:hAnsi="Arial" w:cs="Arial"/>
                <w:noProof/>
                <w:webHidden/>
                <w:color w:val="002060"/>
                <w:sz w:val="24"/>
                <w:szCs w:val="24"/>
              </w:rPr>
              <w:t>8</w:t>
            </w:r>
            <w:r w:rsidR="00F10A24" w:rsidRPr="004C3C3B">
              <w:rPr>
                <w:rFonts w:ascii="Arial" w:hAnsi="Arial" w:cs="Arial"/>
                <w:noProof/>
                <w:webHidden/>
                <w:color w:val="002060"/>
                <w:sz w:val="24"/>
                <w:szCs w:val="24"/>
              </w:rPr>
              <w:fldChar w:fldCharType="end"/>
            </w:r>
          </w:hyperlink>
        </w:p>
        <w:p w:rsidR="00F10A24" w:rsidRPr="004C3C3B" w:rsidRDefault="001F002D" w:rsidP="00F10A24">
          <w:pPr>
            <w:pStyle w:val="TOC1"/>
            <w:tabs>
              <w:tab w:val="right" w:leader="dot" w:pos="9016"/>
            </w:tabs>
            <w:rPr>
              <w:rFonts w:ascii="Arial" w:hAnsi="Arial" w:cs="Arial"/>
              <w:noProof/>
              <w:color w:val="002060"/>
              <w:sz w:val="24"/>
              <w:szCs w:val="24"/>
              <w:lang w:val="en-GB" w:eastAsia="en-GB"/>
            </w:rPr>
          </w:pPr>
          <w:hyperlink w:anchor="_Toc147405694" w:history="1">
            <w:r w:rsidR="00F10A24" w:rsidRPr="004C3C3B">
              <w:rPr>
                <w:rStyle w:val="Hyperlink"/>
                <w:rFonts w:ascii="Arial" w:hAnsi="Arial" w:cs="Arial"/>
                <w:noProof/>
                <w:color w:val="002060"/>
                <w:sz w:val="24"/>
                <w:szCs w:val="24"/>
              </w:rPr>
              <w:t>Reporting Relationships</w:t>
            </w:r>
            <w:r w:rsidR="00F10A24" w:rsidRPr="004C3C3B">
              <w:rPr>
                <w:rFonts w:ascii="Arial" w:hAnsi="Arial" w:cs="Arial"/>
                <w:noProof/>
                <w:webHidden/>
                <w:color w:val="002060"/>
                <w:sz w:val="24"/>
                <w:szCs w:val="24"/>
              </w:rPr>
              <w:tab/>
            </w:r>
            <w:r w:rsidR="00F10A24" w:rsidRPr="004C3C3B">
              <w:rPr>
                <w:rFonts w:ascii="Arial" w:hAnsi="Arial" w:cs="Arial"/>
                <w:noProof/>
                <w:webHidden/>
                <w:color w:val="002060"/>
                <w:sz w:val="24"/>
                <w:szCs w:val="24"/>
              </w:rPr>
              <w:fldChar w:fldCharType="begin"/>
            </w:r>
            <w:r w:rsidR="00F10A24" w:rsidRPr="004C3C3B">
              <w:rPr>
                <w:rFonts w:ascii="Arial" w:hAnsi="Arial" w:cs="Arial"/>
                <w:noProof/>
                <w:webHidden/>
                <w:color w:val="002060"/>
                <w:sz w:val="24"/>
                <w:szCs w:val="24"/>
              </w:rPr>
              <w:instrText xml:space="preserve"> PAGEREF _Toc147405694 \h </w:instrText>
            </w:r>
            <w:r w:rsidR="00F10A24" w:rsidRPr="004C3C3B">
              <w:rPr>
                <w:rFonts w:ascii="Arial" w:hAnsi="Arial" w:cs="Arial"/>
                <w:noProof/>
                <w:webHidden/>
                <w:color w:val="002060"/>
                <w:sz w:val="24"/>
                <w:szCs w:val="24"/>
              </w:rPr>
            </w:r>
            <w:r w:rsidR="00F10A24" w:rsidRPr="004C3C3B">
              <w:rPr>
                <w:rFonts w:ascii="Arial" w:hAnsi="Arial" w:cs="Arial"/>
                <w:noProof/>
                <w:webHidden/>
                <w:color w:val="002060"/>
                <w:sz w:val="24"/>
                <w:szCs w:val="24"/>
              </w:rPr>
              <w:fldChar w:fldCharType="separate"/>
            </w:r>
            <w:r>
              <w:rPr>
                <w:rFonts w:ascii="Arial" w:hAnsi="Arial" w:cs="Arial"/>
                <w:noProof/>
                <w:webHidden/>
                <w:color w:val="002060"/>
                <w:sz w:val="24"/>
                <w:szCs w:val="24"/>
              </w:rPr>
              <w:t>9</w:t>
            </w:r>
            <w:r w:rsidR="00F10A24" w:rsidRPr="004C3C3B">
              <w:rPr>
                <w:rFonts w:ascii="Arial" w:hAnsi="Arial" w:cs="Arial"/>
                <w:noProof/>
                <w:webHidden/>
                <w:color w:val="002060"/>
                <w:sz w:val="24"/>
                <w:szCs w:val="24"/>
              </w:rPr>
              <w:fldChar w:fldCharType="end"/>
            </w:r>
          </w:hyperlink>
        </w:p>
        <w:p w:rsidR="00F10A24" w:rsidRPr="004C3C3B" w:rsidRDefault="001F002D" w:rsidP="00F10A24">
          <w:pPr>
            <w:pStyle w:val="TOC1"/>
            <w:tabs>
              <w:tab w:val="right" w:leader="dot" w:pos="9016"/>
            </w:tabs>
            <w:rPr>
              <w:rFonts w:ascii="Arial" w:hAnsi="Arial" w:cs="Arial"/>
              <w:noProof/>
              <w:color w:val="002060"/>
              <w:sz w:val="24"/>
              <w:szCs w:val="24"/>
              <w:lang w:val="en-GB" w:eastAsia="en-GB"/>
            </w:rPr>
          </w:pPr>
          <w:hyperlink w:anchor="_Toc147405695" w:history="1">
            <w:r w:rsidR="00F10A24" w:rsidRPr="004C3C3B">
              <w:rPr>
                <w:rStyle w:val="Hyperlink"/>
                <w:rFonts w:ascii="Arial" w:hAnsi="Arial" w:cs="Arial"/>
                <w:noProof/>
                <w:color w:val="002060"/>
                <w:sz w:val="24"/>
                <w:szCs w:val="24"/>
              </w:rPr>
              <w:t>Meeting Frequency and Format</w:t>
            </w:r>
            <w:r w:rsidR="00F10A24" w:rsidRPr="004C3C3B">
              <w:rPr>
                <w:rFonts w:ascii="Arial" w:hAnsi="Arial" w:cs="Arial"/>
                <w:noProof/>
                <w:webHidden/>
                <w:color w:val="002060"/>
                <w:sz w:val="24"/>
                <w:szCs w:val="24"/>
              </w:rPr>
              <w:tab/>
            </w:r>
            <w:r w:rsidR="00F10A24" w:rsidRPr="004C3C3B">
              <w:rPr>
                <w:rFonts w:ascii="Arial" w:hAnsi="Arial" w:cs="Arial"/>
                <w:noProof/>
                <w:webHidden/>
                <w:color w:val="002060"/>
                <w:sz w:val="24"/>
                <w:szCs w:val="24"/>
              </w:rPr>
              <w:fldChar w:fldCharType="begin"/>
            </w:r>
            <w:r w:rsidR="00F10A24" w:rsidRPr="004C3C3B">
              <w:rPr>
                <w:rFonts w:ascii="Arial" w:hAnsi="Arial" w:cs="Arial"/>
                <w:noProof/>
                <w:webHidden/>
                <w:color w:val="002060"/>
                <w:sz w:val="24"/>
                <w:szCs w:val="24"/>
              </w:rPr>
              <w:instrText xml:space="preserve"> PAGEREF _Toc147405695 \h </w:instrText>
            </w:r>
            <w:r w:rsidR="00F10A24" w:rsidRPr="004C3C3B">
              <w:rPr>
                <w:rFonts w:ascii="Arial" w:hAnsi="Arial" w:cs="Arial"/>
                <w:noProof/>
                <w:webHidden/>
                <w:color w:val="002060"/>
                <w:sz w:val="24"/>
                <w:szCs w:val="24"/>
              </w:rPr>
            </w:r>
            <w:r w:rsidR="00F10A24" w:rsidRPr="004C3C3B">
              <w:rPr>
                <w:rFonts w:ascii="Arial" w:hAnsi="Arial" w:cs="Arial"/>
                <w:noProof/>
                <w:webHidden/>
                <w:color w:val="002060"/>
                <w:sz w:val="24"/>
                <w:szCs w:val="24"/>
              </w:rPr>
              <w:fldChar w:fldCharType="separate"/>
            </w:r>
            <w:r>
              <w:rPr>
                <w:rFonts w:ascii="Arial" w:hAnsi="Arial" w:cs="Arial"/>
                <w:noProof/>
                <w:webHidden/>
                <w:color w:val="002060"/>
                <w:sz w:val="24"/>
                <w:szCs w:val="24"/>
              </w:rPr>
              <w:t>9</w:t>
            </w:r>
            <w:r w:rsidR="00F10A24" w:rsidRPr="004C3C3B">
              <w:rPr>
                <w:rFonts w:ascii="Arial" w:hAnsi="Arial" w:cs="Arial"/>
                <w:noProof/>
                <w:webHidden/>
                <w:color w:val="002060"/>
                <w:sz w:val="24"/>
                <w:szCs w:val="24"/>
              </w:rPr>
              <w:fldChar w:fldCharType="end"/>
            </w:r>
          </w:hyperlink>
        </w:p>
        <w:p w:rsidR="00F10A24" w:rsidRPr="00C92113" w:rsidRDefault="001F002D" w:rsidP="00F10A24">
          <w:pPr>
            <w:pStyle w:val="TOC1"/>
            <w:tabs>
              <w:tab w:val="right" w:leader="dot" w:pos="9016"/>
            </w:tabs>
            <w:rPr>
              <w:rFonts w:ascii="Arial" w:hAnsi="Arial" w:cs="Arial"/>
              <w:noProof/>
              <w:sz w:val="24"/>
              <w:szCs w:val="24"/>
              <w:lang w:val="en-GB" w:eastAsia="en-GB"/>
            </w:rPr>
          </w:pPr>
          <w:hyperlink w:anchor="_Toc147405696" w:history="1">
            <w:r w:rsidR="00F10A24" w:rsidRPr="004C3C3B">
              <w:rPr>
                <w:rStyle w:val="Hyperlink"/>
                <w:rFonts w:ascii="Arial" w:hAnsi="Arial" w:cs="Arial"/>
                <w:noProof/>
                <w:color w:val="002060"/>
                <w:sz w:val="24"/>
                <w:szCs w:val="24"/>
              </w:rPr>
              <w:t>Administration</w:t>
            </w:r>
            <w:r w:rsidR="00F10A24" w:rsidRPr="004C3C3B">
              <w:rPr>
                <w:rFonts w:ascii="Arial" w:hAnsi="Arial" w:cs="Arial"/>
                <w:noProof/>
                <w:webHidden/>
                <w:color w:val="002060"/>
                <w:sz w:val="24"/>
                <w:szCs w:val="24"/>
              </w:rPr>
              <w:tab/>
            </w:r>
            <w:r w:rsidR="00F10A24" w:rsidRPr="004C3C3B">
              <w:rPr>
                <w:rFonts w:ascii="Arial" w:hAnsi="Arial" w:cs="Arial"/>
                <w:noProof/>
                <w:webHidden/>
                <w:color w:val="002060"/>
                <w:sz w:val="24"/>
                <w:szCs w:val="24"/>
              </w:rPr>
              <w:fldChar w:fldCharType="begin"/>
            </w:r>
            <w:r w:rsidR="00F10A24" w:rsidRPr="004C3C3B">
              <w:rPr>
                <w:rFonts w:ascii="Arial" w:hAnsi="Arial" w:cs="Arial"/>
                <w:noProof/>
                <w:webHidden/>
                <w:color w:val="002060"/>
                <w:sz w:val="24"/>
                <w:szCs w:val="24"/>
              </w:rPr>
              <w:instrText xml:space="preserve"> PAGEREF _Toc147405696 \h </w:instrText>
            </w:r>
            <w:r w:rsidR="00F10A24" w:rsidRPr="004C3C3B">
              <w:rPr>
                <w:rFonts w:ascii="Arial" w:hAnsi="Arial" w:cs="Arial"/>
                <w:noProof/>
                <w:webHidden/>
                <w:color w:val="002060"/>
                <w:sz w:val="24"/>
                <w:szCs w:val="24"/>
              </w:rPr>
            </w:r>
            <w:r w:rsidR="00F10A24" w:rsidRPr="004C3C3B">
              <w:rPr>
                <w:rFonts w:ascii="Arial" w:hAnsi="Arial" w:cs="Arial"/>
                <w:noProof/>
                <w:webHidden/>
                <w:color w:val="002060"/>
                <w:sz w:val="24"/>
                <w:szCs w:val="24"/>
              </w:rPr>
              <w:fldChar w:fldCharType="separate"/>
            </w:r>
            <w:r>
              <w:rPr>
                <w:rFonts w:ascii="Arial" w:hAnsi="Arial" w:cs="Arial"/>
                <w:noProof/>
                <w:webHidden/>
                <w:color w:val="002060"/>
                <w:sz w:val="24"/>
                <w:szCs w:val="24"/>
              </w:rPr>
              <w:t>9</w:t>
            </w:r>
            <w:r w:rsidR="00F10A24" w:rsidRPr="004C3C3B">
              <w:rPr>
                <w:rFonts w:ascii="Arial" w:hAnsi="Arial" w:cs="Arial"/>
                <w:noProof/>
                <w:webHidden/>
                <w:color w:val="002060"/>
                <w:sz w:val="24"/>
                <w:szCs w:val="24"/>
              </w:rPr>
              <w:fldChar w:fldCharType="end"/>
            </w:r>
          </w:hyperlink>
        </w:p>
        <w:p w:rsidR="00F10A24" w:rsidRPr="00C92113" w:rsidRDefault="00F10A24" w:rsidP="00F10A24">
          <w:pPr>
            <w:rPr>
              <w:b/>
              <w:bCs/>
              <w:noProof/>
              <w:sz w:val="24"/>
              <w:szCs w:val="24"/>
            </w:rPr>
          </w:pPr>
          <w:r w:rsidRPr="00C92113">
            <w:rPr>
              <w:rFonts w:eastAsiaTheme="minorEastAsia" w:cs="Arial"/>
              <w:sz w:val="24"/>
              <w:szCs w:val="24"/>
              <w:lang w:val="en-US"/>
            </w:rPr>
            <w:fldChar w:fldCharType="end"/>
          </w:r>
        </w:p>
      </w:sdtContent>
    </w:sdt>
    <w:p w:rsidR="004C1478" w:rsidRPr="00C92113" w:rsidRDefault="00D820BB" w:rsidP="004C1478">
      <w:pPr>
        <w:rPr>
          <w:sz w:val="24"/>
          <w:szCs w:val="24"/>
        </w:rPr>
      </w:pPr>
      <w:r w:rsidRPr="00D820BB">
        <w:rPr>
          <w:color w:val="002060"/>
          <w:sz w:val="24"/>
          <w:szCs w:val="24"/>
        </w:rPr>
        <w:t xml:space="preserve">Cover photo: Logo </w:t>
      </w:r>
      <w:r w:rsidR="00F10A24" w:rsidRPr="00C92113">
        <w:rPr>
          <w:sz w:val="24"/>
          <w:szCs w:val="24"/>
        </w:rPr>
        <w:br w:type="page"/>
      </w:r>
      <w:bookmarkStart w:id="1" w:name="_Toc147405688"/>
    </w:p>
    <w:bookmarkEnd w:id="1"/>
    <w:p w:rsidR="001F002D" w:rsidRPr="00C92113" w:rsidRDefault="00F10A24" w:rsidP="001F002D">
      <w:pPr>
        <w:pStyle w:val="Heading1"/>
        <w:rPr>
          <w:sz w:val="24"/>
          <w:szCs w:val="24"/>
        </w:rPr>
      </w:pPr>
      <w:r w:rsidRPr="00A440C1">
        <w:rPr>
          <w:color w:val="002060"/>
          <w:sz w:val="24"/>
          <w:szCs w:val="24"/>
        </w:rPr>
        <w:lastRenderedPageBreak/>
        <w:t xml:space="preserve"> </w:t>
      </w:r>
      <w:r w:rsidR="001F002D" w:rsidRPr="00C92113">
        <w:rPr>
          <w:sz w:val="24"/>
          <w:szCs w:val="24"/>
        </w:rPr>
        <w:t>introduction</w:t>
      </w:r>
    </w:p>
    <w:p w:rsidR="001F002D" w:rsidRPr="004C3C3B" w:rsidRDefault="001F002D" w:rsidP="001F002D">
      <w:pPr>
        <w:rPr>
          <w:rFonts w:cstheme="minorHAnsi"/>
          <w:color w:val="002060"/>
          <w:sz w:val="24"/>
          <w:szCs w:val="24"/>
        </w:rPr>
      </w:pPr>
      <w:r w:rsidRPr="004C3C3B">
        <w:rPr>
          <w:rFonts w:cstheme="minorHAnsi"/>
          <w:color w:val="002060"/>
          <w:sz w:val="24"/>
          <w:szCs w:val="24"/>
        </w:rPr>
        <w:t>The Strategic Violence Reduction Partnership (SVRP) has been established to develop and deliver a Strategy to address the root causes of serio</w:t>
      </w:r>
      <w:r>
        <w:rPr>
          <w:rFonts w:cstheme="minorHAnsi"/>
          <w:color w:val="002060"/>
          <w:sz w:val="24"/>
          <w:szCs w:val="24"/>
        </w:rPr>
        <w:t xml:space="preserve">us violence in our communities, </w:t>
      </w:r>
      <w:r w:rsidRPr="00EF30FF">
        <w:rPr>
          <w:rFonts w:cstheme="minorHAnsi"/>
          <w:color w:val="002060"/>
          <w:sz w:val="24"/>
          <w:szCs w:val="24"/>
        </w:rPr>
        <w:t xml:space="preserve">based on the findings obtained within the </w:t>
      </w:r>
      <w:hyperlink r:id="rId12" w:history="1">
        <w:r w:rsidRPr="00B50ADF">
          <w:rPr>
            <w:rStyle w:val="Hyperlink"/>
            <w:color w:val="1D99A0" w:themeColor="accent3" w:themeShade="BF"/>
            <w:sz w:val="24"/>
            <w:szCs w:val="24"/>
          </w:rPr>
          <w:t>Strategic Needs Assessment</w:t>
        </w:r>
      </w:hyperlink>
      <w:r w:rsidRPr="00B50ADF">
        <w:rPr>
          <w:color w:val="1D99A0" w:themeColor="accent3" w:themeShade="BF"/>
        </w:rPr>
        <w:t xml:space="preserve"> </w:t>
      </w:r>
      <w:r w:rsidRPr="00EF30FF">
        <w:rPr>
          <w:rFonts w:cstheme="minorHAnsi"/>
          <w:color w:val="002060"/>
          <w:sz w:val="24"/>
          <w:szCs w:val="24"/>
        </w:rPr>
        <w:t>(SNA)</w:t>
      </w:r>
      <w:r w:rsidRPr="00EF30FF">
        <w:rPr>
          <w:rStyle w:val="FootnoteReference"/>
          <w:rFonts w:cstheme="minorHAnsi"/>
          <w:color w:val="002060"/>
          <w:sz w:val="24"/>
          <w:szCs w:val="24"/>
        </w:rPr>
        <w:footnoteReference w:id="2"/>
      </w:r>
      <w:r>
        <w:rPr>
          <w:rFonts w:cstheme="minorHAnsi"/>
          <w:color w:val="002060"/>
          <w:sz w:val="24"/>
          <w:szCs w:val="24"/>
        </w:rPr>
        <w:t xml:space="preserve">.  </w:t>
      </w:r>
      <w:r w:rsidRPr="004C3C3B">
        <w:rPr>
          <w:rFonts w:cstheme="minorHAnsi"/>
          <w:color w:val="002060"/>
          <w:sz w:val="24"/>
          <w:szCs w:val="24"/>
        </w:rPr>
        <w:t xml:space="preserve">This is in accordance with the Home Office Serious Violence Duty (SVD) Statutory Guidance.    </w:t>
      </w:r>
    </w:p>
    <w:p w:rsidR="001F002D" w:rsidRPr="004C3C3B" w:rsidRDefault="001F002D" w:rsidP="001F002D">
      <w:pPr>
        <w:rPr>
          <w:rFonts w:cs="Arial"/>
          <w:color w:val="002060"/>
          <w:sz w:val="24"/>
          <w:szCs w:val="24"/>
        </w:rPr>
      </w:pPr>
      <w:r w:rsidRPr="004C3C3B">
        <w:rPr>
          <w:rFonts w:cs="Arial"/>
          <w:color w:val="002060"/>
          <w:sz w:val="24"/>
          <w:szCs w:val="24"/>
        </w:rPr>
        <w:t>Within Hampshire, Isle of Wight, Portsmouth and Southampton (HIPS), the Violence Reduction Unit (VRU) are responsible for leading on this approach and working collaboratively with all Partners within the Violence Reduction Partnership (VRP) to reduce serious violence, pr</w:t>
      </w:r>
      <w:r>
        <w:rPr>
          <w:rFonts w:cs="Arial"/>
          <w:color w:val="002060"/>
          <w:sz w:val="24"/>
          <w:szCs w:val="24"/>
        </w:rPr>
        <w:t>omoting a Public Health</w:t>
      </w:r>
      <w:r w:rsidRPr="004C3C3B">
        <w:rPr>
          <w:rStyle w:val="FootnoteReference"/>
          <w:rFonts w:cs="Arial"/>
          <w:color w:val="002060"/>
          <w:sz w:val="24"/>
          <w:szCs w:val="24"/>
        </w:rPr>
        <w:footnoteReference w:id="3"/>
      </w:r>
      <w:r>
        <w:rPr>
          <w:rFonts w:cs="Arial"/>
          <w:color w:val="002060"/>
          <w:sz w:val="24"/>
          <w:szCs w:val="24"/>
        </w:rPr>
        <w:t xml:space="preserve"> and Trauma Informed</w:t>
      </w:r>
      <w:r>
        <w:rPr>
          <w:rStyle w:val="FootnoteReference"/>
          <w:rFonts w:cs="Arial"/>
          <w:color w:val="002060"/>
          <w:sz w:val="24"/>
          <w:szCs w:val="24"/>
        </w:rPr>
        <w:footnoteReference w:id="4"/>
      </w:r>
      <w:r>
        <w:rPr>
          <w:rFonts w:cs="Arial"/>
          <w:color w:val="002060"/>
          <w:sz w:val="24"/>
          <w:szCs w:val="24"/>
        </w:rPr>
        <w:t xml:space="preserve"> Approach</w:t>
      </w:r>
      <w:r w:rsidRPr="004C3C3B">
        <w:rPr>
          <w:rFonts w:cs="Arial"/>
          <w:color w:val="002060"/>
          <w:sz w:val="24"/>
          <w:szCs w:val="24"/>
        </w:rPr>
        <w:t xml:space="preserve">. </w:t>
      </w:r>
    </w:p>
    <w:p w:rsidR="001F002D" w:rsidRPr="004C3C3B" w:rsidRDefault="001F002D" w:rsidP="001F002D">
      <w:pPr>
        <w:rPr>
          <w:rFonts w:cs="Arial"/>
          <w:color w:val="002060"/>
          <w:sz w:val="24"/>
          <w:szCs w:val="24"/>
        </w:rPr>
      </w:pPr>
      <w:r w:rsidRPr="004C3C3B">
        <w:rPr>
          <w:rFonts w:cs="Arial"/>
          <w:color w:val="002060"/>
          <w:sz w:val="24"/>
          <w:szCs w:val="24"/>
        </w:rPr>
        <w:t xml:space="preserve">The VRP recognises that tackling serious violence is not a law enforcement issue alone and requires a collaborative Partnership approach.  </w:t>
      </w:r>
    </w:p>
    <w:p w:rsidR="001F002D" w:rsidRPr="004C3C3B" w:rsidRDefault="001F002D" w:rsidP="001F002D">
      <w:pPr>
        <w:rPr>
          <w:rFonts w:cs="Arial"/>
          <w:color w:val="002060"/>
          <w:sz w:val="24"/>
          <w:szCs w:val="24"/>
        </w:rPr>
      </w:pPr>
      <w:r w:rsidRPr="004C3C3B">
        <w:rPr>
          <w:rFonts w:cs="Arial"/>
          <w:color w:val="002060"/>
          <w:sz w:val="24"/>
          <w:szCs w:val="24"/>
        </w:rPr>
        <w:t xml:space="preserve">One of the sub groups within the SVRP to achieve this is the </w:t>
      </w:r>
      <w:r>
        <w:rPr>
          <w:rFonts w:cs="Arial"/>
          <w:color w:val="002060"/>
          <w:sz w:val="24"/>
          <w:szCs w:val="24"/>
        </w:rPr>
        <w:t>Interventions, Evaluations and Opportunities (IEO) Working Group.</w:t>
      </w:r>
      <w:r w:rsidRPr="004C3C3B">
        <w:rPr>
          <w:rFonts w:cs="Arial"/>
          <w:color w:val="002060"/>
          <w:sz w:val="24"/>
          <w:szCs w:val="24"/>
        </w:rPr>
        <w:t xml:space="preserve"> </w:t>
      </w:r>
      <w:bookmarkStart w:id="2" w:name="_Toc147405689"/>
    </w:p>
    <w:p w:rsidR="001F002D" w:rsidRPr="00C92113" w:rsidRDefault="001F002D" w:rsidP="001F002D">
      <w:pPr>
        <w:pStyle w:val="Heading1"/>
        <w:rPr>
          <w:sz w:val="24"/>
          <w:szCs w:val="24"/>
        </w:rPr>
      </w:pPr>
      <w:r w:rsidRPr="00C92113">
        <w:rPr>
          <w:sz w:val="24"/>
          <w:szCs w:val="24"/>
        </w:rPr>
        <w:t>vision and mission</w:t>
      </w:r>
      <w:bookmarkEnd w:id="2"/>
      <w:r w:rsidRPr="00C92113">
        <w:rPr>
          <w:sz w:val="24"/>
          <w:szCs w:val="24"/>
        </w:rPr>
        <w:t xml:space="preserve"> </w:t>
      </w:r>
    </w:p>
    <w:p w:rsidR="001F002D" w:rsidRPr="004C3C3B" w:rsidRDefault="001F002D" w:rsidP="001F002D">
      <w:pPr>
        <w:spacing w:line="240" w:lineRule="auto"/>
        <w:textAlignment w:val="baseline"/>
        <w:rPr>
          <w:rFonts w:eastAsia="Times New Roman" w:cs="Arial"/>
          <w:color w:val="002060"/>
          <w:sz w:val="24"/>
          <w:szCs w:val="24"/>
          <w:lang w:eastAsia="en-GB"/>
        </w:rPr>
      </w:pPr>
      <w:r w:rsidRPr="004C3C3B">
        <w:rPr>
          <w:rFonts w:eastAsia="Times New Roman" w:cs="Arial"/>
          <w:color w:val="002060"/>
          <w:sz w:val="24"/>
          <w:szCs w:val="24"/>
          <w:lang w:eastAsia="en-GB"/>
        </w:rPr>
        <w:t xml:space="preserve">Our </w:t>
      </w:r>
      <w:r w:rsidRPr="004C3C3B">
        <w:rPr>
          <w:rFonts w:eastAsia="Times New Roman" w:cs="Arial"/>
          <w:b/>
          <w:i/>
          <w:iCs/>
          <w:color w:val="002060"/>
          <w:sz w:val="24"/>
          <w:szCs w:val="24"/>
          <w:lang w:eastAsia="en-GB"/>
        </w:rPr>
        <w:t>vision</w:t>
      </w:r>
      <w:r w:rsidRPr="004C3C3B">
        <w:rPr>
          <w:rFonts w:eastAsia="Times New Roman" w:cs="Arial"/>
          <w:color w:val="002060"/>
          <w:sz w:val="24"/>
          <w:szCs w:val="24"/>
          <w:lang w:eastAsia="en-GB"/>
        </w:rPr>
        <w:t xml:space="preserve"> is for Hampshire, Isle of Wight, Portsmouth and Southampton to be a place where people can live their lives free from violence and the fear of violence. </w:t>
      </w:r>
    </w:p>
    <w:p w:rsidR="001F002D" w:rsidRPr="004C3C3B" w:rsidRDefault="001F002D" w:rsidP="001F002D">
      <w:pPr>
        <w:spacing w:line="240" w:lineRule="auto"/>
        <w:textAlignment w:val="baseline"/>
        <w:rPr>
          <w:rFonts w:eastAsia="Times New Roman" w:cs="Arial"/>
          <w:color w:val="002060"/>
          <w:sz w:val="24"/>
          <w:szCs w:val="24"/>
          <w:lang w:eastAsia="en-GB"/>
        </w:rPr>
      </w:pPr>
      <w:r w:rsidRPr="004C3C3B">
        <w:rPr>
          <w:rFonts w:eastAsia="Times New Roman" w:cs="Arial"/>
          <w:color w:val="002060"/>
          <w:sz w:val="24"/>
          <w:szCs w:val="24"/>
          <w:lang w:eastAsia="en-GB"/>
        </w:rPr>
        <w:t xml:space="preserve">Our </w:t>
      </w:r>
      <w:r w:rsidRPr="004C3C3B">
        <w:rPr>
          <w:rFonts w:eastAsia="Times New Roman" w:cs="Arial"/>
          <w:b/>
          <w:i/>
          <w:iCs/>
          <w:color w:val="002060"/>
          <w:sz w:val="24"/>
          <w:szCs w:val="24"/>
          <w:lang w:eastAsia="en-GB"/>
        </w:rPr>
        <w:t>mission</w:t>
      </w:r>
      <w:r w:rsidRPr="004C3C3B">
        <w:rPr>
          <w:rFonts w:eastAsia="Times New Roman" w:cs="Arial"/>
          <w:b/>
          <w:color w:val="002060"/>
          <w:sz w:val="24"/>
          <w:szCs w:val="24"/>
          <w:lang w:eastAsia="en-GB"/>
        </w:rPr>
        <w:t xml:space="preserve"> </w:t>
      </w:r>
      <w:r w:rsidRPr="004C3C3B">
        <w:rPr>
          <w:rFonts w:eastAsia="Times New Roman" w:cs="Arial"/>
          <w:color w:val="002060"/>
          <w:sz w:val="24"/>
          <w:szCs w:val="24"/>
          <w:lang w:eastAsia="en-GB"/>
        </w:rPr>
        <w:t>is to prevent violence by building a collaborative, courageous and sustainable Partnership which will drive the change required to successfully address the causes and consequences of violence. </w:t>
      </w:r>
      <w:bookmarkStart w:id="3" w:name="_Toc147405690"/>
    </w:p>
    <w:p w:rsidR="001F002D" w:rsidRPr="00B110AC" w:rsidRDefault="001F002D" w:rsidP="001F002D">
      <w:pPr>
        <w:pStyle w:val="Heading1"/>
        <w:rPr>
          <w:sz w:val="24"/>
          <w:szCs w:val="24"/>
          <w:u w:val="single"/>
        </w:rPr>
      </w:pPr>
      <w:r w:rsidRPr="00B110AC">
        <w:rPr>
          <w:sz w:val="24"/>
          <w:szCs w:val="24"/>
        </w:rPr>
        <w:t>aims and activities linked to the theory of change (toc)</w:t>
      </w:r>
      <w:bookmarkEnd w:id="3"/>
    </w:p>
    <w:p w:rsidR="001F002D" w:rsidRPr="00B110AC" w:rsidRDefault="001F002D" w:rsidP="001F002D">
      <w:pPr>
        <w:spacing w:line="240" w:lineRule="auto"/>
        <w:textAlignment w:val="baseline"/>
        <w:rPr>
          <w:rFonts w:eastAsia="Times New Roman" w:cs="Arial"/>
          <w:color w:val="002060"/>
          <w:sz w:val="24"/>
          <w:szCs w:val="24"/>
          <w:lang w:eastAsia="en-GB"/>
        </w:rPr>
      </w:pPr>
      <w:r w:rsidRPr="00B110AC">
        <w:rPr>
          <w:rFonts w:eastAsia="Times New Roman" w:cs="Arial"/>
          <w:bCs/>
          <w:color w:val="002060"/>
          <w:sz w:val="24"/>
          <w:szCs w:val="24"/>
          <w:lang w:eastAsia="en-GB"/>
        </w:rPr>
        <w:t xml:space="preserve">The aim </w:t>
      </w:r>
      <w:r w:rsidRPr="00B110AC">
        <w:rPr>
          <w:rFonts w:eastAsia="Times New Roman" w:cs="Arial"/>
          <w:color w:val="002060"/>
          <w:sz w:val="24"/>
          <w:szCs w:val="24"/>
          <w:lang w:eastAsia="en-GB"/>
        </w:rPr>
        <w:t>is for the VRP to ensure that interventions respond effectively to local need.  It will identify opportunities for synergy and collaborative working aiming to maximise the impact of interventions to reduce serious violence, as part of a Public Health Approach.   </w:t>
      </w:r>
    </w:p>
    <w:p w:rsidR="001F002D" w:rsidRPr="00B110AC" w:rsidRDefault="001F002D" w:rsidP="001F002D">
      <w:pPr>
        <w:spacing w:line="240" w:lineRule="auto"/>
        <w:textAlignment w:val="baseline"/>
        <w:rPr>
          <w:rFonts w:eastAsia="Times New Roman" w:cs="Arial"/>
          <w:color w:val="002060"/>
          <w:sz w:val="24"/>
          <w:szCs w:val="24"/>
          <w:lang w:eastAsia="en-GB"/>
        </w:rPr>
      </w:pPr>
      <w:r w:rsidRPr="00B110AC">
        <w:rPr>
          <w:rFonts w:eastAsia="Times New Roman" w:cs="Arial"/>
          <w:color w:val="002060"/>
          <w:sz w:val="24"/>
          <w:szCs w:val="24"/>
          <w:lang w:eastAsia="en-GB"/>
        </w:rPr>
        <w:lastRenderedPageBreak/>
        <w:t xml:space="preserve">The IEO Working Group oversees the operational delivery of the VRP Strategy for </w:t>
      </w:r>
      <w:r w:rsidRPr="00786A57">
        <w:rPr>
          <w:rFonts w:eastAsia="Times New Roman" w:cs="Arial"/>
          <w:color w:val="002060"/>
          <w:sz w:val="24"/>
          <w:szCs w:val="24"/>
          <w:lang w:eastAsia="en-GB"/>
        </w:rPr>
        <w:t xml:space="preserve">Interventions, Evaluations and Opportunities, </w:t>
      </w:r>
      <w:r w:rsidRPr="00B110AC">
        <w:rPr>
          <w:rFonts w:eastAsia="Times New Roman" w:cs="Arial"/>
          <w:color w:val="002060"/>
          <w:sz w:val="24"/>
          <w:szCs w:val="24"/>
          <w:lang w:eastAsia="en-GB"/>
        </w:rPr>
        <w:t xml:space="preserve">which is captured within the </w:t>
      </w:r>
      <w:hyperlink r:id="rId13" w:history="1">
        <w:r w:rsidRPr="00B110AC">
          <w:rPr>
            <w:rStyle w:val="Hyperlink"/>
            <w:color w:val="1D99A0" w:themeColor="accent3" w:themeShade="BF"/>
            <w:sz w:val="24"/>
            <w:szCs w:val="24"/>
          </w:rPr>
          <w:t>VRP Theory of Change</w:t>
        </w:r>
      </w:hyperlink>
      <w:r w:rsidRPr="00B110AC">
        <w:rPr>
          <w:rFonts w:eastAsia="Times New Roman" w:cs="Arial"/>
          <w:color w:val="002060"/>
          <w:sz w:val="24"/>
          <w:szCs w:val="24"/>
          <w:lang w:eastAsia="en-GB"/>
        </w:rPr>
        <w:t xml:space="preserve"> (ToC)</w:t>
      </w:r>
      <w:r w:rsidRPr="00B110AC">
        <w:rPr>
          <w:rStyle w:val="FootnoteReference"/>
          <w:rFonts w:eastAsia="Times New Roman" w:cs="Arial"/>
          <w:color w:val="002060"/>
          <w:sz w:val="24"/>
          <w:szCs w:val="24"/>
          <w:lang w:eastAsia="en-GB"/>
        </w:rPr>
        <w:footnoteReference w:id="5"/>
      </w:r>
      <w:r w:rsidRPr="00B110AC">
        <w:rPr>
          <w:rFonts w:eastAsia="Times New Roman" w:cs="Arial"/>
          <w:color w:val="002060"/>
          <w:sz w:val="24"/>
          <w:szCs w:val="24"/>
          <w:lang w:eastAsia="en-GB"/>
        </w:rPr>
        <w:t>.</w:t>
      </w:r>
    </w:p>
    <w:p w:rsidR="001F002D" w:rsidRDefault="001F002D" w:rsidP="001F002D">
      <w:pPr>
        <w:spacing w:line="240" w:lineRule="auto"/>
        <w:textAlignment w:val="baseline"/>
        <w:rPr>
          <w:rFonts w:eastAsia="Times New Roman" w:cs="Arial"/>
          <w:sz w:val="24"/>
          <w:szCs w:val="24"/>
          <w:lang w:eastAsia="en-GB"/>
        </w:rPr>
      </w:pPr>
      <w:r w:rsidRPr="00B110AC">
        <w:rPr>
          <w:rFonts w:eastAsia="Times New Roman" w:cs="Arial"/>
          <w:color w:val="002060"/>
          <w:sz w:val="24"/>
          <w:szCs w:val="24"/>
          <w:lang w:eastAsia="en-GB"/>
        </w:rPr>
        <w:t xml:space="preserve">The following activities will be delivered by the IEO Working Group, in alignment with the </w:t>
      </w:r>
      <w:r w:rsidRPr="000C5930">
        <w:rPr>
          <w:rFonts w:eastAsia="Times New Roman" w:cs="Arial"/>
          <w:sz w:val="24"/>
          <w:szCs w:val="24"/>
          <w:lang w:eastAsia="en-GB"/>
        </w:rPr>
        <w:t>ToC</w:t>
      </w:r>
      <w:r w:rsidRPr="000C5930">
        <w:rPr>
          <w:rStyle w:val="FootnoteReference"/>
          <w:rFonts w:eastAsia="Times New Roman" w:cs="Arial"/>
          <w:sz w:val="24"/>
          <w:szCs w:val="24"/>
          <w:lang w:eastAsia="en-GB"/>
        </w:rPr>
        <w:footnoteReference w:id="6"/>
      </w:r>
      <w:r w:rsidRPr="000C5930">
        <w:rPr>
          <w:rFonts w:eastAsia="Times New Roman" w:cs="Arial"/>
          <w:sz w:val="24"/>
          <w:szCs w:val="24"/>
          <w:lang w:eastAsia="en-GB"/>
        </w:rPr>
        <w:t>:</w:t>
      </w:r>
    </w:p>
    <w:p w:rsidR="001F002D" w:rsidRPr="00740F2A" w:rsidRDefault="001F002D" w:rsidP="001F002D">
      <w:pPr>
        <w:pStyle w:val="ListParagraph"/>
        <w:numPr>
          <w:ilvl w:val="0"/>
          <w:numId w:val="18"/>
        </w:numPr>
        <w:spacing w:after="0" w:line="240" w:lineRule="auto"/>
        <w:textAlignment w:val="baseline"/>
        <w:rPr>
          <w:rFonts w:eastAsia="Times New Roman" w:cs="Arial"/>
          <w:color w:val="002060"/>
          <w:sz w:val="24"/>
          <w:szCs w:val="24"/>
          <w:lang w:val="en-US" w:eastAsia="en-GB"/>
        </w:rPr>
      </w:pPr>
      <w:r w:rsidRPr="00740F2A">
        <w:rPr>
          <w:rFonts w:eastAsia="Times New Roman" w:cs="Arial"/>
          <w:color w:val="002060"/>
          <w:position w:val="1"/>
          <w:sz w:val="24"/>
          <w:szCs w:val="24"/>
          <w:lang w:val="en-US" w:eastAsia="en-GB"/>
        </w:rPr>
        <w:t>Specified and Relevant authorities attend and collaborate</w:t>
      </w:r>
      <w:r w:rsidRPr="00740F2A">
        <w:rPr>
          <w:rFonts w:eastAsia="Times New Roman" w:cs="Arial"/>
          <w:color w:val="002060"/>
          <w:sz w:val="24"/>
          <w:szCs w:val="24"/>
          <w:lang w:val="en-US" w:eastAsia="en-GB"/>
        </w:rPr>
        <w:t xml:space="preserve"> (4.a)</w:t>
      </w:r>
    </w:p>
    <w:p w:rsidR="001F002D" w:rsidRPr="00740F2A" w:rsidRDefault="001F002D" w:rsidP="001F002D">
      <w:pPr>
        <w:pStyle w:val="ListParagraph"/>
        <w:numPr>
          <w:ilvl w:val="0"/>
          <w:numId w:val="4"/>
        </w:numPr>
        <w:spacing w:line="240" w:lineRule="auto"/>
        <w:textAlignment w:val="baseline"/>
        <w:rPr>
          <w:rFonts w:eastAsia="Times New Roman" w:cs="Arial"/>
          <w:color w:val="002060"/>
          <w:sz w:val="24"/>
          <w:szCs w:val="24"/>
          <w:lang w:eastAsia="en-GB"/>
        </w:rPr>
      </w:pPr>
      <w:r w:rsidRPr="00740F2A">
        <w:rPr>
          <w:color w:val="002060"/>
          <w:sz w:val="24"/>
          <w:szCs w:val="24"/>
        </w:rPr>
        <w:t>Conduct a gap analysis of existing provision within communities to identify gaps in commissioned interventions which reduce violence based on the needs of different cohorts and communities, aligned with the most common risk factors identified in the Strategic Needs Assessment</w:t>
      </w:r>
      <w:r w:rsidRPr="00740F2A">
        <w:rPr>
          <w:rStyle w:val="FootnoteReference"/>
          <w:rFonts w:eastAsia="Times New Roman" w:cs="Arial"/>
          <w:color w:val="002060"/>
          <w:sz w:val="24"/>
          <w:szCs w:val="24"/>
          <w:lang w:eastAsia="en-GB"/>
        </w:rPr>
        <w:footnoteReference w:id="7"/>
      </w:r>
      <w:r w:rsidRPr="00740F2A">
        <w:rPr>
          <w:color w:val="002060"/>
          <w:sz w:val="24"/>
          <w:szCs w:val="24"/>
        </w:rPr>
        <w:t>, and evidenced by ‘What Works’ (4.b and 4.c)</w:t>
      </w:r>
    </w:p>
    <w:p w:rsidR="001F002D" w:rsidRPr="00740F2A" w:rsidRDefault="001F002D" w:rsidP="001F002D">
      <w:pPr>
        <w:pStyle w:val="ListParagraph"/>
        <w:numPr>
          <w:ilvl w:val="0"/>
          <w:numId w:val="4"/>
        </w:numPr>
        <w:spacing w:line="240" w:lineRule="auto"/>
        <w:textAlignment w:val="baseline"/>
        <w:rPr>
          <w:rFonts w:eastAsia="Times New Roman" w:cs="Arial"/>
          <w:color w:val="002060"/>
          <w:sz w:val="24"/>
          <w:szCs w:val="24"/>
          <w:lang w:eastAsia="en-GB"/>
        </w:rPr>
      </w:pPr>
      <w:r w:rsidRPr="00740F2A">
        <w:rPr>
          <w:color w:val="002060"/>
          <w:sz w:val="24"/>
          <w:szCs w:val="24"/>
        </w:rPr>
        <w:t>Undertake a gap analysis of training currently available for partners in relation to developing sustainable public-health evidence-based commissioning (4.d)</w:t>
      </w:r>
    </w:p>
    <w:p w:rsidR="001F002D" w:rsidRPr="00740F2A" w:rsidRDefault="001F002D" w:rsidP="001F002D">
      <w:pPr>
        <w:pStyle w:val="ListParagraph"/>
        <w:numPr>
          <w:ilvl w:val="0"/>
          <w:numId w:val="4"/>
        </w:numPr>
        <w:spacing w:line="240" w:lineRule="auto"/>
        <w:textAlignment w:val="baseline"/>
        <w:rPr>
          <w:rFonts w:eastAsia="Times New Roman" w:cs="Arial"/>
          <w:color w:val="002060"/>
          <w:sz w:val="24"/>
          <w:szCs w:val="24"/>
          <w:lang w:eastAsia="en-GB"/>
        </w:rPr>
      </w:pPr>
      <w:r w:rsidRPr="00740F2A">
        <w:rPr>
          <w:color w:val="002060"/>
          <w:sz w:val="24"/>
          <w:szCs w:val="24"/>
        </w:rPr>
        <w:t>Adopt a Public Health and Trauma Informed approach to commissioning interventions, which is with and for communities, reflecting the voices and experiences of the communities to complement the work of the Trauma Informed Executive Board</w:t>
      </w:r>
      <w:r w:rsidRPr="00740F2A">
        <w:rPr>
          <w:rStyle w:val="FootnoteReference"/>
          <w:color w:val="002060"/>
          <w:sz w:val="24"/>
          <w:szCs w:val="24"/>
        </w:rPr>
        <w:footnoteReference w:id="8"/>
      </w:r>
      <w:r w:rsidRPr="00740F2A">
        <w:rPr>
          <w:color w:val="002060"/>
          <w:sz w:val="24"/>
          <w:szCs w:val="24"/>
        </w:rPr>
        <w:t xml:space="preserve"> and adhering to the Trauma Informed Concordat</w:t>
      </w:r>
      <w:r w:rsidRPr="00740F2A">
        <w:rPr>
          <w:rStyle w:val="FootnoteReference"/>
          <w:color w:val="002060"/>
          <w:sz w:val="24"/>
          <w:szCs w:val="24"/>
        </w:rPr>
        <w:footnoteReference w:id="9"/>
      </w:r>
      <w:r w:rsidRPr="00740F2A">
        <w:rPr>
          <w:color w:val="002060"/>
          <w:sz w:val="24"/>
          <w:szCs w:val="24"/>
        </w:rPr>
        <w:t xml:space="preserve"> (4.d and 4.e).  </w:t>
      </w:r>
    </w:p>
    <w:p w:rsidR="001F002D" w:rsidRPr="00740F2A" w:rsidRDefault="001F002D" w:rsidP="001F002D">
      <w:pPr>
        <w:pStyle w:val="ListParagraph"/>
        <w:numPr>
          <w:ilvl w:val="0"/>
          <w:numId w:val="4"/>
        </w:numPr>
        <w:spacing w:line="240" w:lineRule="auto"/>
        <w:textAlignment w:val="baseline"/>
        <w:rPr>
          <w:rFonts w:eastAsia="Times New Roman" w:cs="Arial"/>
          <w:color w:val="002060"/>
          <w:sz w:val="24"/>
          <w:szCs w:val="24"/>
          <w:lang w:eastAsia="en-GB"/>
        </w:rPr>
      </w:pPr>
      <w:r w:rsidRPr="00740F2A">
        <w:rPr>
          <w:color w:val="002060"/>
          <w:sz w:val="24"/>
          <w:szCs w:val="24"/>
        </w:rPr>
        <w:t>Map and understand sources of funding locally and nationally to plan for opportunities which may be created and look for opportunities for partners to collaborate on funding bids to maximise the impact of interventions (4.f)</w:t>
      </w:r>
    </w:p>
    <w:p w:rsidR="001F002D" w:rsidRPr="00740F2A" w:rsidRDefault="001F002D" w:rsidP="001F002D">
      <w:pPr>
        <w:pStyle w:val="ListParagraph"/>
        <w:numPr>
          <w:ilvl w:val="0"/>
          <w:numId w:val="4"/>
        </w:numPr>
        <w:spacing w:line="240" w:lineRule="auto"/>
        <w:textAlignment w:val="baseline"/>
        <w:rPr>
          <w:rFonts w:eastAsia="Times New Roman" w:cs="Arial"/>
          <w:color w:val="002060"/>
          <w:sz w:val="24"/>
          <w:szCs w:val="24"/>
          <w:lang w:eastAsia="en-GB"/>
        </w:rPr>
      </w:pPr>
      <w:r w:rsidRPr="00740F2A">
        <w:rPr>
          <w:color w:val="002060"/>
          <w:sz w:val="24"/>
          <w:szCs w:val="24"/>
        </w:rPr>
        <w:t>Look for opportunities to undertake joint commissioning with other partnerships to ensure priorities, resources and capacity is aligned resulting in efficient and effective delivery (4.g)</w:t>
      </w:r>
    </w:p>
    <w:p w:rsidR="001F002D" w:rsidRPr="00740F2A" w:rsidRDefault="001F002D" w:rsidP="001F002D">
      <w:pPr>
        <w:pStyle w:val="ListParagraph"/>
        <w:numPr>
          <w:ilvl w:val="0"/>
          <w:numId w:val="4"/>
        </w:numPr>
        <w:spacing w:line="240" w:lineRule="auto"/>
        <w:textAlignment w:val="baseline"/>
        <w:rPr>
          <w:rFonts w:eastAsia="Times New Roman" w:cs="Arial"/>
          <w:color w:val="002060"/>
          <w:sz w:val="24"/>
          <w:szCs w:val="24"/>
          <w:lang w:eastAsia="en-GB"/>
        </w:rPr>
      </w:pPr>
      <w:r w:rsidRPr="00740F2A">
        <w:rPr>
          <w:color w:val="002060"/>
          <w:sz w:val="24"/>
          <w:szCs w:val="24"/>
        </w:rPr>
        <w:t>Develop an Evaluation and Commissioning approach to support a co-ordinated and consistent approach across the VRP (4.h)</w:t>
      </w:r>
    </w:p>
    <w:p w:rsidR="001F002D" w:rsidRPr="00740F2A" w:rsidRDefault="001F002D" w:rsidP="001F002D">
      <w:pPr>
        <w:pStyle w:val="ListParagraph"/>
        <w:numPr>
          <w:ilvl w:val="0"/>
          <w:numId w:val="4"/>
        </w:numPr>
        <w:spacing w:line="240" w:lineRule="auto"/>
        <w:textAlignment w:val="baseline"/>
        <w:rPr>
          <w:rFonts w:eastAsia="Times New Roman" w:cs="Arial"/>
          <w:color w:val="002060"/>
          <w:sz w:val="24"/>
          <w:szCs w:val="24"/>
          <w:lang w:eastAsia="en-GB"/>
        </w:rPr>
      </w:pPr>
      <w:r w:rsidRPr="00740F2A">
        <w:rPr>
          <w:color w:val="002060"/>
          <w:sz w:val="24"/>
          <w:szCs w:val="24"/>
        </w:rPr>
        <w:t>Share the results of the evaluation of commissioned interventions to understand their future, including their ability to be funded sustainably by the VRP (4.i and 4.j)</w:t>
      </w:r>
    </w:p>
    <w:p w:rsidR="001F002D" w:rsidRDefault="001F002D" w:rsidP="001F002D">
      <w:pPr>
        <w:pStyle w:val="Heading1"/>
        <w:rPr>
          <w:sz w:val="24"/>
          <w:szCs w:val="24"/>
        </w:rPr>
      </w:pPr>
      <w:bookmarkStart w:id="4" w:name="_Toc147405692"/>
      <w:r w:rsidRPr="00C92113">
        <w:rPr>
          <w:sz w:val="24"/>
          <w:szCs w:val="24"/>
        </w:rPr>
        <w:lastRenderedPageBreak/>
        <w:t>outcomes based performance framework</w:t>
      </w:r>
      <w:bookmarkEnd w:id="4"/>
      <w:r>
        <w:rPr>
          <w:sz w:val="24"/>
          <w:szCs w:val="24"/>
        </w:rPr>
        <w:t xml:space="preserve"> </w:t>
      </w:r>
    </w:p>
    <w:p w:rsidR="001F002D" w:rsidRDefault="001F002D" w:rsidP="001F002D">
      <w:pPr>
        <w:rPr>
          <w:rFonts w:cstheme="minorHAnsi"/>
          <w:color w:val="002060"/>
          <w:sz w:val="24"/>
          <w:szCs w:val="24"/>
        </w:rPr>
      </w:pPr>
      <w:r w:rsidRPr="004C3C3B">
        <w:rPr>
          <w:rFonts w:cstheme="minorHAnsi"/>
          <w:color w:val="002060"/>
          <w:sz w:val="24"/>
          <w:szCs w:val="24"/>
        </w:rPr>
        <w:t xml:space="preserve">The VRU has developed an </w:t>
      </w:r>
      <w:hyperlink r:id="rId14" w:history="1">
        <w:r w:rsidRPr="00F226DA">
          <w:rPr>
            <w:rStyle w:val="Hyperlink"/>
            <w:color w:val="1D99A0" w:themeColor="accent3" w:themeShade="BF"/>
            <w:sz w:val="24"/>
            <w:szCs w:val="24"/>
          </w:rPr>
          <w:t>Outcomes Based Performance Framework</w:t>
        </w:r>
      </w:hyperlink>
      <w:r w:rsidRPr="00C92113">
        <w:rPr>
          <w:sz w:val="24"/>
          <w:szCs w:val="24"/>
        </w:rPr>
        <w:t xml:space="preserve"> </w:t>
      </w:r>
      <w:r w:rsidRPr="004C3C3B">
        <w:rPr>
          <w:rFonts w:cstheme="minorHAnsi"/>
          <w:color w:val="002060"/>
          <w:sz w:val="24"/>
          <w:szCs w:val="24"/>
        </w:rPr>
        <w:t xml:space="preserve">on behalf of the VRP to track performance progress for each strategic area, under the SVRP, to reduce serious violence.    </w:t>
      </w:r>
    </w:p>
    <w:p w:rsidR="001F002D" w:rsidRPr="00DA4894" w:rsidRDefault="001F002D" w:rsidP="001F002D">
      <w:pPr>
        <w:rPr>
          <w:rFonts w:cstheme="minorHAnsi"/>
          <w:color w:val="002060"/>
          <w:sz w:val="24"/>
          <w:szCs w:val="24"/>
        </w:rPr>
      </w:pPr>
      <w:r w:rsidRPr="00DA4894">
        <w:rPr>
          <w:rFonts w:cstheme="minorHAnsi"/>
          <w:color w:val="002060"/>
          <w:sz w:val="24"/>
          <w:szCs w:val="24"/>
        </w:rPr>
        <w:t>The impact of activity from the IEO Working Group should be measured by the following elements</w:t>
      </w:r>
      <w:r w:rsidRPr="00DA4894">
        <w:rPr>
          <w:rStyle w:val="FootnoteReference"/>
          <w:rFonts w:cstheme="minorHAnsi"/>
          <w:color w:val="002060"/>
          <w:sz w:val="24"/>
          <w:szCs w:val="24"/>
        </w:rPr>
        <w:footnoteReference w:id="10"/>
      </w:r>
      <w:r w:rsidRPr="00DA4894">
        <w:rPr>
          <w:rFonts w:cstheme="minorHAnsi"/>
          <w:color w:val="002060"/>
          <w:sz w:val="24"/>
          <w:szCs w:val="24"/>
        </w:rPr>
        <w:t xml:space="preserve"> of the Performance Framework, which will be monitored and reported on quarterly:</w:t>
      </w:r>
    </w:p>
    <w:p w:rsidR="001F002D" w:rsidRPr="00BF7546" w:rsidRDefault="001F002D" w:rsidP="001F002D">
      <w:pPr>
        <w:pStyle w:val="ListParagraph"/>
        <w:numPr>
          <w:ilvl w:val="0"/>
          <w:numId w:val="8"/>
        </w:numPr>
        <w:rPr>
          <w:rFonts w:cstheme="minorHAnsi"/>
          <w:color w:val="002060"/>
          <w:sz w:val="24"/>
          <w:szCs w:val="24"/>
        </w:rPr>
      </w:pPr>
      <w:r w:rsidRPr="00BF7546">
        <w:rPr>
          <w:rFonts w:cstheme="minorHAnsi"/>
          <w:color w:val="002060"/>
          <w:sz w:val="24"/>
          <w:szCs w:val="24"/>
        </w:rPr>
        <w:t xml:space="preserve">Decreased risk factors and increased protective factors for young people and families supported through the VRU.  The success measures to achieve this will be: </w:t>
      </w:r>
    </w:p>
    <w:p w:rsidR="001F002D" w:rsidRPr="00BF7546" w:rsidRDefault="001F002D" w:rsidP="001F002D">
      <w:pPr>
        <w:pStyle w:val="ListParagraph"/>
        <w:numPr>
          <w:ilvl w:val="1"/>
          <w:numId w:val="9"/>
        </w:numPr>
        <w:rPr>
          <w:rFonts w:cstheme="minorHAnsi"/>
          <w:color w:val="002060"/>
          <w:sz w:val="24"/>
          <w:szCs w:val="24"/>
        </w:rPr>
      </w:pPr>
      <w:r w:rsidRPr="00BF7546">
        <w:rPr>
          <w:rFonts w:cstheme="minorHAnsi"/>
          <w:color w:val="002060"/>
          <w:sz w:val="24"/>
          <w:szCs w:val="24"/>
        </w:rPr>
        <w:t>Young People moving towards education, training and employment, measured by data source:</w:t>
      </w:r>
    </w:p>
    <w:p w:rsidR="001F002D" w:rsidRPr="000034FF" w:rsidRDefault="001F002D" w:rsidP="001F002D">
      <w:pPr>
        <w:pStyle w:val="ListParagraph"/>
        <w:numPr>
          <w:ilvl w:val="0"/>
          <w:numId w:val="10"/>
        </w:numPr>
        <w:spacing w:line="240" w:lineRule="auto"/>
        <w:rPr>
          <w:rFonts w:eastAsia="Times New Roman" w:cs="Arial"/>
          <w:color w:val="002060"/>
          <w:sz w:val="24"/>
          <w:szCs w:val="24"/>
          <w:lang w:eastAsia="en-GB"/>
        </w:rPr>
      </w:pPr>
      <w:r w:rsidRPr="000034FF">
        <w:rPr>
          <w:rFonts w:eastAsia="Times New Roman" w:cs="Arial"/>
          <w:color w:val="002060"/>
          <w:sz w:val="24"/>
          <w:szCs w:val="24"/>
          <w:lang w:eastAsia="en-GB"/>
        </w:rPr>
        <w:t xml:space="preserve">Society of St James: average score change for 'meaningful use of     time' outcomes star score - RESET monitoring data (5.1.1.a). </w:t>
      </w:r>
    </w:p>
    <w:p w:rsidR="001F002D" w:rsidRPr="000034FF" w:rsidRDefault="001F002D" w:rsidP="001F002D">
      <w:pPr>
        <w:pStyle w:val="ListParagraph"/>
        <w:numPr>
          <w:ilvl w:val="0"/>
          <w:numId w:val="10"/>
        </w:numPr>
        <w:spacing w:line="240" w:lineRule="auto"/>
        <w:rPr>
          <w:rFonts w:eastAsia="Times New Roman" w:cs="Arial"/>
          <w:color w:val="002060"/>
          <w:sz w:val="24"/>
          <w:szCs w:val="24"/>
          <w:lang w:eastAsia="en-GB"/>
        </w:rPr>
      </w:pPr>
      <w:r w:rsidRPr="000034FF">
        <w:rPr>
          <w:rFonts w:eastAsia="Times New Roman" w:cs="Arial"/>
          <w:color w:val="002060"/>
          <w:sz w:val="24"/>
          <w:szCs w:val="24"/>
          <w:lang w:eastAsia="en-GB"/>
        </w:rPr>
        <w:t>Society of St James: percentage of cohort showing positive change for 'meaningful use of time' outcomes star score- RESET monitoring data (5.1.1.b).</w:t>
      </w:r>
    </w:p>
    <w:p w:rsidR="001F002D" w:rsidRPr="00BF7546" w:rsidRDefault="001F002D" w:rsidP="001F002D">
      <w:pPr>
        <w:pStyle w:val="ListParagraph"/>
        <w:numPr>
          <w:ilvl w:val="1"/>
          <w:numId w:val="9"/>
        </w:numPr>
        <w:rPr>
          <w:rFonts w:cstheme="minorHAnsi"/>
          <w:color w:val="002060"/>
          <w:sz w:val="24"/>
          <w:szCs w:val="24"/>
        </w:rPr>
      </w:pPr>
      <w:r w:rsidRPr="00BF7546">
        <w:rPr>
          <w:rFonts w:cstheme="minorHAnsi"/>
          <w:color w:val="002060"/>
          <w:sz w:val="24"/>
          <w:szCs w:val="24"/>
        </w:rPr>
        <w:t>Improved Mental Health amongst young people, measured by data source:</w:t>
      </w:r>
    </w:p>
    <w:p w:rsidR="001F002D" w:rsidRPr="000034FF" w:rsidRDefault="001F002D" w:rsidP="001F002D">
      <w:pPr>
        <w:pStyle w:val="ListParagraph"/>
        <w:numPr>
          <w:ilvl w:val="0"/>
          <w:numId w:val="11"/>
        </w:numPr>
        <w:spacing w:line="240" w:lineRule="auto"/>
        <w:rPr>
          <w:rFonts w:eastAsia="Times New Roman" w:cs="Arial"/>
          <w:color w:val="002060"/>
          <w:sz w:val="24"/>
          <w:szCs w:val="24"/>
          <w:lang w:eastAsia="en-GB"/>
        </w:rPr>
      </w:pPr>
      <w:r w:rsidRPr="000034FF">
        <w:rPr>
          <w:rFonts w:eastAsia="Times New Roman" w:cs="Arial"/>
          <w:color w:val="002060"/>
          <w:sz w:val="24"/>
          <w:szCs w:val="24"/>
          <w:lang w:eastAsia="en-GB"/>
        </w:rPr>
        <w:t>Society of St James: average score change for 'emotional and mental health' outcomes star score - RESET monitoring data (5.1.2.a).</w:t>
      </w:r>
    </w:p>
    <w:p w:rsidR="001F002D" w:rsidRPr="000034FF" w:rsidRDefault="001F002D" w:rsidP="001F002D">
      <w:pPr>
        <w:pStyle w:val="ListParagraph"/>
        <w:numPr>
          <w:ilvl w:val="0"/>
          <w:numId w:val="11"/>
        </w:numPr>
        <w:spacing w:line="240" w:lineRule="auto"/>
        <w:rPr>
          <w:rFonts w:eastAsia="Times New Roman" w:cs="Arial"/>
          <w:color w:val="002060"/>
          <w:sz w:val="24"/>
          <w:szCs w:val="24"/>
          <w:lang w:eastAsia="en-GB"/>
        </w:rPr>
      </w:pPr>
      <w:r w:rsidRPr="000034FF">
        <w:rPr>
          <w:rFonts w:eastAsia="Times New Roman" w:cs="Arial"/>
          <w:color w:val="002060"/>
          <w:sz w:val="24"/>
          <w:szCs w:val="24"/>
          <w:lang w:eastAsia="en-GB"/>
        </w:rPr>
        <w:t>Society of St James: percentage of cohort showing positive change for 'emotional and mental health' outcomes star score - RESET monitoring data (5.1.2.b).</w:t>
      </w:r>
    </w:p>
    <w:p w:rsidR="001F002D" w:rsidRPr="000034FF" w:rsidRDefault="001F002D" w:rsidP="001F002D">
      <w:pPr>
        <w:pStyle w:val="ListParagraph"/>
        <w:numPr>
          <w:ilvl w:val="0"/>
          <w:numId w:val="11"/>
        </w:numPr>
        <w:spacing w:line="240" w:lineRule="auto"/>
        <w:rPr>
          <w:rFonts w:eastAsia="Times New Roman" w:cs="Arial"/>
          <w:color w:val="002060"/>
          <w:sz w:val="24"/>
          <w:szCs w:val="24"/>
          <w:lang w:eastAsia="en-GB"/>
        </w:rPr>
      </w:pPr>
      <w:r w:rsidRPr="000034FF">
        <w:rPr>
          <w:rFonts w:eastAsia="Times New Roman" w:cs="Arial"/>
          <w:color w:val="002060"/>
          <w:sz w:val="24"/>
          <w:szCs w:val="24"/>
          <w:lang w:eastAsia="en-GB"/>
        </w:rPr>
        <w:t>No Limits: average score change in mental health pain scale - A&amp;E Navigators monitoring data (5.1.2.c).</w:t>
      </w:r>
    </w:p>
    <w:p w:rsidR="001F002D" w:rsidRPr="000034FF" w:rsidRDefault="001F002D" w:rsidP="001F002D">
      <w:pPr>
        <w:pStyle w:val="ListParagraph"/>
        <w:numPr>
          <w:ilvl w:val="0"/>
          <w:numId w:val="11"/>
        </w:numPr>
        <w:spacing w:line="240" w:lineRule="auto"/>
        <w:rPr>
          <w:rFonts w:eastAsia="Times New Roman" w:cs="Arial"/>
          <w:color w:val="002060"/>
          <w:sz w:val="24"/>
          <w:szCs w:val="24"/>
          <w:lang w:eastAsia="en-GB"/>
        </w:rPr>
      </w:pPr>
      <w:r w:rsidRPr="000034FF">
        <w:rPr>
          <w:rFonts w:eastAsia="Times New Roman" w:cs="Arial"/>
          <w:color w:val="002060"/>
          <w:sz w:val="24"/>
          <w:szCs w:val="24"/>
          <w:lang w:eastAsia="en-GB"/>
        </w:rPr>
        <w:t>No Limits: percentage of cohort showing a reduced score in mental health pain scale - A&amp;E Navigators monitoring data (5.1.2.d).</w:t>
      </w:r>
    </w:p>
    <w:p w:rsidR="001F002D" w:rsidRPr="00BF7546" w:rsidRDefault="001F002D" w:rsidP="001F002D">
      <w:pPr>
        <w:pStyle w:val="ListParagraph"/>
        <w:numPr>
          <w:ilvl w:val="1"/>
          <w:numId w:val="9"/>
        </w:numPr>
        <w:rPr>
          <w:rFonts w:cstheme="minorHAnsi"/>
          <w:color w:val="002060"/>
          <w:sz w:val="24"/>
          <w:szCs w:val="24"/>
        </w:rPr>
      </w:pPr>
      <w:r w:rsidRPr="00BF7546">
        <w:rPr>
          <w:rFonts w:cstheme="minorHAnsi"/>
          <w:color w:val="002060"/>
          <w:sz w:val="24"/>
          <w:szCs w:val="24"/>
        </w:rPr>
        <w:t>Increased provision of trusted adults for young people, measured by data source:</w:t>
      </w:r>
    </w:p>
    <w:p w:rsidR="001F002D" w:rsidRPr="000034FF" w:rsidRDefault="001F002D" w:rsidP="001F002D">
      <w:pPr>
        <w:pStyle w:val="ListParagraph"/>
        <w:numPr>
          <w:ilvl w:val="0"/>
          <w:numId w:val="12"/>
        </w:numPr>
        <w:spacing w:line="240" w:lineRule="auto"/>
        <w:rPr>
          <w:rFonts w:eastAsia="Times New Roman" w:cs="Arial"/>
          <w:color w:val="002060"/>
          <w:sz w:val="24"/>
          <w:szCs w:val="24"/>
          <w:lang w:eastAsia="en-GB"/>
        </w:rPr>
      </w:pPr>
      <w:r w:rsidRPr="000034FF">
        <w:rPr>
          <w:rFonts w:eastAsia="Times New Roman" w:cs="Arial"/>
          <w:color w:val="002060"/>
          <w:sz w:val="24"/>
          <w:szCs w:val="24"/>
          <w:lang w:eastAsia="en-GB"/>
        </w:rPr>
        <w:t>No Limits: number of young people receiving support via social prescribing - A&amp;E Navigators monitoring data (5.1.3.a).</w:t>
      </w:r>
    </w:p>
    <w:p w:rsidR="001F002D" w:rsidRPr="000034FF" w:rsidRDefault="001F002D" w:rsidP="001F002D">
      <w:pPr>
        <w:pStyle w:val="ListParagraph"/>
        <w:numPr>
          <w:ilvl w:val="0"/>
          <w:numId w:val="12"/>
        </w:numPr>
        <w:spacing w:line="240" w:lineRule="auto"/>
        <w:rPr>
          <w:rFonts w:eastAsia="Times New Roman" w:cs="Arial"/>
          <w:color w:val="002060"/>
          <w:sz w:val="24"/>
          <w:szCs w:val="24"/>
          <w:lang w:eastAsia="en-GB"/>
        </w:rPr>
      </w:pPr>
      <w:r w:rsidRPr="000034FF">
        <w:rPr>
          <w:rFonts w:eastAsia="Times New Roman" w:cs="Arial"/>
          <w:color w:val="002060"/>
          <w:sz w:val="24"/>
          <w:szCs w:val="24"/>
          <w:lang w:eastAsia="en-GB"/>
        </w:rPr>
        <w:t>Society of St James: number of young people receiving support in the community - RESET monitoring data (5.1.3.b).</w:t>
      </w:r>
    </w:p>
    <w:p w:rsidR="001F002D" w:rsidRPr="00BF7546" w:rsidRDefault="001F002D" w:rsidP="001F002D">
      <w:pPr>
        <w:pStyle w:val="ListParagraph"/>
        <w:numPr>
          <w:ilvl w:val="1"/>
          <w:numId w:val="9"/>
        </w:numPr>
        <w:rPr>
          <w:rFonts w:cstheme="minorHAnsi"/>
          <w:color w:val="002060"/>
          <w:sz w:val="24"/>
          <w:szCs w:val="24"/>
        </w:rPr>
      </w:pPr>
      <w:r w:rsidRPr="00BF7546">
        <w:rPr>
          <w:rFonts w:cstheme="minorHAnsi"/>
          <w:color w:val="002060"/>
          <w:sz w:val="24"/>
          <w:szCs w:val="24"/>
        </w:rPr>
        <w:t>Improved relationships for young people, measured by data source:</w:t>
      </w:r>
    </w:p>
    <w:p w:rsidR="001F002D" w:rsidRPr="000034FF" w:rsidRDefault="001F002D" w:rsidP="001F002D">
      <w:pPr>
        <w:pStyle w:val="ListParagraph"/>
        <w:numPr>
          <w:ilvl w:val="0"/>
          <w:numId w:val="13"/>
        </w:numPr>
        <w:spacing w:line="240" w:lineRule="auto"/>
        <w:rPr>
          <w:rFonts w:eastAsia="Times New Roman" w:cs="Arial"/>
          <w:color w:val="002060"/>
          <w:sz w:val="24"/>
          <w:szCs w:val="24"/>
          <w:lang w:eastAsia="en-GB"/>
        </w:rPr>
      </w:pPr>
      <w:r w:rsidRPr="000034FF">
        <w:rPr>
          <w:rFonts w:eastAsia="Times New Roman" w:cs="Arial"/>
          <w:color w:val="002060"/>
          <w:sz w:val="24"/>
          <w:szCs w:val="24"/>
          <w:lang w:eastAsia="en-GB"/>
        </w:rPr>
        <w:t>Society of St James: average score change for 'social networks and relationships' outcomes star score in - RESET monitoring data (5.1.4.a).</w:t>
      </w:r>
    </w:p>
    <w:p w:rsidR="001F002D" w:rsidRPr="000034FF" w:rsidRDefault="001F002D" w:rsidP="001F002D">
      <w:pPr>
        <w:pStyle w:val="ListParagraph"/>
        <w:numPr>
          <w:ilvl w:val="0"/>
          <w:numId w:val="13"/>
        </w:numPr>
        <w:spacing w:line="240" w:lineRule="auto"/>
        <w:rPr>
          <w:rFonts w:eastAsia="Times New Roman" w:cs="Arial"/>
          <w:color w:val="002060"/>
          <w:sz w:val="24"/>
          <w:szCs w:val="24"/>
          <w:lang w:eastAsia="en-GB"/>
        </w:rPr>
      </w:pPr>
      <w:r w:rsidRPr="000034FF">
        <w:rPr>
          <w:rFonts w:eastAsia="Times New Roman" w:cs="Arial"/>
          <w:color w:val="002060"/>
          <w:sz w:val="24"/>
          <w:szCs w:val="24"/>
          <w:lang w:eastAsia="en-GB"/>
        </w:rPr>
        <w:t>Society of St James: percentage of cohort showing positive change for 'social networks and relationships' outcomes star score - RESET monitoring data (5.1.4.b).</w:t>
      </w:r>
    </w:p>
    <w:p w:rsidR="001F002D" w:rsidRPr="00450211" w:rsidRDefault="001F002D" w:rsidP="001F002D">
      <w:pPr>
        <w:pStyle w:val="ListParagraph"/>
        <w:numPr>
          <w:ilvl w:val="1"/>
          <w:numId w:val="9"/>
        </w:numPr>
        <w:rPr>
          <w:rFonts w:cstheme="minorHAnsi"/>
          <w:color w:val="002060"/>
          <w:sz w:val="24"/>
          <w:szCs w:val="24"/>
        </w:rPr>
      </w:pPr>
      <w:r w:rsidRPr="00450211">
        <w:rPr>
          <w:rFonts w:cstheme="minorHAnsi"/>
          <w:color w:val="002060"/>
          <w:sz w:val="24"/>
          <w:szCs w:val="24"/>
        </w:rPr>
        <w:lastRenderedPageBreak/>
        <w:t>Improved knowledge and attitudes towards knife crime and violence amongst young people, including at-risk cohorts, measured by data source:</w:t>
      </w:r>
    </w:p>
    <w:p w:rsidR="001F002D" w:rsidRPr="003E138D" w:rsidRDefault="001F002D" w:rsidP="001F002D">
      <w:pPr>
        <w:pStyle w:val="ListParagraph"/>
        <w:numPr>
          <w:ilvl w:val="0"/>
          <w:numId w:val="14"/>
        </w:numPr>
        <w:spacing w:line="240" w:lineRule="auto"/>
        <w:rPr>
          <w:rFonts w:eastAsia="Times New Roman" w:cs="Arial"/>
          <w:color w:val="002060"/>
          <w:sz w:val="24"/>
          <w:szCs w:val="24"/>
          <w:lang w:eastAsia="en-GB"/>
        </w:rPr>
      </w:pPr>
      <w:r w:rsidRPr="003E138D">
        <w:rPr>
          <w:rFonts w:eastAsia="Times New Roman" w:cs="Arial"/>
          <w:color w:val="002060"/>
          <w:sz w:val="24"/>
          <w:szCs w:val="24"/>
          <w:lang w:eastAsia="en-GB"/>
        </w:rPr>
        <w:t>Artswork: number of young people reached - Choices monitoring data (5.1.5.a).</w:t>
      </w:r>
    </w:p>
    <w:p w:rsidR="001F002D" w:rsidRPr="003E138D" w:rsidRDefault="001F002D" w:rsidP="001F002D">
      <w:pPr>
        <w:pStyle w:val="ListParagraph"/>
        <w:numPr>
          <w:ilvl w:val="0"/>
          <w:numId w:val="14"/>
        </w:numPr>
        <w:spacing w:line="240" w:lineRule="auto"/>
        <w:rPr>
          <w:rFonts w:eastAsia="Times New Roman" w:cs="Arial"/>
          <w:color w:val="002060"/>
          <w:sz w:val="24"/>
          <w:szCs w:val="24"/>
          <w:lang w:eastAsia="en-GB"/>
        </w:rPr>
      </w:pPr>
      <w:r w:rsidRPr="003E138D">
        <w:rPr>
          <w:rFonts w:eastAsia="Times New Roman" w:cs="Arial"/>
          <w:color w:val="002060"/>
          <w:sz w:val="24"/>
          <w:szCs w:val="24"/>
          <w:lang w:eastAsia="en-GB"/>
        </w:rPr>
        <w:t>Artswork: number of young people reached from schools in hotspot areas and target schools - Choices monitoring data (5.1.5.b).</w:t>
      </w:r>
    </w:p>
    <w:p w:rsidR="001F002D" w:rsidRPr="003E138D" w:rsidRDefault="001F002D" w:rsidP="001F002D">
      <w:pPr>
        <w:pStyle w:val="ListParagraph"/>
        <w:numPr>
          <w:ilvl w:val="1"/>
          <w:numId w:val="9"/>
        </w:numPr>
        <w:spacing w:line="240" w:lineRule="auto"/>
        <w:rPr>
          <w:rFonts w:eastAsia="Times New Roman" w:cs="Arial"/>
          <w:color w:val="002060"/>
          <w:sz w:val="24"/>
          <w:szCs w:val="24"/>
          <w:lang w:eastAsia="en-GB"/>
        </w:rPr>
      </w:pPr>
      <w:r w:rsidRPr="003E138D">
        <w:rPr>
          <w:rFonts w:eastAsia="Times New Roman" w:cs="Arial"/>
          <w:color w:val="002060"/>
          <w:sz w:val="24"/>
          <w:szCs w:val="24"/>
          <w:lang w:eastAsia="en-GB"/>
        </w:rPr>
        <w:t>Improved knowledge and attitudes towards knife crime and violence amongst school staff, measured by data source:</w:t>
      </w:r>
    </w:p>
    <w:p w:rsidR="001F002D" w:rsidRPr="003E138D" w:rsidRDefault="001F002D" w:rsidP="001F002D">
      <w:pPr>
        <w:pStyle w:val="ListParagraph"/>
        <w:numPr>
          <w:ilvl w:val="0"/>
          <w:numId w:val="19"/>
        </w:numPr>
        <w:spacing w:line="240" w:lineRule="auto"/>
        <w:rPr>
          <w:rFonts w:eastAsia="Times New Roman" w:cs="Arial"/>
          <w:color w:val="002060"/>
          <w:sz w:val="24"/>
          <w:szCs w:val="24"/>
          <w:lang w:eastAsia="en-GB"/>
        </w:rPr>
      </w:pPr>
      <w:r w:rsidRPr="003E138D">
        <w:rPr>
          <w:rFonts w:eastAsia="Times New Roman" w:cs="Arial"/>
          <w:color w:val="002060"/>
          <w:sz w:val="24"/>
          <w:szCs w:val="24"/>
          <w:lang w:eastAsia="en-GB"/>
        </w:rPr>
        <w:t>Artswork: score change in average knowledge between pre and post-training of using creative approaches within the classroom to reduce the risk of children becoming involved in violent activities - Choices monitoring data (5.1.6.a).</w:t>
      </w:r>
    </w:p>
    <w:p w:rsidR="001F002D" w:rsidRPr="003E138D" w:rsidRDefault="001F002D" w:rsidP="001F002D">
      <w:pPr>
        <w:pStyle w:val="ListParagraph"/>
        <w:numPr>
          <w:ilvl w:val="0"/>
          <w:numId w:val="19"/>
        </w:numPr>
        <w:spacing w:line="240" w:lineRule="auto"/>
        <w:rPr>
          <w:rFonts w:eastAsia="Times New Roman" w:cs="Arial"/>
          <w:color w:val="002060"/>
          <w:sz w:val="24"/>
          <w:szCs w:val="24"/>
          <w:lang w:eastAsia="en-GB"/>
        </w:rPr>
      </w:pPr>
      <w:r w:rsidRPr="003E138D">
        <w:rPr>
          <w:rFonts w:eastAsia="Times New Roman" w:cs="Arial"/>
          <w:color w:val="002060"/>
          <w:sz w:val="24"/>
          <w:szCs w:val="24"/>
          <w:lang w:eastAsia="en-GB"/>
        </w:rPr>
        <w:t>Artswork: score change in average confidence between pre and post-training in using creative approaches within the classroom to reduce the risk of children becoming involved in violent activities - Choices monitoring data (5.1.6.b).</w:t>
      </w:r>
    </w:p>
    <w:p w:rsidR="001F002D" w:rsidRPr="003E138D" w:rsidRDefault="001F002D" w:rsidP="001F002D">
      <w:pPr>
        <w:pStyle w:val="ListParagraph"/>
        <w:numPr>
          <w:ilvl w:val="1"/>
          <w:numId w:val="9"/>
        </w:numPr>
        <w:spacing w:line="240" w:lineRule="auto"/>
        <w:rPr>
          <w:rFonts w:eastAsia="Times New Roman" w:cs="Arial"/>
          <w:color w:val="002060"/>
          <w:sz w:val="24"/>
          <w:szCs w:val="24"/>
          <w:lang w:eastAsia="en-GB"/>
        </w:rPr>
      </w:pPr>
      <w:r w:rsidRPr="003E138D">
        <w:rPr>
          <w:rFonts w:eastAsia="Times New Roman" w:cs="Arial"/>
          <w:color w:val="002060"/>
          <w:sz w:val="24"/>
          <w:szCs w:val="24"/>
          <w:lang w:eastAsia="en-GB"/>
        </w:rPr>
        <w:t xml:space="preserve">Improved confidence amongst young people in making positive choices when others are not, measured by data source: </w:t>
      </w:r>
    </w:p>
    <w:p w:rsidR="001F002D" w:rsidRPr="003E138D" w:rsidRDefault="001F002D" w:rsidP="001F002D">
      <w:pPr>
        <w:pStyle w:val="ListParagraph"/>
        <w:numPr>
          <w:ilvl w:val="0"/>
          <w:numId w:val="20"/>
        </w:numPr>
        <w:spacing w:after="0" w:line="240" w:lineRule="auto"/>
        <w:rPr>
          <w:rFonts w:eastAsia="Times New Roman" w:cs="Arial"/>
          <w:color w:val="002060"/>
          <w:sz w:val="24"/>
          <w:szCs w:val="24"/>
          <w:lang w:eastAsia="en-GB"/>
        </w:rPr>
      </w:pPr>
      <w:r w:rsidRPr="003E138D">
        <w:rPr>
          <w:rFonts w:eastAsia="Times New Roman" w:cs="Arial"/>
          <w:color w:val="002060"/>
          <w:sz w:val="24"/>
          <w:szCs w:val="24"/>
          <w:lang w:eastAsia="en-GB"/>
        </w:rPr>
        <w:t>Artswork: overall percentage change between workshop 1 and workshop 2 in the number of young people reporting ‘agree’ to 'I feel confident to make positive choices even when my friends are making negative ones' - Choices monitoring data (5.1.7.a).</w:t>
      </w:r>
    </w:p>
    <w:p w:rsidR="001F002D" w:rsidRPr="003E138D" w:rsidRDefault="001F002D" w:rsidP="001F002D">
      <w:pPr>
        <w:pStyle w:val="ListParagraph"/>
        <w:numPr>
          <w:ilvl w:val="0"/>
          <w:numId w:val="20"/>
        </w:numPr>
        <w:spacing w:after="0" w:line="240" w:lineRule="auto"/>
        <w:rPr>
          <w:rFonts w:eastAsia="Times New Roman" w:cs="Arial"/>
          <w:color w:val="002060"/>
          <w:sz w:val="24"/>
          <w:szCs w:val="24"/>
          <w:lang w:eastAsia="en-GB"/>
        </w:rPr>
      </w:pPr>
      <w:r w:rsidRPr="003E138D">
        <w:rPr>
          <w:rFonts w:eastAsia="Times New Roman" w:cs="Arial"/>
          <w:color w:val="002060"/>
          <w:sz w:val="24"/>
          <w:szCs w:val="24"/>
          <w:lang w:eastAsia="en-GB"/>
        </w:rPr>
        <w:t>Artswork: overall percentage change between workshop 1 and workshop 2 in the number of young people reporting ‘disagree’ to 'I feel confident to make positive choices even when my friends are making negative ones' - Choices monitoring data (5.1.7.b) .</w:t>
      </w:r>
    </w:p>
    <w:p w:rsidR="001F002D" w:rsidRPr="003E138D" w:rsidRDefault="001F002D" w:rsidP="001F002D">
      <w:pPr>
        <w:pStyle w:val="ListParagraph"/>
        <w:numPr>
          <w:ilvl w:val="0"/>
          <w:numId w:val="20"/>
        </w:numPr>
        <w:spacing w:after="0" w:line="240" w:lineRule="auto"/>
        <w:rPr>
          <w:rFonts w:eastAsia="Times New Roman" w:cs="Arial"/>
          <w:color w:val="002060"/>
          <w:sz w:val="24"/>
          <w:szCs w:val="24"/>
          <w:lang w:eastAsia="en-GB"/>
        </w:rPr>
      </w:pPr>
      <w:r w:rsidRPr="003E138D">
        <w:rPr>
          <w:rFonts w:eastAsia="Times New Roman" w:cs="Arial"/>
          <w:color w:val="002060"/>
          <w:sz w:val="24"/>
          <w:szCs w:val="24"/>
          <w:lang w:eastAsia="en-GB"/>
        </w:rPr>
        <w:t>Artswork: overall percentage change between workshop 1 and workshop 2 in the number of young people reporting ‘don’t know’ to 'I feel confident to make positive choices even when my friends are making negative ones' - Choices monitoring data (5.1.7.c).</w:t>
      </w:r>
    </w:p>
    <w:p w:rsidR="001F002D" w:rsidRPr="003E138D" w:rsidRDefault="001F002D" w:rsidP="001F002D">
      <w:pPr>
        <w:pStyle w:val="ListParagraph"/>
        <w:spacing w:after="0" w:line="240" w:lineRule="auto"/>
        <w:ind w:left="1440"/>
        <w:rPr>
          <w:rFonts w:ascii="Calibri" w:eastAsia="Times New Roman" w:hAnsi="Calibri" w:cs="Calibri"/>
          <w:lang w:eastAsia="en-GB"/>
        </w:rPr>
      </w:pPr>
    </w:p>
    <w:p w:rsidR="001F002D" w:rsidRPr="00810AF0" w:rsidRDefault="001F002D" w:rsidP="001F002D">
      <w:pPr>
        <w:pStyle w:val="ListParagraph"/>
        <w:numPr>
          <w:ilvl w:val="0"/>
          <w:numId w:val="8"/>
        </w:numPr>
        <w:rPr>
          <w:rFonts w:cstheme="minorHAnsi"/>
          <w:color w:val="002060"/>
          <w:sz w:val="24"/>
          <w:szCs w:val="24"/>
        </w:rPr>
      </w:pPr>
      <w:r w:rsidRPr="00810AF0">
        <w:rPr>
          <w:rFonts w:eastAsia="Times New Roman" w:cs="Arial"/>
          <w:color w:val="002060"/>
          <w:sz w:val="24"/>
          <w:szCs w:val="24"/>
          <w:lang w:eastAsia="en-GB"/>
        </w:rPr>
        <w:t xml:space="preserve">Reoffending in VRU supported cohort is reduced.  </w:t>
      </w:r>
      <w:r w:rsidRPr="00810AF0">
        <w:rPr>
          <w:rFonts w:cstheme="minorHAnsi"/>
          <w:color w:val="002060"/>
          <w:sz w:val="24"/>
          <w:szCs w:val="24"/>
        </w:rPr>
        <w:t xml:space="preserve">The success measures to achieve this will be: </w:t>
      </w:r>
    </w:p>
    <w:p w:rsidR="001F002D" w:rsidRDefault="001F002D" w:rsidP="001F002D">
      <w:pPr>
        <w:pStyle w:val="ListParagraph"/>
        <w:numPr>
          <w:ilvl w:val="1"/>
          <w:numId w:val="9"/>
        </w:numPr>
        <w:spacing w:line="240" w:lineRule="auto"/>
        <w:rPr>
          <w:rFonts w:eastAsia="Times New Roman" w:cs="Arial"/>
          <w:color w:val="002060"/>
          <w:sz w:val="24"/>
          <w:szCs w:val="24"/>
          <w:lang w:eastAsia="en-GB"/>
        </w:rPr>
      </w:pPr>
      <w:r w:rsidRPr="00810AF0">
        <w:rPr>
          <w:rFonts w:eastAsia="Times New Roman" w:cs="Arial"/>
          <w:color w:val="002060"/>
          <w:sz w:val="24"/>
          <w:szCs w:val="24"/>
          <w:lang w:eastAsia="en-GB"/>
        </w:rPr>
        <w:t>Levels of reoffending decrease, measured by data source:</w:t>
      </w:r>
    </w:p>
    <w:p w:rsidR="001F002D" w:rsidRPr="000034FF" w:rsidRDefault="001F002D" w:rsidP="001F002D">
      <w:pPr>
        <w:pStyle w:val="ListParagraph"/>
        <w:numPr>
          <w:ilvl w:val="0"/>
          <w:numId w:val="15"/>
        </w:numPr>
        <w:spacing w:line="240" w:lineRule="auto"/>
        <w:rPr>
          <w:rFonts w:eastAsia="Times New Roman" w:cs="Arial"/>
          <w:color w:val="002060"/>
          <w:sz w:val="24"/>
          <w:szCs w:val="24"/>
          <w:lang w:eastAsia="en-GB"/>
        </w:rPr>
      </w:pPr>
      <w:r w:rsidRPr="000034FF">
        <w:rPr>
          <w:rFonts w:eastAsia="Times New Roman" w:cs="Arial"/>
          <w:color w:val="002060"/>
          <w:sz w:val="24"/>
          <w:szCs w:val="24"/>
          <w:lang w:eastAsia="en-GB"/>
        </w:rPr>
        <w:t>Constabulary: percentage of young people who do not reoffend - RESET monitoring data (5.2.1.a).</w:t>
      </w:r>
    </w:p>
    <w:p w:rsidR="001F002D" w:rsidRPr="00B95A5C" w:rsidRDefault="001F002D" w:rsidP="001F002D">
      <w:pPr>
        <w:pStyle w:val="ListParagraph"/>
        <w:numPr>
          <w:ilvl w:val="1"/>
          <w:numId w:val="9"/>
        </w:numPr>
        <w:spacing w:line="240" w:lineRule="auto"/>
        <w:rPr>
          <w:rFonts w:eastAsia="Times New Roman" w:cs="Arial"/>
          <w:color w:val="002060"/>
          <w:sz w:val="24"/>
          <w:szCs w:val="24"/>
          <w:lang w:eastAsia="en-GB"/>
        </w:rPr>
      </w:pPr>
      <w:r w:rsidRPr="00B95A5C">
        <w:rPr>
          <w:rFonts w:eastAsia="Times New Roman" w:cs="Arial"/>
          <w:color w:val="002060"/>
          <w:sz w:val="24"/>
          <w:szCs w:val="24"/>
          <w:lang w:eastAsia="en-GB"/>
        </w:rPr>
        <w:t>Young people are moving towards decreased offending behaviour, measured by data source:</w:t>
      </w:r>
    </w:p>
    <w:p w:rsidR="001F002D" w:rsidRPr="000034FF" w:rsidRDefault="001F002D" w:rsidP="001F002D">
      <w:pPr>
        <w:pStyle w:val="ListParagraph"/>
        <w:numPr>
          <w:ilvl w:val="0"/>
          <w:numId w:val="15"/>
        </w:numPr>
        <w:spacing w:line="240" w:lineRule="auto"/>
        <w:rPr>
          <w:rFonts w:eastAsia="Times New Roman" w:cs="Arial"/>
          <w:color w:val="002060"/>
          <w:sz w:val="24"/>
          <w:szCs w:val="24"/>
          <w:lang w:eastAsia="en-GB"/>
        </w:rPr>
      </w:pPr>
      <w:r w:rsidRPr="000034FF">
        <w:rPr>
          <w:rFonts w:eastAsia="Times New Roman" w:cs="Arial"/>
          <w:color w:val="002060"/>
          <w:sz w:val="24"/>
          <w:szCs w:val="24"/>
          <w:lang w:eastAsia="en-GB"/>
        </w:rPr>
        <w:t xml:space="preserve">Constabulary: percentage of young people </w:t>
      </w:r>
      <w:r w:rsidRPr="000034FF">
        <w:rPr>
          <w:rFonts w:eastAsia="Times New Roman" w:cs="Arial"/>
          <w:color w:val="002060"/>
          <w:sz w:val="24"/>
          <w:szCs w:val="24"/>
          <w:lang w:eastAsia="en-GB"/>
        </w:rPr>
        <w:t>whose</w:t>
      </w:r>
      <w:r w:rsidRPr="000034FF">
        <w:rPr>
          <w:rFonts w:eastAsia="Times New Roman" w:cs="Arial"/>
          <w:color w:val="002060"/>
          <w:sz w:val="24"/>
          <w:szCs w:val="24"/>
          <w:lang w:eastAsia="en-GB"/>
        </w:rPr>
        <w:t xml:space="preserve"> Crime Harm Index score reduces - RESET monitoring data (5.2.2.a).</w:t>
      </w:r>
    </w:p>
    <w:p w:rsidR="001F002D" w:rsidRPr="000034FF" w:rsidRDefault="001F002D" w:rsidP="001F002D">
      <w:pPr>
        <w:pStyle w:val="ListParagraph"/>
        <w:numPr>
          <w:ilvl w:val="0"/>
          <w:numId w:val="15"/>
        </w:numPr>
        <w:spacing w:line="240" w:lineRule="auto"/>
        <w:rPr>
          <w:rFonts w:eastAsia="Times New Roman" w:cs="Arial"/>
          <w:color w:val="002060"/>
          <w:sz w:val="24"/>
          <w:szCs w:val="24"/>
          <w:lang w:eastAsia="en-GB"/>
        </w:rPr>
      </w:pPr>
      <w:r w:rsidRPr="000034FF">
        <w:rPr>
          <w:rFonts w:eastAsia="Times New Roman" w:cs="Arial"/>
          <w:color w:val="002060"/>
          <w:sz w:val="24"/>
          <w:szCs w:val="24"/>
          <w:lang w:eastAsia="en-GB"/>
        </w:rPr>
        <w:t>Society of St James: average score change for 'offending' outcomes star score - RESET monitoring data (5.2.2.b).</w:t>
      </w:r>
    </w:p>
    <w:p w:rsidR="001F002D" w:rsidRDefault="001F002D" w:rsidP="001F002D">
      <w:pPr>
        <w:pStyle w:val="ListParagraph"/>
        <w:numPr>
          <w:ilvl w:val="0"/>
          <w:numId w:val="15"/>
        </w:numPr>
        <w:spacing w:line="240" w:lineRule="auto"/>
        <w:rPr>
          <w:rFonts w:eastAsia="Times New Roman" w:cs="Arial"/>
          <w:color w:val="002060"/>
          <w:sz w:val="24"/>
          <w:szCs w:val="24"/>
          <w:lang w:eastAsia="en-GB"/>
        </w:rPr>
      </w:pPr>
      <w:r w:rsidRPr="000034FF">
        <w:rPr>
          <w:rFonts w:eastAsia="Times New Roman" w:cs="Arial"/>
          <w:color w:val="002060"/>
          <w:sz w:val="24"/>
          <w:szCs w:val="24"/>
          <w:lang w:eastAsia="en-GB"/>
        </w:rPr>
        <w:t>Society of St James: percentage of cohort sho</w:t>
      </w:r>
      <w:bookmarkStart w:id="5" w:name="_GoBack"/>
      <w:bookmarkEnd w:id="5"/>
      <w:r w:rsidRPr="000034FF">
        <w:rPr>
          <w:rFonts w:eastAsia="Times New Roman" w:cs="Arial"/>
          <w:color w:val="002060"/>
          <w:sz w:val="24"/>
          <w:szCs w:val="24"/>
          <w:lang w:eastAsia="en-GB"/>
        </w:rPr>
        <w:t>wing positive change for 'offending' outcomes star score - RESET monitoring data (5.2.2.c).</w:t>
      </w:r>
    </w:p>
    <w:p w:rsidR="001F002D" w:rsidRPr="000034FF" w:rsidRDefault="001F002D" w:rsidP="001F002D">
      <w:pPr>
        <w:pStyle w:val="ListParagraph"/>
        <w:spacing w:line="240" w:lineRule="auto"/>
        <w:ind w:left="1440"/>
        <w:rPr>
          <w:rFonts w:eastAsia="Times New Roman" w:cs="Arial"/>
          <w:color w:val="002060"/>
          <w:sz w:val="24"/>
          <w:szCs w:val="24"/>
          <w:lang w:eastAsia="en-GB"/>
        </w:rPr>
      </w:pPr>
    </w:p>
    <w:p w:rsidR="001F002D" w:rsidRPr="00810AF0" w:rsidRDefault="001F002D" w:rsidP="001F002D">
      <w:pPr>
        <w:pStyle w:val="ListParagraph"/>
        <w:numPr>
          <w:ilvl w:val="0"/>
          <w:numId w:val="8"/>
        </w:numPr>
        <w:spacing w:line="240" w:lineRule="auto"/>
        <w:rPr>
          <w:rFonts w:eastAsia="Times New Roman" w:cs="Arial"/>
          <w:color w:val="002060"/>
          <w:sz w:val="24"/>
          <w:szCs w:val="24"/>
          <w:lang w:eastAsia="en-GB"/>
        </w:rPr>
      </w:pPr>
      <w:r w:rsidRPr="00810AF0">
        <w:rPr>
          <w:rFonts w:eastAsia="Times New Roman" w:cs="Arial"/>
          <w:color w:val="002060"/>
          <w:sz w:val="24"/>
          <w:szCs w:val="24"/>
          <w:lang w:eastAsia="en-GB"/>
        </w:rPr>
        <w:lastRenderedPageBreak/>
        <w:t xml:space="preserve">Trauma informed approach within Policing.  The success measures to achieve this will be: </w:t>
      </w:r>
    </w:p>
    <w:p w:rsidR="001F002D" w:rsidRPr="00810AF0" w:rsidRDefault="001F002D" w:rsidP="001F002D">
      <w:pPr>
        <w:pStyle w:val="ListParagraph"/>
        <w:numPr>
          <w:ilvl w:val="1"/>
          <w:numId w:val="9"/>
        </w:numPr>
        <w:spacing w:line="240" w:lineRule="auto"/>
        <w:rPr>
          <w:rFonts w:eastAsia="Times New Roman" w:cs="Arial"/>
          <w:color w:val="002060"/>
          <w:sz w:val="24"/>
          <w:szCs w:val="24"/>
          <w:lang w:eastAsia="en-GB"/>
        </w:rPr>
      </w:pPr>
      <w:r w:rsidRPr="00810AF0">
        <w:rPr>
          <w:rFonts w:eastAsia="Times New Roman" w:cs="Arial"/>
          <w:color w:val="002060"/>
          <w:sz w:val="24"/>
          <w:szCs w:val="24"/>
          <w:lang w:eastAsia="en-GB"/>
        </w:rPr>
        <w:t xml:space="preserve">Increased trauma informed knowledge, attitudes and behaviours from Police officers, measured by data source: </w:t>
      </w:r>
    </w:p>
    <w:p w:rsidR="001F002D" w:rsidRPr="000034FF" w:rsidRDefault="001F002D" w:rsidP="001F002D">
      <w:pPr>
        <w:pStyle w:val="ListParagraph"/>
        <w:numPr>
          <w:ilvl w:val="0"/>
          <w:numId w:val="16"/>
        </w:numPr>
        <w:spacing w:line="240" w:lineRule="auto"/>
        <w:rPr>
          <w:rFonts w:eastAsia="Times New Roman" w:cs="Arial"/>
          <w:color w:val="002060"/>
          <w:sz w:val="24"/>
          <w:szCs w:val="24"/>
          <w:lang w:eastAsia="en-GB"/>
        </w:rPr>
      </w:pPr>
      <w:r w:rsidRPr="000034FF">
        <w:rPr>
          <w:rFonts w:eastAsia="Times New Roman" w:cs="Arial"/>
          <w:color w:val="002060"/>
          <w:sz w:val="24"/>
          <w:szCs w:val="24"/>
          <w:lang w:eastAsia="en-GB"/>
        </w:rPr>
        <w:t xml:space="preserve">Rock Pool: number of 1-1 reflective practice sessions delivered to </w:t>
      </w:r>
      <w:r>
        <w:rPr>
          <w:rFonts w:eastAsia="Times New Roman" w:cs="Arial"/>
          <w:color w:val="002060"/>
          <w:sz w:val="24"/>
          <w:szCs w:val="24"/>
          <w:lang w:eastAsia="en-GB"/>
        </w:rPr>
        <w:t>P</w:t>
      </w:r>
      <w:r w:rsidRPr="000034FF">
        <w:rPr>
          <w:rFonts w:eastAsia="Times New Roman" w:cs="Arial"/>
          <w:color w:val="002060"/>
          <w:sz w:val="24"/>
          <w:szCs w:val="24"/>
          <w:lang w:eastAsia="en-GB"/>
        </w:rPr>
        <w:t>olice</w:t>
      </w:r>
      <w:r>
        <w:rPr>
          <w:rFonts w:eastAsia="Times New Roman" w:cs="Arial"/>
          <w:color w:val="002060"/>
          <w:sz w:val="24"/>
          <w:szCs w:val="24"/>
          <w:lang w:eastAsia="en-GB"/>
        </w:rPr>
        <w:t xml:space="preserve"> and number of Police group discussions facilitated</w:t>
      </w:r>
      <w:r w:rsidRPr="000034FF">
        <w:rPr>
          <w:rFonts w:eastAsia="Times New Roman" w:cs="Arial"/>
          <w:color w:val="002060"/>
          <w:sz w:val="24"/>
          <w:szCs w:val="24"/>
          <w:lang w:eastAsia="en-GB"/>
        </w:rPr>
        <w:t xml:space="preserve"> - TIPS monitoring data (5.3.1.a).</w:t>
      </w:r>
    </w:p>
    <w:p w:rsidR="001F002D" w:rsidRPr="000034FF" w:rsidRDefault="001F002D" w:rsidP="001F002D">
      <w:pPr>
        <w:pStyle w:val="ListParagraph"/>
        <w:numPr>
          <w:ilvl w:val="0"/>
          <w:numId w:val="16"/>
        </w:numPr>
        <w:spacing w:line="240" w:lineRule="auto"/>
        <w:rPr>
          <w:rFonts w:eastAsia="Times New Roman" w:cs="Arial"/>
          <w:color w:val="002060"/>
          <w:sz w:val="24"/>
          <w:szCs w:val="24"/>
          <w:lang w:eastAsia="en-GB"/>
        </w:rPr>
      </w:pPr>
      <w:r w:rsidRPr="000034FF">
        <w:rPr>
          <w:rFonts w:eastAsia="Times New Roman" w:cs="Arial"/>
          <w:color w:val="002060"/>
          <w:sz w:val="24"/>
          <w:szCs w:val="24"/>
          <w:lang w:eastAsia="en-GB"/>
        </w:rPr>
        <w:t>Rock Pool: number of trauma informed training sessions delivered to police - TIPS monitoring data (5.3.1.b).</w:t>
      </w:r>
    </w:p>
    <w:p w:rsidR="001F002D" w:rsidRPr="00B22BB0" w:rsidRDefault="001F002D" w:rsidP="001F002D">
      <w:pPr>
        <w:pStyle w:val="Heading1"/>
        <w:rPr>
          <w:sz w:val="24"/>
          <w:szCs w:val="24"/>
        </w:rPr>
      </w:pPr>
      <w:bookmarkStart w:id="6" w:name="_Toc147405693"/>
      <w:r w:rsidRPr="00C92113">
        <w:rPr>
          <w:sz w:val="24"/>
          <w:szCs w:val="24"/>
        </w:rPr>
        <w:t>partner responsibilities</w:t>
      </w:r>
      <w:bookmarkEnd w:id="6"/>
    </w:p>
    <w:p w:rsidR="001F002D" w:rsidRPr="004C3C3B" w:rsidRDefault="001F002D" w:rsidP="001F002D">
      <w:pPr>
        <w:rPr>
          <w:color w:val="002060"/>
          <w:sz w:val="24"/>
          <w:szCs w:val="24"/>
        </w:rPr>
      </w:pPr>
      <w:r w:rsidRPr="004C3C3B">
        <w:rPr>
          <w:color w:val="002060"/>
          <w:sz w:val="24"/>
          <w:szCs w:val="24"/>
        </w:rPr>
        <w:t xml:space="preserve">Under the Serious Violence Duty, the following Specified Authorities are required to collaborate and plan to prevent and reduce serious violence: </w:t>
      </w:r>
    </w:p>
    <w:p w:rsidR="001F002D" w:rsidRPr="004C3C3B" w:rsidRDefault="001F002D" w:rsidP="001F002D">
      <w:pPr>
        <w:pStyle w:val="ListParagraph"/>
        <w:numPr>
          <w:ilvl w:val="0"/>
          <w:numId w:val="1"/>
        </w:numPr>
        <w:rPr>
          <w:color w:val="002060"/>
          <w:sz w:val="24"/>
          <w:szCs w:val="24"/>
        </w:rPr>
      </w:pPr>
      <w:r w:rsidRPr="004C3C3B">
        <w:rPr>
          <w:color w:val="002060"/>
          <w:sz w:val="24"/>
          <w:szCs w:val="24"/>
        </w:rPr>
        <w:t>Police</w:t>
      </w:r>
    </w:p>
    <w:p w:rsidR="001F002D" w:rsidRPr="00D820BB" w:rsidRDefault="001F002D" w:rsidP="001F002D">
      <w:pPr>
        <w:pStyle w:val="ListParagraph"/>
        <w:numPr>
          <w:ilvl w:val="0"/>
          <w:numId w:val="1"/>
        </w:numPr>
        <w:rPr>
          <w:color w:val="002060"/>
          <w:sz w:val="24"/>
          <w:szCs w:val="24"/>
        </w:rPr>
      </w:pPr>
      <w:r w:rsidRPr="004C3C3B">
        <w:rPr>
          <w:color w:val="002060"/>
          <w:sz w:val="24"/>
          <w:szCs w:val="24"/>
        </w:rPr>
        <w:t xml:space="preserve">Justice (Probation Services and Youth Justice Service) </w:t>
      </w:r>
    </w:p>
    <w:p w:rsidR="001F002D" w:rsidRPr="004C3C3B" w:rsidRDefault="001F002D" w:rsidP="001F002D">
      <w:pPr>
        <w:pStyle w:val="ListParagraph"/>
        <w:numPr>
          <w:ilvl w:val="0"/>
          <w:numId w:val="1"/>
        </w:numPr>
        <w:rPr>
          <w:color w:val="002060"/>
          <w:sz w:val="24"/>
          <w:szCs w:val="24"/>
        </w:rPr>
      </w:pPr>
      <w:r w:rsidRPr="004C3C3B">
        <w:rPr>
          <w:color w:val="002060"/>
          <w:sz w:val="24"/>
          <w:szCs w:val="24"/>
        </w:rPr>
        <w:t>Fire and Rescue Service</w:t>
      </w:r>
    </w:p>
    <w:p w:rsidR="001F002D" w:rsidRPr="004C3C3B" w:rsidRDefault="001F002D" w:rsidP="001F002D">
      <w:pPr>
        <w:pStyle w:val="ListParagraph"/>
        <w:numPr>
          <w:ilvl w:val="0"/>
          <w:numId w:val="1"/>
        </w:numPr>
        <w:rPr>
          <w:color w:val="002060"/>
          <w:sz w:val="24"/>
          <w:szCs w:val="24"/>
        </w:rPr>
      </w:pPr>
      <w:r w:rsidRPr="004C3C3B">
        <w:rPr>
          <w:color w:val="002060"/>
          <w:sz w:val="24"/>
          <w:szCs w:val="24"/>
        </w:rPr>
        <w:t xml:space="preserve">Health (Integrated Care Boards) </w:t>
      </w:r>
    </w:p>
    <w:p w:rsidR="001F002D" w:rsidRPr="004C3C3B" w:rsidRDefault="001F002D" w:rsidP="001F002D">
      <w:pPr>
        <w:pStyle w:val="ListParagraph"/>
        <w:numPr>
          <w:ilvl w:val="0"/>
          <w:numId w:val="1"/>
        </w:numPr>
        <w:jc w:val="both"/>
        <w:rPr>
          <w:color w:val="002060"/>
          <w:sz w:val="24"/>
          <w:szCs w:val="24"/>
        </w:rPr>
      </w:pPr>
      <w:r w:rsidRPr="004C3C3B">
        <w:rPr>
          <w:color w:val="002060"/>
          <w:sz w:val="24"/>
          <w:szCs w:val="24"/>
        </w:rPr>
        <w:t xml:space="preserve">Local Authorities (District and County Councils) </w:t>
      </w:r>
    </w:p>
    <w:p w:rsidR="001F002D" w:rsidRPr="004C3C3B" w:rsidRDefault="001F002D" w:rsidP="001F002D">
      <w:pPr>
        <w:rPr>
          <w:color w:val="002060"/>
          <w:sz w:val="24"/>
          <w:szCs w:val="24"/>
        </w:rPr>
      </w:pPr>
      <w:r w:rsidRPr="004C3C3B">
        <w:rPr>
          <w:color w:val="002060"/>
          <w:sz w:val="24"/>
          <w:szCs w:val="24"/>
        </w:rPr>
        <w:t xml:space="preserve">The following Relevant Authorities are also expected to collaborate and plan to prevent and reduce serious violence: </w:t>
      </w:r>
    </w:p>
    <w:p w:rsidR="001F002D" w:rsidRPr="004C3C3B" w:rsidRDefault="001F002D" w:rsidP="001F002D">
      <w:pPr>
        <w:pStyle w:val="ListParagraph"/>
        <w:numPr>
          <w:ilvl w:val="0"/>
          <w:numId w:val="2"/>
        </w:numPr>
        <w:rPr>
          <w:color w:val="002060"/>
          <w:sz w:val="24"/>
          <w:szCs w:val="24"/>
        </w:rPr>
      </w:pPr>
      <w:r w:rsidRPr="004C3C3B">
        <w:rPr>
          <w:color w:val="002060"/>
          <w:sz w:val="24"/>
          <w:szCs w:val="24"/>
        </w:rPr>
        <w:t>Prison Service</w:t>
      </w:r>
    </w:p>
    <w:p w:rsidR="001F002D" w:rsidRPr="004C3C3B" w:rsidRDefault="001F002D" w:rsidP="001F002D">
      <w:pPr>
        <w:pStyle w:val="ListParagraph"/>
        <w:numPr>
          <w:ilvl w:val="0"/>
          <w:numId w:val="2"/>
        </w:numPr>
        <w:rPr>
          <w:color w:val="002060"/>
          <w:sz w:val="24"/>
          <w:szCs w:val="24"/>
        </w:rPr>
      </w:pPr>
      <w:r w:rsidRPr="004C3C3B">
        <w:rPr>
          <w:color w:val="002060"/>
          <w:sz w:val="24"/>
          <w:szCs w:val="24"/>
        </w:rPr>
        <w:t xml:space="preserve">Education  </w:t>
      </w:r>
    </w:p>
    <w:p w:rsidR="001F002D" w:rsidRPr="00845FA4" w:rsidRDefault="001F002D" w:rsidP="001F002D">
      <w:pPr>
        <w:rPr>
          <w:color w:val="002060"/>
          <w:sz w:val="24"/>
          <w:szCs w:val="24"/>
        </w:rPr>
      </w:pPr>
      <w:r w:rsidRPr="004C3C3B">
        <w:rPr>
          <w:color w:val="002060"/>
          <w:sz w:val="24"/>
          <w:szCs w:val="24"/>
        </w:rPr>
        <w:t xml:space="preserve">The responsibility from each member of this group is to represent their organisation by </w:t>
      </w:r>
      <w:r w:rsidRPr="00845FA4">
        <w:rPr>
          <w:color w:val="002060"/>
          <w:sz w:val="24"/>
          <w:szCs w:val="24"/>
        </w:rPr>
        <w:t xml:space="preserve">ensuring the following is achieved: </w:t>
      </w:r>
    </w:p>
    <w:p w:rsidR="001F002D" w:rsidRPr="00740F2A" w:rsidRDefault="001F002D" w:rsidP="001F002D">
      <w:pPr>
        <w:pStyle w:val="paragraph"/>
        <w:numPr>
          <w:ilvl w:val="0"/>
          <w:numId w:val="6"/>
        </w:numPr>
        <w:spacing w:before="0" w:beforeAutospacing="0" w:after="0" w:afterAutospacing="0"/>
        <w:ind w:left="700"/>
        <w:textAlignment w:val="baseline"/>
        <w:rPr>
          <w:rFonts w:ascii="Arial" w:hAnsi="Arial" w:cs="Arial"/>
          <w:color w:val="002060"/>
        </w:rPr>
      </w:pPr>
      <w:r w:rsidRPr="00740F2A">
        <w:rPr>
          <w:rStyle w:val="normaltextrun"/>
          <w:rFonts w:ascii="Arial" w:hAnsi="Arial" w:cs="Arial"/>
          <w:color w:val="002060"/>
        </w:rPr>
        <w:t>Partners take responsibility for the successful implementation of any commissioned interventions across the Partnership</w:t>
      </w:r>
      <w:r w:rsidRPr="00740F2A">
        <w:rPr>
          <w:rStyle w:val="eop"/>
          <w:rFonts w:ascii="Arial" w:hAnsi="Arial" w:cs="Arial"/>
          <w:color w:val="002060"/>
        </w:rPr>
        <w:t>.</w:t>
      </w:r>
    </w:p>
    <w:p w:rsidR="001F002D" w:rsidRPr="00740F2A" w:rsidRDefault="001F002D" w:rsidP="001F002D">
      <w:pPr>
        <w:pStyle w:val="paragraph"/>
        <w:numPr>
          <w:ilvl w:val="0"/>
          <w:numId w:val="6"/>
        </w:numPr>
        <w:spacing w:before="0" w:beforeAutospacing="0" w:after="0" w:afterAutospacing="0"/>
        <w:ind w:left="700"/>
        <w:textAlignment w:val="baseline"/>
        <w:rPr>
          <w:rFonts w:ascii="Arial" w:hAnsi="Arial" w:cs="Arial"/>
          <w:color w:val="002060"/>
        </w:rPr>
      </w:pPr>
      <w:r w:rsidRPr="00740F2A">
        <w:rPr>
          <w:rStyle w:val="normaltextrun"/>
          <w:rFonts w:ascii="Arial" w:hAnsi="Arial" w:cs="Arial"/>
          <w:color w:val="002060"/>
        </w:rPr>
        <w:t>Partners commit to allocate required resource for effective evaluation of commissioned interventions</w:t>
      </w:r>
      <w:r w:rsidRPr="00740F2A">
        <w:rPr>
          <w:rStyle w:val="eop"/>
          <w:rFonts w:ascii="Arial" w:hAnsi="Arial" w:cs="Arial"/>
          <w:color w:val="002060"/>
        </w:rPr>
        <w:t>.</w:t>
      </w:r>
    </w:p>
    <w:p w:rsidR="001F002D" w:rsidRPr="00740F2A" w:rsidRDefault="001F002D" w:rsidP="001F002D">
      <w:pPr>
        <w:pStyle w:val="paragraph"/>
        <w:numPr>
          <w:ilvl w:val="0"/>
          <w:numId w:val="6"/>
        </w:numPr>
        <w:spacing w:before="0" w:beforeAutospacing="0" w:after="0" w:afterAutospacing="0"/>
        <w:ind w:left="700"/>
        <w:textAlignment w:val="baseline"/>
        <w:rPr>
          <w:rStyle w:val="eop"/>
          <w:rFonts w:ascii="Arial" w:hAnsi="Arial" w:cs="Arial"/>
          <w:color w:val="002060"/>
        </w:rPr>
      </w:pPr>
      <w:r w:rsidRPr="00740F2A">
        <w:rPr>
          <w:rStyle w:val="normaltextrun"/>
          <w:rFonts w:ascii="Arial" w:hAnsi="Arial" w:cs="Arial"/>
          <w:color w:val="002060"/>
        </w:rPr>
        <w:t>Commitment to a system-wide approach underpinned by mature and committed partnership arrangements</w:t>
      </w:r>
      <w:r w:rsidRPr="00740F2A">
        <w:rPr>
          <w:rStyle w:val="eop"/>
          <w:rFonts w:ascii="Arial" w:hAnsi="Arial" w:cs="Arial"/>
          <w:color w:val="002060"/>
        </w:rPr>
        <w:t>.</w:t>
      </w:r>
    </w:p>
    <w:p w:rsidR="001F002D" w:rsidRPr="00740F2A" w:rsidRDefault="001F002D" w:rsidP="001F002D">
      <w:pPr>
        <w:pStyle w:val="ListParagraph"/>
        <w:numPr>
          <w:ilvl w:val="0"/>
          <w:numId w:val="6"/>
        </w:numPr>
        <w:spacing w:after="0" w:line="240" w:lineRule="auto"/>
        <w:ind w:left="700"/>
        <w:textAlignment w:val="baseline"/>
        <w:rPr>
          <w:rFonts w:eastAsia="Times New Roman" w:cs="Arial"/>
          <w:color w:val="002060"/>
          <w:sz w:val="24"/>
          <w:szCs w:val="24"/>
          <w:lang w:eastAsia="en-GB"/>
        </w:rPr>
      </w:pPr>
      <w:r w:rsidRPr="00740F2A">
        <w:rPr>
          <w:rFonts w:eastAsia="Times New Roman" w:cs="Arial"/>
          <w:color w:val="002060"/>
          <w:sz w:val="24"/>
          <w:szCs w:val="24"/>
          <w:lang w:eastAsia="en-GB"/>
        </w:rPr>
        <w:t>Challenge each other to focus on solutions where there is an evidence base to show good practice.</w:t>
      </w:r>
    </w:p>
    <w:p w:rsidR="001F002D" w:rsidRPr="00266CB7" w:rsidRDefault="001F002D" w:rsidP="001F002D">
      <w:pPr>
        <w:pStyle w:val="ListParagraph"/>
        <w:numPr>
          <w:ilvl w:val="0"/>
          <w:numId w:val="6"/>
        </w:numPr>
        <w:spacing w:after="0" w:line="240" w:lineRule="auto"/>
        <w:ind w:left="700"/>
        <w:textAlignment w:val="baseline"/>
        <w:rPr>
          <w:rFonts w:eastAsia="Times New Roman" w:cs="Arial"/>
          <w:color w:val="002060"/>
          <w:sz w:val="24"/>
          <w:szCs w:val="24"/>
          <w:lang w:eastAsia="en-GB"/>
        </w:rPr>
      </w:pPr>
      <w:r w:rsidRPr="00740F2A">
        <w:rPr>
          <w:color w:val="002060"/>
          <w:sz w:val="24"/>
          <w:szCs w:val="24"/>
        </w:rPr>
        <w:t xml:space="preserve">Support delivery where appropriate.  For example, the Police or Local </w:t>
      </w:r>
      <w:r w:rsidRPr="00266CB7">
        <w:rPr>
          <w:color w:val="002060"/>
          <w:sz w:val="24"/>
          <w:szCs w:val="24"/>
        </w:rPr>
        <w:t>Authority will be able to target hotspots identified by the Partnership or contribute to understanding the impact of commissioned interventions by collecting and sharing data with the Partnership and independent evaluators.</w:t>
      </w:r>
    </w:p>
    <w:p w:rsidR="001F002D" w:rsidRPr="00266CB7" w:rsidRDefault="001F002D" w:rsidP="001F002D">
      <w:pPr>
        <w:widowControl w:val="0"/>
        <w:numPr>
          <w:ilvl w:val="0"/>
          <w:numId w:val="6"/>
        </w:numPr>
        <w:spacing w:after="0" w:line="276" w:lineRule="auto"/>
        <w:rPr>
          <w:rFonts w:eastAsia="Helvetica Neue Light"/>
          <w:color w:val="002060"/>
          <w:sz w:val="24"/>
          <w:szCs w:val="24"/>
        </w:rPr>
      </w:pPr>
      <w:r w:rsidRPr="00266CB7">
        <w:rPr>
          <w:rFonts w:eastAsia="Helvetica Neue Light"/>
          <w:color w:val="002060"/>
          <w:sz w:val="24"/>
          <w:szCs w:val="24"/>
        </w:rPr>
        <w:t>Partners to be involved in the design and delivery of the local response, including commissioning interventions, ensuring there is a range of voices involved in these discussions, including voluntary and community sector organisations.</w:t>
      </w:r>
    </w:p>
    <w:p w:rsidR="001F002D" w:rsidRPr="00266CB7" w:rsidRDefault="001F002D" w:rsidP="001F002D">
      <w:pPr>
        <w:pStyle w:val="ListParagraph"/>
        <w:numPr>
          <w:ilvl w:val="0"/>
          <w:numId w:val="6"/>
        </w:numPr>
        <w:spacing w:after="0" w:line="240" w:lineRule="auto"/>
        <w:textAlignment w:val="baseline"/>
        <w:rPr>
          <w:rFonts w:eastAsia="Times New Roman" w:cs="Arial"/>
          <w:color w:val="002060"/>
          <w:sz w:val="24"/>
          <w:szCs w:val="24"/>
          <w:lang w:eastAsia="en-GB"/>
        </w:rPr>
      </w:pPr>
      <w:r w:rsidRPr="00266CB7">
        <w:rPr>
          <w:rFonts w:eastAsia="Times New Roman" w:cs="Arial"/>
          <w:color w:val="002060"/>
          <w:sz w:val="24"/>
          <w:szCs w:val="24"/>
          <w:lang w:eastAsia="en-GB"/>
        </w:rPr>
        <w:t xml:space="preserve">Membership may be expanded dependant on the working group meeting or theme of the workshop. </w:t>
      </w:r>
    </w:p>
    <w:p w:rsidR="001F002D" w:rsidRPr="00740F2A" w:rsidRDefault="001F002D" w:rsidP="001F002D">
      <w:pPr>
        <w:pStyle w:val="ListParagraph"/>
        <w:numPr>
          <w:ilvl w:val="0"/>
          <w:numId w:val="6"/>
        </w:numPr>
        <w:spacing w:after="0"/>
        <w:ind w:left="700"/>
        <w:rPr>
          <w:rFonts w:cs="Arial"/>
          <w:color w:val="002060"/>
          <w:sz w:val="24"/>
          <w:szCs w:val="24"/>
        </w:rPr>
      </w:pPr>
      <w:r w:rsidRPr="00740F2A">
        <w:rPr>
          <w:rFonts w:cs="Arial"/>
          <w:color w:val="002060"/>
          <w:sz w:val="24"/>
          <w:szCs w:val="24"/>
        </w:rPr>
        <w:lastRenderedPageBreak/>
        <w:t>Be open to and provide support to other Partners, sharing best practice.</w:t>
      </w:r>
    </w:p>
    <w:p w:rsidR="001F002D" w:rsidRPr="00740F2A" w:rsidRDefault="001F002D" w:rsidP="001F002D">
      <w:pPr>
        <w:pStyle w:val="ListParagraph"/>
        <w:numPr>
          <w:ilvl w:val="0"/>
          <w:numId w:val="6"/>
        </w:numPr>
        <w:spacing w:after="0"/>
        <w:ind w:left="700"/>
        <w:rPr>
          <w:rFonts w:cs="Arial"/>
          <w:color w:val="002060"/>
          <w:sz w:val="24"/>
          <w:szCs w:val="24"/>
        </w:rPr>
      </w:pPr>
      <w:r w:rsidRPr="00740F2A">
        <w:rPr>
          <w:rFonts w:cs="Arial"/>
          <w:color w:val="002060"/>
          <w:sz w:val="24"/>
          <w:szCs w:val="24"/>
        </w:rPr>
        <w:t>Adopt and promote a Public Health Approach to tackling serious violence to Partners, Stakeholders and the Public.</w:t>
      </w:r>
    </w:p>
    <w:p w:rsidR="001F002D" w:rsidRPr="00A440C1" w:rsidRDefault="001F002D" w:rsidP="001F002D">
      <w:pPr>
        <w:pStyle w:val="Heading1"/>
        <w:rPr>
          <w:rStyle w:val="normaltextrun"/>
          <w:sz w:val="24"/>
          <w:szCs w:val="24"/>
        </w:rPr>
      </w:pPr>
      <w:bookmarkStart w:id="7" w:name="_Toc147405694"/>
      <w:r w:rsidRPr="00C92113">
        <w:rPr>
          <w:sz w:val="24"/>
          <w:szCs w:val="24"/>
        </w:rPr>
        <w:t>reporting relationships</w:t>
      </w:r>
      <w:bookmarkEnd w:id="7"/>
      <w:r w:rsidRPr="00C92113">
        <w:rPr>
          <w:sz w:val="24"/>
          <w:szCs w:val="24"/>
        </w:rPr>
        <w:t xml:space="preserve"> </w:t>
      </w:r>
    </w:p>
    <w:p w:rsidR="001F002D" w:rsidRPr="00A440C1" w:rsidRDefault="001F002D" w:rsidP="001F002D">
      <w:pPr>
        <w:rPr>
          <w:rFonts w:cs="Arial"/>
          <w:color w:val="002060"/>
          <w:sz w:val="24"/>
          <w:szCs w:val="24"/>
        </w:rPr>
      </w:pPr>
      <w:r w:rsidRPr="00A440C1">
        <w:rPr>
          <w:rStyle w:val="normaltextrun"/>
          <w:rFonts w:cs="Arial"/>
          <w:color w:val="002060"/>
          <w:sz w:val="24"/>
          <w:szCs w:val="24"/>
          <w:shd w:val="clear" w:color="auto" w:fill="FFFFFF"/>
        </w:rPr>
        <w:t>The Chair / Vice Chairs of the IEO working group will raise any key updates and decisions to the SVRP on a quarterly basis. </w:t>
      </w:r>
      <w:r w:rsidRPr="00A440C1">
        <w:rPr>
          <w:rStyle w:val="eop"/>
          <w:rFonts w:cs="Arial"/>
          <w:color w:val="002060"/>
          <w:sz w:val="24"/>
          <w:szCs w:val="24"/>
          <w:shd w:val="clear" w:color="auto" w:fill="FFFFFF"/>
        </w:rPr>
        <w:t> </w:t>
      </w:r>
    </w:p>
    <w:p w:rsidR="001F002D" w:rsidRPr="00A440C1" w:rsidRDefault="001F002D" w:rsidP="001F002D">
      <w:pPr>
        <w:pStyle w:val="Heading1"/>
        <w:rPr>
          <w:sz w:val="24"/>
          <w:szCs w:val="24"/>
        </w:rPr>
      </w:pPr>
      <w:bookmarkStart w:id="8" w:name="_Toc147405695"/>
      <w:r w:rsidRPr="00C92113">
        <w:rPr>
          <w:sz w:val="24"/>
          <w:szCs w:val="24"/>
        </w:rPr>
        <w:t>meeting frequency and format</w:t>
      </w:r>
      <w:bookmarkEnd w:id="8"/>
      <w:r w:rsidRPr="00C92113">
        <w:rPr>
          <w:sz w:val="24"/>
          <w:szCs w:val="24"/>
        </w:rPr>
        <w:t xml:space="preserve"> </w:t>
      </w:r>
    </w:p>
    <w:p w:rsidR="001F002D" w:rsidRPr="00740F2A" w:rsidRDefault="001F002D" w:rsidP="001F002D">
      <w:pPr>
        <w:rPr>
          <w:rStyle w:val="normaltextrun"/>
          <w:rFonts w:cs="Arial"/>
          <w:color w:val="002060"/>
          <w:sz w:val="24"/>
          <w:szCs w:val="24"/>
          <w:shd w:val="clear" w:color="auto" w:fill="FFFFFF"/>
        </w:rPr>
      </w:pPr>
      <w:r w:rsidRPr="00740F2A">
        <w:rPr>
          <w:rStyle w:val="normaltextrun"/>
          <w:rFonts w:cs="Arial"/>
          <w:color w:val="002060"/>
          <w:sz w:val="24"/>
          <w:szCs w:val="24"/>
          <w:shd w:val="clear" w:color="auto" w:fill="FFFFFF"/>
        </w:rPr>
        <w:t xml:space="preserve">Meetings will be held every other month and reviewed in June 2024.  </w:t>
      </w:r>
    </w:p>
    <w:p w:rsidR="001F002D" w:rsidRPr="0034176D" w:rsidRDefault="001F002D" w:rsidP="001F002D">
      <w:pPr>
        <w:rPr>
          <w:rStyle w:val="normaltextrun"/>
          <w:color w:val="002060"/>
          <w:shd w:val="clear" w:color="auto" w:fill="FFFFFF"/>
        </w:rPr>
      </w:pPr>
      <w:r w:rsidRPr="00A440C1">
        <w:rPr>
          <w:rStyle w:val="normaltextrun"/>
          <w:rFonts w:cs="Arial"/>
          <w:color w:val="002060"/>
          <w:sz w:val="24"/>
          <w:szCs w:val="24"/>
          <w:shd w:val="clear" w:color="auto" w:fill="FFFFFF"/>
        </w:rPr>
        <w:t xml:space="preserve">To foster positive relationships, all workshops will be held in person and all IEO working group meetings will be held via Teams, </w:t>
      </w:r>
      <w:r w:rsidRPr="0034176D">
        <w:rPr>
          <w:rStyle w:val="normaltextrun"/>
          <w:rFonts w:cs="Arial"/>
          <w:color w:val="002060"/>
          <w:sz w:val="24"/>
          <w:szCs w:val="24"/>
          <w:shd w:val="clear" w:color="auto" w:fill="FFFFFF"/>
        </w:rPr>
        <w:t xml:space="preserve">with every third meeting being held in person and hosted by a different Specified Authority.  </w:t>
      </w:r>
    </w:p>
    <w:p w:rsidR="001F002D" w:rsidRPr="00C92113" w:rsidRDefault="001F002D" w:rsidP="001F002D">
      <w:pPr>
        <w:pStyle w:val="Heading1"/>
        <w:rPr>
          <w:sz w:val="24"/>
          <w:szCs w:val="24"/>
        </w:rPr>
      </w:pPr>
      <w:bookmarkStart w:id="9" w:name="_Toc147405696"/>
      <w:r w:rsidRPr="00C92113">
        <w:rPr>
          <w:sz w:val="24"/>
          <w:szCs w:val="24"/>
        </w:rPr>
        <w:t>administration</w:t>
      </w:r>
      <w:bookmarkEnd w:id="9"/>
      <w:r w:rsidRPr="00C92113">
        <w:rPr>
          <w:sz w:val="24"/>
          <w:szCs w:val="24"/>
        </w:rPr>
        <w:t xml:space="preserve"> </w:t>
      </w:r>
    </w:p>
    <w:p w:rsidR="001F002D" w:rsidRPr="000034FF" w:rsidRDefault="001F002D" w:rsidP="001F002D">
      <w:pPr>
        <w:rPr>
          <w:color w:val="002060"/>
          <w:sz w:val="24"/>
          <w:szCs w:val="24"/>
        </w:rPr>
      </w:pPr>
      <w:r w:rsidRPr="00A440C1">
        <w:rPr>
          <w:color w:val="002060"/>
          <w:sz w:val="24"/>
          <w:szCs w:val="24"/>
        </w:rPr>
        <w:t xml:space="preserve">No minutes will be taken, however actions and attendance for all meetings will be recorded and monitored by the VRU.  </w:t>
      </w:r>
    </w:p>
    <w:p w:rsidR="002937A9" w:rsidRPr="000034FF" w:rsidRDefault="002937A9" w:rsidP="00450211">
      <w:pPr>
        <w:rPr>
          <w:color w:val="002060"/>
          <w:sz w:val="24"/>
          <w:szCs w:val="24"/>
        </w:rPr>
      </w:pPr>
    </w:p>
    <w:sectPr w:rsidR="002937A9" w:rsidRPr="000034FF" w:rsidSect="004D3AD7">
      <w:footerReference w:type="default" r:id="rId15"/>
      <w:pgSz w:w="11906" w:h="16838"/>
      <w:pgMar w:top="1440" w:right="1440" w:bottom="1440" w:left="1440" w:header="708" w:footer="708" w:gutter="0"/>
      <w:pgBorders w:offsetFrom="page">
        <w:top w:val="single" w:sz="12" w:space="24" w:color="1D99A0"/>
        <w:left w:val="single" w:sz="12" w:space="24" w:color="1D99A0"/>
        <w:bottom w:val="single" w:sz="12" w:space="24" w:color="1D99A0"/>
        <w:right w:val="single" w:sz="12" w:space="24" w:color="1D99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176D" w:rsidRDefault="0034176D" w:rsidP="004D3AD7">
      <w:pPr>
        <w:spacing w:after="0" w:line="240" w:lineRule="auto"/>
      </w:pPr>
      <w:r>
        <w:separator/>
      </w:r>
    </w:p>
  </w:endnote>
  <w:endnote w:type="continuationSeparator" w:id="0">
    <w:p w:rsidR="0034176D" w:rsidRDefault="0034176D" w:rsidP="004D3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Helvetica Neue Light">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1193239"/>
      <w:docPartObj>
        <w:docPartGallery w:val="Page Numbers (Bottom of Page)"/>
        <w:docPartUnique/>
      </w:docPartObj>
    </w:sdtPr>
    <w:sdtEndPr>
      <w:rPr>
        <w:noProof/>
      </w:rPr>
    </w:sdtEndPr>
    <w:sdtContent>
      <w:p w:rsidR="0034176D" w:rsidRPr="00A44304" w:rsidRDefault="0034176D" w:rsidP="00F10A24">
        <w:pPr>
          <w:pStyle w:val="Footer"/>
          <w:rPr>
            <w:rFonts w:cs="Arial"/>
            <w:b/>
            <w:color w:val="002060"/>
            <w:sz w:val="24"/>
            <w:szCs w:val="24"/>
          </w:rPr>
        </w:pPr>
        <w:r w:rsidRPr="00A44304">
          <w:rPr>
            <w:rFonts w:cs="Arial"/>
            <w:b/>
            <w:noProof/>
            <w:color w:val="002060"/>
            <w:sz w:val="24"/>
            <w:szCs w:val="24"/>
            <w:lang w:eastAsia="en-GB"/>
          </w:rPr>
          <mc:AlternateContent>
            <mc:Choice Requires="wps">
              <w:drawing>
                <wp:anchor distT="0" distB="0" distL="114300" distR="114300" simplePos="0" relativeHeight="251660288" behindDoc="0" locked="0" layoutInCell="1" allowOverlap="1" wp14:anchorId="16ADA6BF" wp14:editId="1EE29E04">
                  <wp:simplePos x="0" y="0"/>
                  <wp:positionH relativeFrom="page">
                    <wp:align>right</wp:align>
                  </wp:positionH>
                  <wp:positionV relativeFrom="page">
                    <wp:align>bottom</wp:align>
                  </wp:positionV>
                  <wp:extent cx="2151380" cy="1750060"/>
                  <wp:effectExtent l="0" t="0" r="1270" b="2540"/>
                  <wp:wrapNone/>
                  <wp:docPr id="14" name="Isosceles Tri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1380" cy="1750060"/>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176D" w:rsidRPr="00AD0B4F" w:rsidRDefault="0034176D" w:rsidP="004D3AD7">
                              <w:pPr>
                                <w:jc w:val="center"/>
                                <w:rPr>
                                  <w:rFonts w:cstheme="minorHAnsi"/>
                                  <w:b/>
                                  <w:color w:val="009999"/>
                                  <w:sz w:val="28"/>
                                  <w:szCs w:val="28"/>
                                </w:rPr>
                              </w:pPr>
                              <w:r w:rsidRPr="00AD0B4F">
                                <w:rPr>
                                  <w:rFonts w:eastAsiaTheme="minorEastAsia" w:cstheme="minorHAnsi"/>
                                  <w:b/>
                                  <w:color w:val="009999"/>
                                  <w:sz w:val="28"/>
                                  <w:szCs w:val="28"/>
                                </w:rPr>
                                <w:fldChar w:fldCharType="begin"/>
                              </w:r>
                              <w:r w:rsidRPr="00AD0B4F">
                                <w:rPr>
                                  <w:rFonts w:cstheme="minorHAnsi"/>
                                  <w:b/>
                                  <w:color w:val="009999"/>
                                  <w:sz w:val="28"/>
                                  <w:szCs w:val="28"/>
                                </w:rPr>
                                <w:instrText xml:space="preserve"> PAGE    \* MERGEFORMAT </w:instrText>
                              </w:r>
                              <w:r w:rsidRPr="00AD0B4F">
                                <w:rPr>
                                  <w:rFonts w:eastAsiaTheme="minorEastAsia" w:cstheme="minorHAnsi"/>
                                  <w:b/>
                                  <w:color w:val="009999"/>
                                  <w:sz w:val="28"/>
                                  <w:szCs w:val="28"/>
                                </w:rPr>
                                <w:fldChar w:fldCharType="separate"/>
                              </w:r>
                              <w:r w:rsidR="001F002D" w:rsidRPr="001F002D">
                                <w:rPr>
                                  <w:rFonts w:eastAsiaTheme="majorEastAsia" w:cstheme="minorHAnsi"/>
                                  <w:b/>
                                  <w:noProof/>
                                  <w:color w:val="009999"/>
                                  <w:sz w:val="28"/>
                                  <w:szCs w:val="28"/>
                                </w:rPr>
                                <w:t>9</w:t>
                              </w:r>
                              <w:r w:rsidRPr="00AD0B4F">
                                <w:rPr>
                                  <w:rFonts w:eastAsiaTheme="majorEastAsia" w:cstheme="minorHAnsi"/>
                                  <w:b/>
                                  <w:noProof/>
                                  <w:color w:val="009999"/>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ADA6B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4" o:spid="_x0000_s1027" type="#_x0000_t5" style="position:absolute;margin-left:118.2pt;margin-top:0;width:169.4pt;height:137.8pt;z-index:251660288;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PcoogIAAEMFAAAOAAAAZHJzL2Uyb0RvYy54bWysVG1v0zAQ/o7Ef7D8vcsL6dpES6dtXRHS&#10;gEkbP8C1ncbg2MZ2mw7Ef+fspKWFLwjRD64vvjvf89xzvrredxLtuHVCqxpnFylGXFHNhNrU+NPz&#10;ajLHyHmiGJFa8Rq/cIevF69fXfWm4rlutWTcIkiiXNWbGrfemypJHG15R9yFNlzBYaNtRzyYdpMw&#10;S3rI3skkT9PLpNeWGaspdw6+LodDvIj5m4ZT/7FpHPdI1hhq83G1cV2HNVlckWpjiWkFHcsg/1BF&#10;R4SCS4+plsQTtLXij1SdoFY73fgLqrtEN42gPGIANFn6G5qnlhgesQA5zhxpcv8vLf2we7RIMOhd&#10;gZEiHfTondOOcskderaCqI3kCA6Bqd64CgKezKMNWJ150PSLQ0rfteDGb6zVfcsJg/qy4J+cBQTD&#10;QSha9+81g3vI1utI2r6xXUgIdKB97M3LsTd87xGFj3k2zd7MoYUUzrLZFHofu5eQ6hBurPNvue5Q&#10;2NTYj8XHK8juwfnYIDaiJOwzRk0nod07IlGWhl+smlSjN+Q+5Ix4tRRsJaSMht2s76RFEFvjZX5/&#10;sxogAy2nblIFZ6VDWGCEVMMXgDUWFABGpXwvs7xIb/NysrqczybFqphOylk6n6RZeVtepkVZLFc/&#10;ApqsqFrBGFcPQvGDarPi71Qxzs+gt6hb1Ne4nObTSNRZ9e4UZCTowNCZWyc8DLEUXY3nRxpJFaRw&#10;r1gcMU+EHPbJefmRE+Dg8B9ZicIJWhk05/fr/Si/tWYvICGrocEgBnh5YNNq+w2jHqa4xu7rlliO&#10;kXynQIZlVhRh7KNRTGc5GPb0ZH16QhSFVKAcjIbtnR+eiq2xYtPCTVnkSOkbkG4j/EHjQ1Wj4GFS&#10;I5jxVQlPwakdvX69fYufAAAA//8DAFBLAwQUAAYACAAAACEAGv1L4NwAAAAFAQAADwAAAGRycy9k&#10;b3ducmV2LnhtbEyPS0/DMBCE70j8B2uRuFGHVpQQ4lQI8ZCocqAtnN14iaP6Jdttw79nywUuK61m&#10;NPNNvRitYQeMafBOwPWkAIau82pwvYDN+vmqBJaydEoa71DANyZYNOdntayUP7p3PKxyzyjEpUoK&#10;0DmHivPUabQyTXxAR9qXj1ZmemPPVZRHCreGT4tizq0cHDVoGfBRY7db7S2VjOXTEE27+1iG5Vt7&#10;17686vApxOXF+HAPLOOY/8xwwid0aIhp6/dOJWYE0JD8e0mbzUqasRUwvb2ZA29q/p+++QEAAP//&#10;AwBQSwECLQAUAAYACAAAACEAtoM4kv4AAADhAQAAEwAAAAAAAAAAAAAAAAAAAAAAW0NvbnRlbnRf&#10;VHlwZXNdLnhtbFBLAQItABQABgAIAAAAIQA4/SH/1gAAAJQBAAALAAAAAAAAAAAAAAAAAC8BAABf&#10;cmVscy8ucmVsc1BLAQItABQABgAIAAAAIQBHJPcoogIAAEMFAAAOAAAAAAAAAAAAAAAAAC4CAABk&#10;cnMvZTJvRG9jLnhtbFBLAQItABQABgAIAAAAIQAa/Uvg3AAAAAUBAAAPAAAAAAAAAAAAAAAAAPwE&#10;AABkcnMvZG93bnJldi54bWxQSwUGAAAAAAQABADzAAAABQYAAAAA&#10;" adj="21600" fillcolor="#d2eaf1" stroked="f">
                  <v:textbox>
                    <w:txbxContent>
                      <w:p w:rsidR="0034176D" w:rsidRPr="00AD0B4F" w:rsidRDefault="0034176D" w:rsidP="004D3AD7">
                        <w:pPr>
                          <w:jc w:val="center"/>
                          <w:rPr>
                            <w:rFonts w:cstheme="minorHAnsi"/>
                            <w:b/>
                            <w:color w:val="009999"/>
                            <w:sz w:val="28"/>
                            <w:szCs w:val="28"/>
                          </w:rPr>
                        </w:pPr>
                        <w:r w:rsidRPr="00AD0B4F">
                          <w:rPr>
                            <w:rFonts w:eastAsiaTheme="minorEastAsia" w:cstheme="minorHAnsi"/>
                            <w:b/>
                            <w:color w:val="009999"/>
                            <w:sz w:val="28"/>
                            <w:szCs w:val="28"/>
                          </w:rPr>
                          <w:fldChar w:fldCharType="begin"/>
                        </w:r>
                        <w:r w:rsidRPr="00AD0B4F">
                          <w:rPr>
                            <w:rFonts w:cstheme="minorHAnsi"/>
                            <w:b/>
                            <w:color w:val="009999"/>
                            <w:sz w:val="28"/>
                            <w:szCs w:val="28"/>
                          </w:rPr>
                          <w:instrText xml:space="preserve"> PAGE    \* MERGEFORMAT </w:instrText>
                        </w:r>
                        <w:r w:rsidRPr="00AD0B4F">
                          <w:rPr>
                            <w:rFonts w:eastAsiaTheme="minorEastAsia" w:cstheme="minorHAnsi"/>
                            <w:b/>
                            <w:color w:val="009999"/>
                            <w:sz w:val="28"/>
                            <w:szCs w:val="28"/>
                          </w:rPr>
                          <w:fldChar w:fldCharType="separate"/>
                        </w:r>
                        <w:r w:rsidR="001F002D" w:rsidRPr="001F002D">
                          <w:rPr>
                            <w:rFonts w:eastAsiaTheme="majorEastAsia" w:cstheme="minorHAnsi"/>
                            <w:b/>
                            <w:noProof/>
                            <w:color w:val="009999"/>
                            <w:sz w:val="28"/>
                            <w:szCs w:val="28"/>
                          </w:rPr>
                          <w:t>9</w:t>
                        </w:r>
                        <w:r w:rsidRPr="00AD0B4F">
                          <w:rPr>
                            <w:rFonts w:eastAsiaTheme="majorEastAsia" w:cstheme="minorHAnsi"/>
                            <w:b/>
                            <w:noProof/>
                            <w:color w:val="009999"/>
                            <w:sz w:val="28"/>
                            <w:szCs w:val="28"/>
                          </w:rPr>
                          <w:fldChar w:fldCharType="end"/>
                        </w:r>
                      </w:p>
                    </w:txbxContent>
                  </v:textbox>
                  <w10:wrap anchorx="page" anchory="page"/>
                </v:shape>
              </w:pict>
            </mc:Fallback>
          </mc:AlternateContent>
        </w:r>
        <w:r w:rsidRPr="00A44304">
          <w:rPr>
            <w:b/>
            <w:color w:val="002060"/>
          </w:rPr>
          <w:t xml:space="preserve">VRP </w:t>
        </w:r>
        <w:r>
          <w:rPr>
            <w:rFonts w:cs="Arial"/>
            <w:b/>
            <w:color w:val="002060"/>
            <w:sz w:val="24"/>
            <w:szCs w:val="24"/>
          </w:rPr>
          <w:t>Interventions, Evaluations and Opportunities (IEO) Working Group</w:t>
        </w:r>
        <w:r w:rsidR="00591D63">
          <w:rPr>
            <w:rFonts w:cs="Arial"/>
            <w:b/>
            <w:color w:val="002060"/>
            <w:sz w:val="24"/>
            <w:szCs w:val="24"/>
          </w:rPr>
          <w:t xml:space="preserve"> Terms of Reference (ToR), V3</w:t>
        </w:r>
      </w:p>
      <w:p w:rsidR="0034176D" w:rsidRPr="00A44304" w:rsidRDefault="00B7265E" w:rsidP="00F10A24">
        <w:pPr>
          <w:pStyle w:val="Footer"/>
          <w:rPr>
            <w:rFonts w:cs="Arial"/>
            <w:b/>
            <w:caps/>
            <w:color w:val="002060"/>
            <w:sz w:val="24"/>
            <w:szCs w:val="24"/>
          </w:rPr>
        </w:pPr>
        <w:r>
          <w:rPr>
            <w:rFonts w:cs="Arial"/>
            <w:b/>
            <w:color w:val="002060"/>
            <w:sz w:val="24"/>
            <w:szCs w:val="24"/>
          </w:rPr>
          <w:t>Published February</w:t>
        </w:r>
        <w:r w:rsidR="00F41533">
          <w:rPr>
            <w:rFonts w:cs="Arial"/>
            <w:b/>
            <w:color w:val="002060"/>
            <w:sz w:val="24"/>
            <w:szCs w:val="24"/>
          </w:rPr>
          <w:t xml:space="preserve"> 2024</w:t>
        </w:r>
        <w:r w:rsidR="0034176D" w:rsidRPr="00A44304">
          <w:rPr>
            <w:rFonts w:cs="Arial"/>
            <w:b/>
            <w:color w:val="002060"/>
            <w:sz w:val="24"/>
            <w:szCs w:val="24"/>
          </w:rPr>
          <w:t xml:space="preserve"> by</w:t>
        </w:r>
        <w:r w:rsidR="0034176D" w:rsidRPr="00A44304">
          <w:rPr>
            <w:rFonts w:cs="Arial"/>
            <w:b/>
            <w:caps/>
            <w:color w:val="002060"/>
            <w:sz w:val="24"/>
            <w:szCs w:val="24"/>
          </w:rPr>
          <w:t xml:space="preserve"> vru</w:t>
        </w:r>
      </w:p>
      <w:p w:rsidR="0034176D" w:rsidRDefault="001F002D">
        <w:pPr>
          <w:pStyle w:val="Footer"/>
          <w:jc w:val="right"/>
        </w:pPr>
      </w:p>
    </w:sdtContent>
  </w:sdt>
  <w:p w:rsidR="0034176D" w:rsidRDefault="003417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176D" w:rsidRDefault="0034176D" w:rsidP="004D3AD7">
      <w:pPr>
        <w:spacing w:after="0" w:line="240" w:lineRule="auto"/>
      </w:pPr>
      <w:r>
        <w:separator/>
      </w:r>
    </w:p>
  </w:footnote>
  <w:footnote w:type="continuationSeparator" w:id="0">
    <w:p w:rsidR="0034176D" w:rsidRDefault="0034176D" w:rsidP="004D3AD7">
      <w:pPr>
        <w:spacing w:after="0" w:line="240" w:lineRule="auto"/>
      </w:pPr>
      <w:r>
        <w:continuationSeparator/>
      </w:r>
    </w:p>
  </w:footnote>
  <w:footnote w:id="1">
    <w:p w:rsidR="005A00E9" w:rsidRPr="002D5F95" w:rsidRDefault="005A00E9" w:rsidP="002D5F95">
      <w:pPr>
        <w:pStyle w:val="FootnoteText"/>
        <w:spacing w:after="160"/>
        <w:rPr>
          <w:color w:val="002060"/>
          <w:sz w:val="24"/>
          <w:szCs w:val="24"/>
        </w:rPr>
      </w:pPr>
      <w:r w:rsidRPr="004C3C3B">
        <w:rPr>
          <w:rStyle w:val="FootnoteReference"/>
          <w:color w:val="002060"/>
          <w:sz w:val="24"/>
          <w:szCs w:val="24"/>
        </w:rPr>
        <w:footnoteRef/>
      </w:r>
      <w:r w:rsidRPr="004C3C3B">
        <w:rPr>
          <w:color w:val="002060"/>
          <w:sz w:val="24"/>
          <w:szCs w:val="24"/>
        </w:rPr>
        <w:t xml:space="preserve">As stated within the Home Office Serious Violence Duty (SVD) Statutory Guidance, December 2022. </w:t>
      </w:r>
    </w:p>
  </w:footnote>
  <w:footnote w:id="2">
    <w:p w:rsidR="001F002D" w:rsidRPr="00740F2A" w:rsidRDefault="001F002D" w:rsidP="001F002D">
      <w:pPr>
        <w:spacing w:line="240" w:lineRule="auto"/>
        <w:rPr>
          <w:rFonts w:cstheme="minorHAnsi"/>
          <w:color w:val="000000" w:themeColor="text1"/>
          <w:sz w:val="20"/>
          <w:szCs w:val="20"/>
        </w:rPr>
      </w:pPr>
      <w:r w:rsidRPr="00740F2A">
        <w:rPr>
          <w:rStyle w:val="FootnoteReference"/>
          <w:color w:val="002060"/>
          <w:sz w:val="20"/>
          <w:szCs w:val="20"/>
        </w:rPr>
        <w:footnoteRef/>
      </w:r>
      <w:r w:rsidRPr="00740F2A">
        <w:rPr>
          <w:color w:val="002060"/>
          <w:sz w:val="20"/>
          <w:szCs w:val="20"/>
        </w:rPr>
        <w:t xml:space="preserve"> </w:t>
      </w:r>
      <w:r w:rsidRPr="00740F2A">
        <w:rPr>
          <w:rFonts w:cstheme="minorHAnsi"/>
          <w:color w:val="002060"/>
          <w:sz w:val="20"/>
          <w:szCs w:val="20"/>
        </w:rPr>
        <w:t>The Strategic Needs Assessment (SNA) allows us to understand data through analysis around which communities are impacted by serious violence and what we know about the root causes of violence.</w:t>
      </w:r>
    </w:p>
  </w:footnote>
  <w:footnote w:id="3">
    <w:p w:rsidR="001F002D" w:rsidRPr="00740F2A" w:rsidRDefault="001F002D" w:rsidP="001F002D">
      <w:pPr>
        <w:pStyle w:val="FootnoteText"/>
        <w:spacing w:after="160"/>
        <w:rPr>
          <w:color w:val="002060"/>
        </w:rPr>
      </w:pPr>
      <w:r w:rsidRPr="00740F2A">
        <w:rPr>
          <w:rStyle w:val="FootnoteReference"/>
          <w:color w:val="002060"/>
        </w:rPr>
        <w:footnoteRef/>
      </w:r>
      <w:r w:rsidRPr="00740F2A">
        <w:rPr>
          <w:color w:val="002060"/>
        </w:rPr>
        <w:t xml:space="preserve"> The World Health Organisation (WHO) provided a 4-step process for implementing a Public Health Approach, which the Home Office has promoted as a methodology to tackle serious violence:</w:t>
      </w:r>
    </w:p>
    <w:p w:rsidR="001F002D" w:rsidRPr="00740F2A" w:rsidRDefault="001F002D" w:rsidP="001F002D">
      <w:pPr>
        <w:pStyle w:val="FootnoteText"/>
        <w:numPr>
          <w:ilvl w:val="0"/>
          <w:numId w:val="3"/>
        </w:numPr>
        <w:spacing w:after="160"/>
        <w:rPr>
          <w:color w:val="002060"/>
        </w:rPr>
      </w:pPr>
      <w:r w:rsidRPr="00740F2A">
        <w:rPr>
          <w:color w:val="002060"/>
        </w:rPr>
        <w:t xml:space="preserve">Surveillance </w:t>
      </w:r>
    </w:p>
    <w:p w:rsidR="001F002D" w:rsidRPr="00740F2A" w:rsidRDefault="001F002D" w:rsidP="001F002D">
      <w:pPr>
        <w:pStyle w:val="FootnoteText"/>
        <w:numPr>
          <w:ilvl w:val="0"/>
          <w:numId w:val="3"/>
        </w:numPr>
        <w:spacing w:after="160"/>
        <w:rPr>
          <w:color w:val="002060"/>
        </w:rPr>
      </w:pPr>
      <w:r w:rsidRPr="00740F2A">
        <w:rPr>
          <w:color w:val="002060"/>
        </w:rPr>
        <w:t xml:space="preserve">Identify Risk and Protective Factors </w:t>
      </w:r>
    </w:p>
    <w:p w:rsidR="001F002D" w:rsidRPr="00740F2A" w:rsidRDefault="001F002D" w:rsidP="001F002D">
      <w:pPr>
        <w:pStyle w:val="FootnoteText"/>
        <w:numPr>
          <w:ilvl w:val="0"/>
          <w:numId w:val="3"/>
        </w:numPr>
        <w:spacing w:after="160"/>
        <w:rPr>
          <w:color w:val="002060"/>
        </w:rPr>
      </w:pPr>
      <w:r w:rsidRPr="00740F2A">
        <w:rPr>
          <w:color w:val="002060"/>
        </w:rPr>
        <w:t xml:space="preserve">Develop and Evaluate Interventions </w:t>
      </w:r>
    </w:p>
    <w:p w:rsidR="001F002D" w:rsidRPr="00740F2A" w:rsidRDefault="001F002D" w:rsidP="001F002D">
      <w:pPr>
        <w:pStyle w:val="FootnoteText"/>
        <w:numPr>
          <w:ilvl w:val="0"/>
          <w:numId w:val="3"/>
        </w:numPr>
        <w:spacing w:after="160"/>
        <w:rPr>
          <w:color w:val="002060"/>
        </w:rPr>
      </w:pPr>
      <w:r w:rsidRPr="00740F2A">
        <w:rPr>
          <w:color w:val="002060"/>
        </w:rPr>
        <w:t>Implementation</w:t>
      </w:r>
    </w:p>
  </w:footnote>
  <w:footnote w:id="4">
    <w:p w:rsidR="001F002D" w:rsidRPr="00740F2A" w:rsidRDefault="001F002D" w:rsidP="001F002D">
      <w:pPr>
        <w:pStyle w:val="FootnoteText"/>
        <w:spacing w:after="160"/>
        <w:rPr>
          <w:color w:val="002060"/>
        </w:rPr>
      </w:pPr>
      <w:r w:rsidRPr="00740F2A">
        <w:rPr>
          <w:rStyle w:val="FootnoteReference"/>
        </w:rPr>
        <w:footnoteRef/>
      </w:r>
      <w:r w:rsidRPr="00740F2A">
        <w:t xml:space="preserve"> </w:t>
      </w:r>
      <w:r w:rsidRPr="00740F2A">
        <w:rPr>
          <w:color w:val="002060"/>
        </w:rPr>
        <w:t xml:space="preserve">Trauma Informed Approach focuses on ‘what has happened to this person, rather than ‘what is wrong with this person’.  </w:t>
      </w:r>
    </w:p>
  </w:footnote>
  <w:footnote w:id="5">
    <w:p w:rsidR="001F002D" w:rsidRPr="00740F2A" w:rsidRDefault="001F002D" w:rsidP="001F002D">
      <w:pPr>
        <w:spacing w:after="0"/>
        <w:rPr>
          <w:color w:val="002060"/>
          <w:sz w:val="20"/>
          <w:szCs w:val="20"/>
        </w:rPr>
      </w:pPr>
      <w:r w:rsidRPr="00740F2A">
        <w:rPr>
          <w:rStyle w:val="FootnoteReference"/>
          <w:color w:val="002060"/>
          <w:sz w:val="20"/>
          <w:szCs w:val="20"/>
        </w:rPr>
        <w:footnoteRef/>
      </w:r>
      <w:r w:rsidRPr="00740F2A">
        <w:rPr>
          <w:color w:val="002060"/>
          <w:sz w:val="20"/>
          <w:szCs w:val="20"/>
        </w:rPr>
        <w:t xml:space="preserve"> </w:t>
      </w:r>
      <w:r w:rsidRPr="00740F2A">
        <w:rPr>
          <w:rFonts w:eastAsia="Times New Roman" w:cs="Arial"/>
          <w:color w:val="002060"/>
          <w:sz w:val="20"/>
          <w:szCs w:val="20"/>
          <w:lang w:eastAsia="en-GB"/>
        </w:rPr>
        <w:t xml:space="preserve">The </w:t>
      </w:r>
      <w:r w:rsidRPr="00740F2A">
        <w:rPr>
          <w:color w:val="002060"/>
          <w:sz w:val="20"/>
          <w:szCs w:val="20"/>
        </w:rPr>
        <w:t>ToC is a high level representation of how the VRP’s resources and activities lead to the desired short, medium and long term changes, which will reduce serious violence and risk.</w:t>
      </w:r>
    </w:p>
    <w:p w:rsidR="001F002D" w:rsidRPr="00740F2A" w:rsidRDefault="001F002D" w:rsidP="001F002D">
      <w:pPr>
        <w:spacing w:after="0"/>
        <w:rPr>
          <w:color w:val="002060"/>
          <w:sz w:val="20"/>
          <w:szCs w:val="20"/>
        </w:rPr>
      </w:pPr>
    </w:p>
  </w:footnote>
  <w:footnote w:id="6">
    <w:p w:rsidR="001F002D" w:rsidRPr="00740F2A" w:rsidRDefault="001F002D" w:rsidP="001F002D">
      <w:pPr>
        <w:pStyle w:val="FootnoteText"/>
        <w:rPr>
          <w:color w:val="002060"/>
        </w:rPr>
      </w:pPr>
      <w:r w:rsidRPr="00740F2A">
        <w:rPr>
          <w:rStyle w:val="FootnoteReference"/>
          <w:color w:val="002060"/>
        </w:rPr>
        <w:footnoteRef/>
      </w:r>
      <w:r w:rsidRPr="00740F2A">
        <w:rPr>
          <w:color w:val="002060"/>
        </w:rPr>
        <w:t xml:space="preserve"> Number per activity aligns to that shown in the VRP Theory of Change. </w:t>
      </w:r>
    </w:p>
    <w:p w:rsidR="001F002D" w:rsidRPr="00740F2A" w:rsidRDefault="001F002D" w:rsidP="001F002D">
      <w:pPr>
        <w:pStyle w:val="FootnoteText"/>
        <w:rPr>
          <w:color w:val="002060"/>
        </w:rPr>
      </w:pPr>
    </w:p>
  </w:footnote>
  <w:footnote w:id="7">
    <w:p w:rsidR="001F002D" w:rsidRPr="00740F2A" w:rsidRDefault="001F002D" w:rsidP="001F002D">
      <w:pPr>
        <w:pStyle w:val="FootnoteText"/>
        <w:rPr>
          <w:rFonts w:cs="Arial"/>
          <w:color w:val="002060"/>
        </w:rPr>
      </w:pPr>
      <w:r w:rsidRPr="00740F2A">
        <w:rPr>
          <w:rStyle w:val="FootnoteReference"/>
          <w:color w:val="002060"/>
        </w:rPr>
        <w:footnoteRef/>
      </w:r>
      <w:r w:rsidRPr="00740F2A">
        <w:rPr>
          <w:color w:val="002060"/>
        </w:rPr>
        <w:t xml:space="preserve"> The Strategic Needs Assessment (SNA) is </w:t>
      </w:r>
      <w:r w:rsidRPr="00740F2A">
        <w:rPr>
          <w:rFonts w:cstheme="minorHAnsi"/>
          <w:color w:val="002060"/>
        </w:rPr>
        <w:t xml:space="preserve">The Strategic Needs Assessment (SNA) allows us to understand data through analysis around which communities are </w:t>
      </w:r>
      <w:r w:rsidRPr="00740F2A">
        <w:rPr>
          <w:rFonts w:cs="Arial"/>
          <w:color w:val="002060"/>
        </w:rPr>
        <w:t>impacted by serious violence and what we know about the root causes of violence.</w:t>
      </w:r>
    </w:p>
    <w:p w:rsidR="001F002D" w:rsidRPr="00740F2A" w:rsidRDefault="001F002D" w:rsidP="001F002D">
      <w:pPr>
        <w:pStyle w:val="FootnoteText"/>
        <w:rPr>
          <w:rFonts w:cs="Arial"/>
          <w:color w:val="002060"/>
        </w:rPr>
      </w:pPr>
    </w:p>
  </w:footnote>
  <w:footnote w:id="8">
    <w:p w:rsidR="001F002D" w:rsidRPr="00740F2A" w:rsidRDefault="001F002D" w:rsidP="001F002D">
      <w:pPr>
        <w:pStyle w:val="FootnoteText"/>
        <w:rPr>
          <w:color w:val="002060"/>
        </w:rPr>
      </w:pPr>
      <w:r w:rsidRPr="00740F2A">
        <w:rPr>
          <w:rStyle w:val="FootnoteReference"/>
          <w:color w:val="002060"/>
        </w:rPr>
        <w:footnoteRef/>
      </w:r>
      <w:r w:rsidRPr="00740F2A">
        <w:rPr>
          <w:color w:val="002060"/>
        </w:rPr>
        <w:t xml:space="preserve"> With the aim of preventing and reducing the impact of adverse childhood experiences a Trauma Informed Executive Board has been established to embed trauma–informed and restorative practice and encourage agencies to work together, alongside vulnerable people, families and communities.</w:t>
      </w:r>
    </w:p>
    <w:p w:rsidR="001F002D" w:rsidRPr="00740F2A" w:rsidRDefault="001F002D" w:rsidP="001F002D">
      <w:pPr>
        <w:pStyle w:val="FootnoteText"/>
      </w:pPr>
    </w:p>
  </w:footnote>
  <w:footnote w:id="9">
    <w:p w:rsidR="001F002D" w:rsidRPr="00740F2A" w:rsidRDefault="001F002D" w:rsidP="001F002D">
      <w:pPr>
        <w:pStyle w:val="FootnoteText"/>
        <w:rPr>
          <w:rFonts w:cs="Arial"/>
          <w:color w:val="002060"/>
        </w:rPr>
      </w:pPr>
      <w:r w:rsidRPr="00740F2A">
        <w:rPr>
          <w:rStyle w:val="FootnoteReference"/>
          <w:rFonts w:cs="Arial"/>
          <w:color w:val="002060"/>
        </w:rPr>
        <w:footnoteRef/>
      </w:r>
      <w:r w:rsidRPr="00740F2A">
        <w:rPr>
          <w:rFonts w:cs="Arial"/>
          <w:color w:val="002060"/>
        </w:rPr>
        <w:t xml:space="preserve"> The signatories to this Concordat represent the public services which serve the people and communities across HIPS.  Due to the widespread and complex nature of adversities and experience of trauma, and in recognition of the benefit of prevention, intervention and mitigation, key Partners made a formal commitment to develop the services, workforce and strategies according to the principles set out in the Trauma Informed Concordat.</w:t>
      </w:r>
    </w:p>
    <w:p w:rsidR="001F002D" w:rsidRDefault="001F002D" w:rsidP="001F002D">
      <w:pPr>
        <w:pStyle w:val="FootnoteText"/>
      </w:pPr>
    </w:p>
  </w:footnote>
  <w:footnote w:id="10">
    <w:p w:rsidR="001F002D" w:rsidRPr="00740F2A" w:rsidRDefault="001F002D" w:rsidP="001F002D">
      <w:pPr>
        <w:pStyle w:val="FootnoteText"/>
        <w:spacing w:after="160"/>
        <w:rPr>
          <w:color w:val="002060"/>
        </w:rPr>
      </w:pPr>
      <w:r w:rsidRPr="00740F2A">
        <w:rPr>
          <w:rStyle w:val="FootnoteReference"/>
        </w:rPr>
        <w:footnoteRef/>
      </w:r>
      <w:r w:rsidRPr="00740F2A">
        <w:t xml:space="preserve"> </w:t>
      </w:r>
      <w:r w:rsidRPr="00740F2A">
        <w:rPr>
          <w:color w:val="002060"/>
        </w:rPr>
        <w:t xml:space="preserve">Number per element aligns to that shown in the Outcomes Based Performance Framework.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93588"/>
    <w:multiLevelType w:val="hybridMultilevel"/>
    <w:tmpl w:val="832A6E06"/>
    <w:lvl w:ilvl="0" w:tplc="374CE49C">
      <w:start w:val="1"/>
      <w:numFmt w:val="bullet"/>
      <w:lvlText w:val="-"/>
      <w:lvlJc w:val="left"/>
      <w:pPr>
        <w:ind w:left="1440" w:hanging="360"/>
      </w:pPr>
      <w:rPr>
        <w:rFonts w:ascii="Arial" w:eastAsia="Times New Roman" w:hAnsi="Arial" w:cs="Aria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3504334"/>
    <w:multiLevelType w:val="hybridMultilevel"/>
    <w:tmpl w:val="A2DC6006"/>
    <w:lvl w:ilvl="0" w:tplc="374CE49C">
      <w:start w:val="1"/>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30B50D2"/>
    <w:multiLevelType w:val="hybridMultilevel"/>
    <w:tmpl w:val="F14A651A"/>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BAD045F"/>
    <w:multiLevelType w:val="hybridMultilevel"/>
    <w:tmpl w:val="C06A3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D20299"/>
    <w:multiLevelType w:val="hybridMultilevel"/>
    <w:tmpl w:val="5B286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D97B0E"/>
    <w:multiLevelType w:val="hybridMultilevel"/>
    <w:tmpl w:val="EFFC16BC"/>
    <w:lvl w:ilvl="0" w:tplc="374CE49C">
      <w:start w:val="1"/>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FB61E59"/>
    <w:multiLevelType w:val="hybridMultilevel"/>
    <w:tmpl w:val="1504B6DC"/>
    <w:lvl w:ilvl="0" w:tplc="374CE49C">
      <w:start w:val="1"/>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70F7FA2"/>
    <w:multiLevelType w:val="hybridMultilevel"/>
    <w:tmpl w:val="188E6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DF11F5"/>
    <w:multiLevelType w:val="hybridMultilevel"/>
    <w:tmpl w:val="5F2A63D6"/>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9" w15:restartNumberingAfterBreak="0">
    <w:nsid w:val="39AD6CC6"/>
    <w:multiLevelType w:val="hybridMultilevel"/>
    <w:tmpl w:val="F8EE4F2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374CE49C">
      <w:start w:val="1"/>
      <w:numFmt w:val="bullet"/>
      <w:lvlText w:val="-"/>
      <w:lvlJc w:val="left"/>
      <w:pPr>
        <w:ind w:left="2160" w:hanging="360"/>
      </w:pPr>
      <w:rPr>
        <w:rFonts w:ascii="Arial" w:eastAsia="Times New Roman"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434896"/>
    <w:multiLevelType w:val="hybridMultilevel"/>
    <w:tmpl w:val="C9BA5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4E0F5D"/>
    <w:multiLevelType w:val="hybridMultilevel"/>
    <w:tmpl w:val="F0D6D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301324"/>
    <w:multiLevelType w:val="hybridMultilevel"/>
    <w:tmpl w:val="702A7AD6"/>
    <w:lvl w:ilvl="0" w:tplc="374CE49C">
      <w:start w:val="1"/>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1DE678A"/>
    <w:multiLevelType w:val="hybridMultilevel"/>
    <w:tmpl w:val="E23E2546"/>
    <w:lvl w:ilvl="0" w:tplc="EDB6F20E">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6BC3A11"/>
    <w:multiLevelType w:val="hybridMultilevel"/>
    <w:tmpl w:val="479A3768"/>
    <w:lvl w:ilvl="0" w:tplc="374CE49C">
      <w:start w:val="1"/>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5CAD2924"/>
    <w:multiLevelType w:val="hybridMultilevel"/>
    <w:tmpl w:val="25EC2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7E30B6"/>
    <w:multiLevelType w:val="hybridMultilevel"/>
    <w:tmpl w:val="907C67EC"/>
    <w:lvl w:ilvl="0" w:tplc="374CE49C">
      <w:start w:val="1"/>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67EE5FCB"/>
    <w:multiLevelType w:val="hybridMultilevel"/>
    <w:tmpl w:val="66DC78D0"/>
    <w:lvl w:ilvl="0" w:tplc="EDB6F20E">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75EE0242"/>
    <w:multiLevelType w:val="hybridMultilevel"/>
    <w:tmpl w:val="4B2C2A9C"/>
    <w:lvl w:ilvl="0" w:tplc="374CE49C">
      <w:start w:val="1"/>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77E443D1"/>
    <w:multiLevelType w:val="hybridMultilevel"/>
    <w:tmpl w:val="E0689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3"/>
  </w:num>
  <w:num w:numId="4">
    <w:abstractNumId w:val="7"/>
  </w:num>
  <w:num w:numId="5">
    <w:abstractNumId w:val="8"/>
  </w:num>
  <w:num w:numId="6">
    <w:abstractNumId w:val="15"/>
  </w:num>
  <w:num w:numId="7">
    <w:abstractNumId w:val="2"/>
  </w:num>
  <w:num w:numId="8">
    <w:abstractNumId w:val="11"/>
  </w:num>
  <w:num w:numId="9">
    <w:abstractNumId w:val="9"/>
  </w:num>
  <w:num w:numId="10">
    <w:abstractNumId w:val="12"/>
  </w:num>
  <w:num w:numId="11">
    <w:abstractNumId w:val="16"/>
  </w:num>
  <w:num w:numId="12">
    <w:abstractNumId w:val="18"/>
  </w:num>
  <w:num w:numId="13">
    <w:abstractNumId w:val="6"/>
  </w:num>
  <w:num w:numId="14">
    <w:abstractNumId w:val="14"/>
  </w:num>
  <w:num w:numId="15">
    <w:abstractNumId w:val="0"/>
  </w:num>
  <w:num w:numId="16">
    <w:abstractNumId w:val="5"/>
  </w:num>
  <w:num w:numId="17">
    <w:abstractNumId w:val="1"/>
  </w:num>
  <w:num w:numId="18">
    <w:abstractNumId w:val="19"/>
  </w:num>
  <w:num w:numId="19">
    <w:abstractNumId w:val="17"/>
  </w:num>
  <w:num w:numId="20">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AD7"/>
    <w:rsid w:val="00000D02"/>
    <w:rsid w:val="000022B9"/>
    <w:rsid w:val="000034FF"/>
    <w:rsid w:val="00022A64"/>
    <w:rsid w:val="00024555"/>
    <w:rsid w:val="00052005"/>
    <w:rsid w:val="000634B9"/>
    <w:rsid w:val="00085630"/>
    <w:rsid w:val="000B03F6"/>
    <w:rsid w:val="00147CDF"/>
    <w:rsid w:val="001828C5"/>
    <w:rsid w:val="001C16EB"/>
    <w:rsid w:val="001F002D"/>
    <w:rsid w:val="00237252"/>
    <w:rsid w:val="00246C11"/>
    <w:rsid w:val="00286B0B"/>
    <w:rsid w:val="002937A9"/>
    <w:rsid w:val="002D5F95"/>
    <w:rsid w:val="002D68DC"/>
    <w:rsid w:val="002E44A1"/>
    <w:rsid w:val="002F051A"/>
    <w:rsid w:val="0034176D"/>
    <w:rsid w:val="00350467"/>
    <w:rsid w:val="003625F8"/>
    <w:rsid w:val="00365EFD"/>
    <w:rsid w:val="00381205"/>
    <w:rsid w:val="003A69DC"/>
    <w:rsid w:val="003B550D"/>
    <w:rsid w:val="003C0335"/>
    <w:rsid w:val="003F0A5C"/>
    <w:rsid w:val="0043509F"/>
    <w:rsid w:val="00436B66"/>
    <w:rsid w:val="00436C1D"/>
    <w:rsid w:val="00450211"/>
    <w:rsid w:val="00456587"/>
    <w:rsid w:val="00490EBD"/>
    <w:rsid w:val="004C1478"/>
    <w:rsid w:val="004C3C3B"/>
    <w:rsid w:val="004D3AD7"/>
    <w:rsid w:val="004D3F33"/>
    <w:rsid w:val="004D7F9A"/>
    <w:rsid w:val="00551C27"/>
    <w:rsid w:val="00552C5E"/>
    <w:rsid w:val="00565079"/>
    <w:rsid w:val="00584A85"/>
    <w:rsid w:val="00591D63"/>
    <w:rsid w:val="005A00E9"/>
    <w:rsid w:val="005C2EB1"/>
    <w:rsid w:val="005D443B"/>
    <w:rsid w:val="005D454E"/>
    <w:rsid w:val="005F30C0"/>
    <w:rsid w:val="005F5284"/>
    <w:rsid w:val="0061681F"/>
    <w:rsid w:val="006230BF"/>
    <w:rsid w:val="00656D27"/>
    <w:rsid w:val="00665707"/>
    <w:rsid w:val="00690D73"/>
    <w:rsid w:val="00696CB7"/>
    <w:rsid w:val="00706F55"/>
    <w:rsid w:val="00727576"/>
    <w:rsid w:val="00757DC9"/>
    <w:rsid w:val="007704B0"/>
    <w:rsid w:val="00786A57"/>
    <w:rsid w:val="007B3F09"/>
    <w:rsid w:val="007F644B"/>
    <w:rsid w:val="00810AF0"/>
    <w:rsid w:val="00821D8A"/>
    <w:rsid w:val="0083416A"/>
    <w:rsid w:val="00845FA4"/>
    <w:rsid w:val="00846D70"/>
    <w:rsid w:val="00867854"/>
    <w:rsid w:val="00870756"/>
    <w:rsid w:val="00872D60"/>
    <w:rsid w:val="00885BAC"/>
    <w:rsid w:val="008A573E"/>
    <w:rsid w:val="008B2413"/>
    <w:rsid w:val="008B49DF"/>
    <w:rsid w:val="008C521D"/>
    <w:rsid w:val="008E4F3F"/>
    <w:rsid w:val="008F706A"/>
    <w:rsid w:val="00902A74"/>
    <w:rsid w:val="0092507D"/>
    <w:rsid w:val="00980D16"/>
    <w:rsid w:val="00995E79"/>
    <w:rsid w:val="009A2EF2"/>
    <w:rsid w:val="009A6A73"/>
    <w:rsid w:val="00A259B1"/>
    <w:rsid w:val="00A26FB8"/>
    <w:rsid w:val="00A312D8"/>
    <w:rsid w:val="00A40D96"/>
    <w:rsid w:val="00A440C1"/>
    <w:rsid w:val="00A44304"/>
    <w:rsid w:val="00A45AE1"/>
    <w:rsid w:val="00A4741E"/>
    <w:rsid w:val="00A514C8"/>
    <w:rsid w:val="00A52B5E"/>
    <w:rsid w:val="00A7375B"/>
    <w:rsid w:val="00A84D4E"/>
    <w:rsid w:val="00AA3641"/>
    <w:rsid w:val="00AB058B"/>
    <w:rsid w:val="00AC24D5"/>
    <w:rsid w:val="00B110AC"/>
    <w:rsid w:val="00B22BB0"/>
    <w:rsid w:val="00B2409E"/>
    <w:rsid w:val="00B7265E"/>
    <w:rsid w:val="00B83F31"/>
    <w:rsid w:val="00B95A5C"/>
    <w:rsid w:val="00BA65C0"/>
    <w:rsid w:val="00BB4BCA"/>
    <w:rsid w:val="00BE2E74"/>
    <w:rsid w:val="00BF7546"/>
    <w:rsid w:val="00C01CC4"/>
    <w:rsid w:val="00C055F0"/>
    <w:rsid w:val="00C339CB"/>
    <w:rsid w:val="00C76B40"/>
    <w:rsid w:val="00C92113"/>
    <w:rsid w:val="00C93A2F"/>
    <w:rsid w:val="00CA2C1B"/>
    <w:rsid w:val="00CA77A5"/>
    <w:rsid w:val="00CE5116"/>
    <w:rsid w:val="00CE7023"/>
    <w:rsid w:val="00D00512"/>
    <w:rsid w:val="00D24203"/>
    <w:rsid w:val="00D35F1D"/>
    <w:rsid w:val="00D434FB"/>
    <w:rsid w:val="00D50D26"/>
    <w:rsid w:val="00D54D88"/>
    <w:rsid w:val="00D613D6"/>
    <w:rsid w:val="00D7372B"/>
    <w:rsid w:val="00D820BB"/>
    <w:rsid w:val="00D85FD6"/>
    <w:rsid w:val="00DA4894"/>
    <w:rsid w:val="00DB08EC"/>
    <w:rsid w:val="00DC381C"/>
    <w:rsid w:val="00DD41B9"/>
    <w:rsid w:val="00DD591A"/>
    <w:rsid w:val="00DE0EC0"/>
    <w:rsid w:val="00E15CD4"/>
    <w:rsid w:val="00E57CE6"/>
    <w:rsid w:val="00ED084E"/>
    <w:rsid w:val="00ED1F12"/>
    <w:rsid w:val="00EE3C59"/>
    <w:rsid w:val="00F10A24"/>
    <w:rsid w:val="00F226DA"/>
    <w:rsid w:val="00F41533"/>
    <w:rsid w:val="00F760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0036C02"/>
  <w15:chartTrackingRefBased/>
  <w15:docId w15:val="{89224EA3-A610-417F-AA42-2E7A16AE1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0A24"/>
    <w:rPr>
      <w:rFonts w:ascii="Arial" w:hAnsi="Arial"/>
    </w:rPr>
  </w:style>
  <w:style w:type="paragraph" w:styleId="Heading1">
    <w:name w:val="heading 1"/>
    <w:basedOn w:val="Normal"/>
    <w:next w:val="Normal"/>
    <w:link w:val="Heading1Char"/>
    <w:autoRedefine/>
    <w:uiPriority w:val="9"/>
    <w:qFormat/>
    <w:rsid w:val="00F10A24"/>
    <w:pPr>
      <w:keepNext/>
      <w:keepLines/>
      <w:spacing w:before="240"/>
      <w:outlineLvl w:val="0"/>
    </w:pPr>
    <w:rPr>
      <w:rFonts w:eastAsiaTheme="majorEastAsia" w:cstheme="majorBidi"/>
      <w:caps/>
      <w:color w:val="24969C"/>
      <w:sz w:val="32"/>
      <w:szCs w:val="32"/>
    </w:rPr>
  </w:style>
  <w:style w:type="paragraph" w:styleId="Heading3">
    <w:name w:val="heading 3"/>
    <w:basedOn w:val="Normal"/>
    <w:next w:val="Normal"/>
    <w:link w:val="Heading3Char"/>
    <w:autoRedefine/>
    <w:uiPriority w:val="9"/>
    <w:unhideWhenUsed/>
    <w:qFormat/>
    <w:rsid w:val="00F10A24"/>
    <w:pPr>
      <w:keepNext/>
      <w:keepLines/>
      <w:spacing w:before="40" w:after="0"/>
      <w:outlineLvl w:val="2"/>
    </w:pPr>
    <w:rPr>
      <w:rFonts w:asciiTheme="majorHAnsi" w:eastAsiaTheme="majorEastAsia" w:hAnsiTheme="majorHAnsi" w:cstheme="majorBidi"/>
      <w:color w:val="24969C"/>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3A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3AD7"/>
  </w:style>
  <w:style w:type="paragraph" w:styleId="Footer">
    <w:name w:val="footer"/>
    <w:basedOn w:val="Normal"/>
    <w:link w:val="FooterChar"/>
    <w:uiPriority w:val="99"/>
    <w:unhideWhenUsed/>
    <w:rsid w:val="004D3A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3AD7"/>
  </w:style>
  <w:style w:type="paragraph" w:styleId="ListParagraph">
    <w:name w:val="List Paragraph"/>
    <w:aliases w:val="F5 List Paragraph,Dot pt,List Paragraph1,List Paragraph11,Colorful List - Accent 11,Bullet 1,Bullet Points,MAIN CONTENT,No Spacing1,List Paragraph Char Char Char,Indicator Text,Numbered Para 1,Párrafo de lista,Recommendation,List Paragrap"/>
    <w:basedOn w:val="Normal"/>
    <w:link w:val="ListParagraphChar"/>
    <w:uiPriority w:val="34"/>
    <w:qFormat/>
    <w:rsid w:val="00EE3C59"/>
    <w:pPr>
      <w:ind w:left="720"/>
      <w:contextualSpacing/>
    </w:pPr>
  </w:style>
  <w:style w:type="character" w:customStyle="1" w:styleId="ListParagraphChar">
    <w:name w:val="List Paragraph Char"/>
    <w:aliases w:val="F5 List Paragraph Char,Dot pt Char,List Paragraph1 Char,List Paragraph11 Char,Colorful List - Accent 11 Char,Bullet 1 Char,Bullet Points Char,MAIN CONTENT Char,No Spacing1 Char,List Paragraph Char Char Char Char,Indicator Text Char"/>
    <w:basedOn w:val="DefaultParagraphFont"/>
    <w:link w:val="ListParagraph"/>
    <w:uiPriority w:val="34"/>
    <w:qFormat/>
    <w:locked/>
    <w:rsid w:val="00EE3C59"/>
  </w:style>
  <w:style w:type="paragraph" w:styleId="Title">
    <w:name w:val="Title"/>
    <w:basedOn w:val="Normal"/>
    <w:next w:val="Normal"/>
    <w:link w:val="TitleChar"/>
    <w:autoRedefine/>
    <w:uiPriority w:val="10"/>
    <w:qFormat/>
    <w:rsid w:val="00F10A24"/>
    <w:pPr>
      <w:spacing w:after="0" w:line="240" w:lineRule="auto"/>
      <w:contextualSpacing/>
      <w:jc w:val="center"/>
    </w:pPr>
    <w:rPr>
      <w:rFonts w:eastAsiaTheme="majorEastAsia" w:cstheme="majorBidi"/>
      <w:b/>
      <w:spacing w:val="-10"/>
      <w:kern w:val="28"/>
      <w:sz w:val="16"/>
      <w:szCs w:val="16"/>
    </w:rPr>
  </w:style>
  <w:style w:type="character" w:customStyle="1" w:styleId="TitleChar">
    <w:name w:val="Title Char"/>
    <w:basedOn w:val="DefaultParagraphFont"/>
    <w:link w:val="Title"/>
    <w:uiPriority w:val="10"/>
    <w:rsid w:val="00F10A24"/>
    <w:rPr>
      <w:rFonts w:ascii="Arial" w:eastAsiaTheme="majorEastAsia" w:hAnsi="Arial" w:cstheme="majorBidi"/>
      <w:b/>
      <w:spacing w:val="-10"/>
      <w:kern w:val="28"/>
      <w:sz w:val="16"/>
      <w:szCs w:val="16"/>
    </w:rPr>
  </w:style>
  <w:style w:type="character" w:customStyle="1" w:styleId="Heading1Char">
    <w:name w:val="Heading 1 Char"/>
    <w:basedOn w:val="DefaultParagraphFont"/>
    <w:link w:val="Heading1"/>
    <w:uiPriority w:val="9"/>
    <w:rsid w:val="00F10A24"/>
    <w:rPr>
      <w:rFonts w:ascii="Arial" w:eastAsiaTheme="majorEastAsia" w:hAnsi="Arial" w:cstheme="majorBidi"/>
      <w:caps/>
      <w:color w:val="24969C"/>
      <w:sz w:val="32"/>
      <w:szCs w:val="32"/>
    </w:rPr>
  </w:style>
  <w:style w:type="character" w:customStyle="1" w:styleId="Heading3Char">
    <w:name w:val="Heading 3 Char"/>
    <w:basedOn w:val="DefaultParagraphFont"/>
    <w:link w:val="Heading3"/>
    <w:uiPriority w:val="9"/>
    <w:rsid w:val="00F10A24"/>
    <w:rPr>
      <w:rFonts w:asciiTheme="majorHAnsi" w:eastAsiaTheme="majorEastAsia" w:hAnsiTheme="majorHAnsi" w:cstheme="majorBidi"/>
      <w:color w:val="24969C"/>
      <w:sz w:val="24"/>
      <w:szCs w:val="24"/>
    </w:rPr>
  </w:style>
  <w:style w:type="character" w:styleId="Strong">
    <w:name w:val="Strong"/>
    <w:basedOn w:val="DefaultParagraphFont"/>
    <w:uiPriority w:val="22"/>
    <w:qFormat/>
    <w:rsid w:val="00F10A24"/>
    <w:rPr>
      <w:rFonts w:ascii="Arial" w:hAnsi="Arial"/>
      <w:b/>
      <w:bCs/>
    </w:rPr>
  </w:style>
  <w:style w:type="paragraph" w:styleId="TOC1">
    <w:name w:val="toc 1"/>
    <w:basedOn w:val="Normal"/>
    <w:next w:val="Normal"/>
    <w:autoRedefine/>
    <w:uiPriority w:val="39"/>
    <w:unhideWhenUsed/>
    <w:rsid w:val="00F10A24"/>
    <w:pPr>
      <w:spacing w:after="100"/>
    </w:pPr>
    <w:rPr>
      <w:rFonts w:asciiTheme="minorHAnsi" w:eastAsiaTheme="minorEastAsia" w:hAnsiTheme="minorHAnsi" w:cs="Times New Roman"/>
      <w:lang w:val="en-US"/>
    </w:rPr>
  </w:style>
  <w:style w:type="character" w:styleId="Hyperlink">
    <w:name w:val="Hyperlink"/>
    <w:basedOn w:val="DefaultParagraphFont"/>
    <w:uiPriority w:val="99"/>
    <w:unhideWhenUsed/>
    <w:rsid w:val="00F10A24"/>
    <w:rPr>
      <w:color w:val="6EAC1C" w:themeColor="hyperlink"/>
      <w:u w:val="single"/>
    </w:rPr>
  </w:style>
  <w:style w:type="character" w:customStyle="1" w:styleId="normaltextrun">
    <w:name w:val="normaltextrun"/>
    <w:basedOn w:val="DefaultParagraphFont"/>
    <w:rsid w:val="00F10A24"/>
  </w:style>
  <w:style w:type="character" w:customStyle="1" w:styleId="eop">
    <w:name w:val="eop"/>
    <w:basedOn w:val="DefaultParagraphFont"/>
    <w:rsid w:val="00F10A24"/>
  </w:style>
  <w:style w:type="paragraph" w:styleId="FootnoteText">
    <w:name w:val="footnote text"/>
    <w:basedOn w:val="Normal"/>
    <w:link w:val="FootnoteTextChar"/>
    <w:uiPriority w:val="99"/>
    <w:semiHidden/>
    <w:unhideWhenUsed/>
    <w:rsid w:val="00F10A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10A24"/>
    <w:rPr>
      <w:rFonts w:ascii="Arial" w:hAnsi="Arial"/>
      <w:sz w:val="20"/>
      <w:szCs w:val="20"/>
    </w:rPr>
  </w:style>
  <w:style w:type="character" w:styleId="FootnoteReference">
    <w:name w:val="footnote reference"/>
    <w:basedOn w:val="DefaultParagraphFont"/>
    <w:uiPriority w:val="99"/>
    <w:semiHidden/>
    <w:unhideWhenUsed/>
    <w:rsid w:val="00F10A24"/>
    <w:rPr>
      <w:vertAlign w:val="superscript"/>
    </w:rPr>
  </w:style>
  <w:style w:type="table" w:styleId="GridTable1Light">
    <w:name w:val="Grid Table 1 Light"/>
    <w:basedOn w:val="TableNormal"/>
    <w:uiPriority w:val="46"/>
    <w:rsid w:val="00F10A2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0634B9"/>
    <w:rPr>
      <w:color w:val="B26B02" w:themeColor="followedHyperlink"/>
      <w:u w:val="single"/>
    </w:rPr>
  </w:style>
  <w:style w:type="paragraph" w:customStyle="1" w:styleId="paragraph">
    <w:name w:val="paragraph"/>
    <w:basedOn w:val="Normal"/>
    <w:rsid w:val="003F0A5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783878">
      <w:bodyDiv w:val="1"/>
      <w:marLeft w:val="0"/>
      <w:marRight w:val="0"/>
      <w:marTop w:val="0"/>
      <w:marBottom w:val="0"/>
      <w:divBdr>
        <w:top w:val="none" w:sz="0" w:space="0" w:color="auto"/>
        <w:left w:val="none" w:sz="0" w:space="0" w:color="auto"/>
        <w:bottom w:val="none" w:sz="0" w:space="0" w:color="auto"/>
        <w:right w:val="none" w:sz="0" w:space="0" w:color="auto"/>
      </w:divBdr>
    </w:div>
    <w:div w:id="323974187">
      <w:bodyDiv w:val="1"/>
      <w:marLeft w:val="0"/>
      <w:marRight w:val="0"/>
      <w:marTop w:val="0"/>
      <w:marBottom w:val="0"/>
      <w:divBdr>
        <w:top w:val="none" w:sz="0" w:space="0" w:color="auto"/>
        <w:left w:val="none" w:sz="0" w:space="0" w:color="auto"/>
        <w:bottom w:val="none" w:sz="0" w:space="0" w:color="auto"/>
        <w:right w:val="none" w:sz="0" w:space="0" w:color="auto"/>
      </w:divBdr>
    </w:div>
    <w:div w:id="502471148">
      <w:bodyDiv w:val="1"/>
      <w:marLeft w:val="0"/>
      <w:marRight w:val="0"/>
      <w:marTop w:val="0"/>
      <w:marBottom w:val="0"/>
      <w:divBdr>
        <w:top w:val="none" w:sz="0" w:space="0" w:color="auto"/>
        <w:left w:val="none" w:sz="0" w:space="0" w:color="auto"/>
        <w:bottom w:val="none" w:sz="0" w:space="0" w:color="auto"/>
        <w:right w:val="none" w:sz="0" w:space="0" w:color="auto"/>
      </w:divBdr>
    </w:div>
    <w:div w:id="526065982">
      <w:bodyDiv w:val="1"/>
      <w:marLeft w:val="0"/>
      <w:marRight w:val="0"/>
      <w:marTop w:val="0"/>
      <w:marBottom w:val="0"/>
      <w:divBdr>
        <w:top w:val="none" w:sz="0" w:space="0" w:color="auto"/>
        <w:left w:val="none" w:sz="0" w:space="0" w:color="auto"/>
        <w:bottom w:val="none" w:sz="0" w:space="0" w:color="auto"/>
        <w:right w:val="none" w:sz="0" w:space="0" w:color="auto"/>
      </w:divBdr>
    </w:div>
    <w:div w:id="700014660">
      <w:bodyDiv w:val="1"/>
      <w:marLeft w:val="0"/>
      <w:marRight w:val="0"/>
      <w:marTop w:val="0"/>
      <w:marBottom w:val="0"/>
      <w:divBdr>
        <w:top w:val="none" w:sz="0" w:space="0" w:color="auto"/>
        <w:left w:val="none" w:sz="0" w:space="0" w:color="auto"/>
        <w:bottom w:val="none" w:sz="0" w:space="0" w:color="auto"/>
        <w:right w:val="none" w:sz="0" w:space="0" w:color="auto"/>
      </w:divBdr>
      <w:divsChild>
        <w:div w:id="1195996094">
          <w:marLeft w:val="0"/>
          <w:marRight w:val="0"/>
          <w:marTop w:val="0"/>
          <w:marBottom w:val="0"/>
          <w:divBdr>
            <w:top w:val="none" w:sz="0" w:space="0" w:color="auto"/>
            <w:left w:val="none" w:sz="0" w:space="0" w:color="auto"/>
            <w:bottom w:val="none" w:sz="0" w:space="0" w:color="auto"/>
            <w:right w:val="none" w:sz="0" w:space="0" w:color="auto"/>
          </w:divBdr>
        </w:div>
        <w:div w:id="561255553">
          <w:marLeft w:val="0"/>
          <w:marRight w:val="0"/>
          <w:marTop w:val="0"/>
          <w:marBottom w:val="0"/>
          <w:divBdr>
            <w:top w:val="none" w:sz="0" w:space="0" w:color="auto"/>
            <w:left w:val="none" w:sz="0" w:space="0" w:color="auto"/>
            <w:bottom w:val="none" w:sz="0" w:space="0" w:color="auto"/>
            <w:right w:val="none" w:sz="0" w:space="0" w:color="auto"/>
          </w:divBdr>
        </w:div>
      </w:divsChild>
    </w:div>
    <w:div w:id="725303064">
      <w:bodyDiv w:val="1"/>
      <w:marLeft w:val="0"/>
      <w:marRight w:val="0"/>
      <w:marTop w:val="0"/>
      <w:marBottom w:val="0"/>
      <w:divBdr>
        <w:top w:val="none" w:sz="0" w:space="0" w:color="auto"/>
        <w:left w:val="none" w:sz="0" w:space="0" w:color="auto"/>
        <w:bottom w:val="none" w:sz="0" w:space="0" w:color="auto"/>
        <w:right w:val="none" w:sz="0" w:space="0" w:color="auto"/>
      </w:divBdr>
    </w:div>
    <w:div w:id="772634280">
      <w:bodyDiv w:val="1"/>
      <w:marLeft w:val="0"/>
      <w:marRight w:val="0"/>
      <w:marTop w:val="0"/>
      <w:marBottom w:val="0"/>
      <w:divBdr>
        <w:top w:val="none" w:sz="0" w:space="0" w:color="auto"/>
        <w:left w:val="none" w:sz="0" w:space="0" w:color="auto"/>
        <w:bottom w:val="none" w:sz="0" w:space="0" w:color="auto"/>
        <w:right w:val="none" w:sz="0" w:space="0" w:color="auto"/>
      </w:divBdr>
    </w:div>
    <w:div w:id="899827474">
      <w:bodyDiv w:val="1"/>
      <w:marLeft w:val="0"/>
      <w:marRight w:val="0"/>
      <w:marTop w:val="0"/>
      <w:marBottom w:val="0"/>
      <w:divBdr>
        <w:top w:val="none" w:sz="0" w:space="0" w:color="auto"/>
        <w:left w:val="none" w:sz="0" w:space="0" w:color="auto"/>
        <w:bottom w:val="none" w:sz="0" w:space="0" w:color="auto"/>
        <w:right w:val="none" w:sz="0" w:space="0" w:color="auto"/>
      </w:divBdr>
    </w:div>
    <w:div w:id="1049495931">
      <w:bodyDiv w:val="1"/>
      <w:marLeft w:val="0"/>
      <w:marRight w:val="0"/>
      <w:marTop w:val="0"/>
      <w:marBottom w:val="0"/>
      <w:divBdr>
        <w:top w:val="none" w:sz="0" w:space="0" w:color="auto"/>
        <w:left w:val="none" w:sz="0" w:space="0" w:color="auto"/>
        <w:bottom w:val="none" w:sz="0" w:space="0" w:color="auto"/>
        <w:right w:val="none" w:sz="0" w:space="0" w:color="auto"/>
      </w:divBdr>
    </w:div>
    <w:div w:id="1071856463">
      <w:bodyDiv w:val="1"/>
      <w:marLeft w:val="0"/>
      <w:marRight w:val="0"/>
      <w:marTop w:val="0"/>
      <w:marBottom w:val="0"/>
      <w:divBdr>
        <w:top w:val="none" w:sz="0" w:space="0" w:color="auto"/>
        <w:left w:val="none" w:sz="0" w:space="0" w:color="auto"/>
        <w:bottom w:val="none" w:sz="0" w:space="0" w:color="auto"/>
        <w:right w:val="none" w:sz="0" w:space="0" w:color="auto"/>
      </w:divBdr>
    </w:div>
    <w:div w:id="1072236842">
      <w:bodyDiv w:val="1"/>
      <w:marLeft w:val="0"/>
      <w:marRight w:val="0"/>
      <w:marTop w:val="0"/>
      <w:marBottom w:val="0"/>
      <w:divBdr>
        <w:top w:val="none" w:sz="0" w:space="0" w:color="auto"/>
        <w:left w:val="none" w:sz="0" w:space="0" w:color="auto"/>
        <w:bottom w:val="none" w:sz="0" w:space="0" w:color="auto"/>
        <w:right w:val="none" w:sz="0" w:space="0" w:color="auto"/>
      </w:divBdr>
    </w:div>
    <w:div w:id="1122767889">
      <w:bodyDiv w:val="1"/>
      <w:marLeft w:val="0"/>
      <w:marRight w:val="0"/>
      <w:marTop w:val="0"/>
      <w:marBottom w:val="0"/>
      <w:divBdr>
        <w:top w:val="none" w:sz="0" w:space="0" w:color="auto"/>
        <w:left w:val="none" w:sz="0" w:space="0" w:color="auto"/>
        <w:bottom w:val="none" w:sz="0" w:space="0" w:color="auto"/>
        <w:right w:val="none" w:sz="0" w:space="0" w:color="auto"/>
      </w:divBdr>
    </w:div>
    <w:div w:id="1187711749">
      <w:bodyDiv w:val="1"/>
      <w:marLeft w:val="0"/>
      <w:marRight w:val="0"/>
      <w:marTop w:val="0"/>
      <w:marBottom w:val="0"/>
      <w:divBdr>
        <w:top w:val="none" w:sz="0" w:space="0" w:color="auto"/>
        <w:left w:val="none" w:sz="0" w:space="0" w:color="auto"/>
        <w:bottom w:val="none" w:sz="0" w:space="0" w:color="auto"/>
        <w:right w:val="none" w:sz="0" w:space="0" w:color="auto"/>
      </w:divBdr>
    </w:div>
    <w:div w:id="1243759392">
      <w:bodyDiv w:val="1"/>
      <w:marLeft w:val="0"/>
      <w:marRight w:val="0"/>
      <w:marTop w:val="0"/>
      <w:marBottom w:val="0"/>
      <w:divBdr>
        <w:top w:val="none" w:sz="0" w:space="0" w:color="auto"/>
        <w:left w:val="none" w:sz="0" w:space="0" w:color="auto"/>
        <w:bottom w:val="none" w:sz="0" w:space="0" w:color="auto"/>
        <w:right w:val="none" w:sz="0" w:space="0" w:color="auto"/>
      </w:divBdr>
    </w:div>
    <w:div w:id="1275406710">
      <w:bodyDiv w:val="1"/>
      <w:marLeft w:val="0"/>
      <w:marRight w:val="0"/>
      <w:marTop w:val="0"/>
      <w:marBottom w:val="0"/>
      <w:divBdr>
        <w:top w:val="none" w:sz="0" w:space="0" w:color="auto"/>
        <w:left w:val="none" w:sz="0" w:space="0" w:color="auto"/>
        <w:bottom w:val="none" w:sz="0" w:space="0" w:color="auto"/>
        <w:right w:val="none" w:sz="0" w:space="0" w:color="auto"/>
      </w:divBdr>
    </w:div>
    <w:div w:id="1333337830">
      <w:bodyDiv w:val="1"/>
      <w:marLeft w:val="0"/>
      <w:marRight w:val="0"/>
      <w:marTop w:val="0"/>
      <w:marBottom w:val="0"/>
      <w:divBdr>
        <w:top w:val="none" w:sz="0" w:space="0" w:color="auto"/>
        <w:left w:val="none" w:sz="0" w:space="0" w:color="auto"/>
        <w:bottom w:val="none" w:sz="0" w:space="0" w:color="auto"/>
        <w:right w:val="none" w:sz="0" w:space="0" w:color="auto"/>
      </w:divBdr>
    </w:div>
    <w:div w:id="1572547440">
      <w:bodyDiv w:val="1"/>
      <w:marLeft w:val="0"/>
      <w:marRight w:val="0"/>
      <w:marTop w:val="0"/>
      <w:marBottom w:val="0"/>
      <w:divBdr>
        <w:top w:val="none" w:sz="0" w:space="0" w:color="auto"/>
        <w:left w:val="none" w:sz="0" w:space="0" w:color="auto"/>
        <w:bottom w:val="none" w:sz="0" w:space="0" w:color="auto"/>
        <w:right w:val="none" w:sz="0" w:space="0" w:color="auto"/>
      </w:divBdr>
    </w:div>
    <w:div w:id="1581676892">
      <w:bodyDiv w:val="1"/>
      <w:marLeft w:val="0"/>
      <w:marRight w:val="0"/>
      <w:marTop w:val="0"/>
      <w:marBottom w:val="0"/>
      <w:divBdr>
        <w:top w:val="none" w:sz="0" w:space="0" w:color="auto"/>
        <w:left w:val="none" w:sz="0" w:space="0" w:color="auto"/>
        <w:bottom w:val="none" w:sz="0" w:space="0" w:color="auto"/>
        <w:right w:val="none" w:sz="0" w:space="0" w:color="auto"/>
      </w:divBdr>
    </w:div>
    <w:div w:id="1634166758">
      <w:bodyDiv w:val="1"/>
      <w:marLeft w:val="0"/>
      <w:marRight w:val="0"/>
      <w:marTop w:val="0"/>
      <w:marBottom w:val="0"/>
      <w:divBdr>
        <w:top w:val="none" w:sz="0" w:space="0" w:color="auto"/>
        <w:left w:val="none" w:sz="0" w:space="0" w:color="auto"/>
        <w:bottom w:val="none" w:sz="0" w:space="0" w:color="auto"/>
        <w:right w:val="none" w:sz="0" w:space="0" w:color="auto"/>
      </w:divBdr>
    </w:div>
    <w:div w:id="1637908409">
      <w:bodyDiv w:val="1"/>
      <w:marLeft w:val="0"/>
      <w:marRight w:val="0"/>
      <w:marTop w:val="0"/>
      <w:marBottom w:val="0"/>
      <w:divBdr>
        <w:top w:val="none" w:sz="0" w:space="0" w:color="auto"/>
        <w:left w:val="none" w:sz="0" w:space="0" w:color="auto"/>
        <w:bottom w:val="none" w:sz="0" w:space="0" w:color="auto"/>
        <w:right w:val="none" w:sz="0" w:space="0" w:color="auto"/>
      </w:divBdr>
    </w:div>
    <w:div w:id="1747680456">
      <w:bodyDiv w:val="1"/>
      <w:marLeft w:val="0"/>
      <w:marRight w:val="0"/>
      <w:marTop w:val="0"/>
      <w:marBottom w:val="0"/>
      <w:divBdr>
        <w:top w:val="none" w:sz="0" w:space="0" w:color="auto"/>
        <w:left w:val="none" w:sz="0" w:space="0" w:color="auto"/>
        <w:bottom w:val="none" w:sz="0" w:space="0" w:color="auto"/>
        <w:right w:val="none" w:sz="0" w:space="0" w:color="auto"/>
      </w:divBdr>
    </w:div>
    <w:div w:id="1814059909">
      <w:bodyDiv w:val="1"/>
      <w:marLeft w:val="0"/>
      <w:marRight w:val="0"/>
      <w:marTop w:val="0"/>
      <w:marBottom w:val="0"/>
      <w:divBdr>
        <w:top w:val="none" w:sz="0" w:space="0" w:color="auto"/>
        <w:left w:val="none" w:sz="0" w:space="0" w:color="auto"/>
        <w:bottom w:val="none" w:sz="0" w:space="0" w:color="auto"/>
        <w:right w:val="none" w:sz="0" w:space="0" w:color="auto"/>
      </w:divBdr>
    </w:div>
    <w:div w:id="1852135741">
      <w:bodyDiv w:val="1"/>
      <w:marLeft w:val="0"/>
      <w:marRight w:val="0"/>
      <w:marTop w:val="0"/>
      <w:marBottom w:val="0"/>
      <w:divBdr>
        <w:top w:val="none" w:sz="0" w:space="0" w:color="auto"/>
        <w:left w:val="none" w:sz="0" w:space="0" w:color="auto"/>
        <w:bottom w:val="none" w:sz="0" w:space="0" w:color="auto"/>
        <w:right w:val="none" w:sz="0" w:space="0" w:color="auto"/>
      </w:divBdr>
    </w:div>
    <w:div w:id="1963488989">
      <w:bodyDiv w:val="1"/>
      <w:marLeft w:val="0"/>
      <w:marRight w:val="0"/>
      <w:marTop w:val="0"/>
      <w:marBottom w:val="0"/>
      <w:divBdr>
        <w:top w:val="none" w:sz="0" w:space="0" w:color="auto"/>
        <w:left w:val="none" w:sz="0" w:space="0" w:color="auto"/>
        <w:bottom w:val="none" w:sz="0" w:space="0" w:color="auto"/>
        <w:right w:val="none" w:sz="0" w:space="0" w:color="auto"/>
      </w:divBdr>
    </w:div>
    <w:div w:id="2047025657">
      <w:bodyDiv w:val="1"/>
      <w:marLeft w:val="0"/>
      <w:marRight w:val="0"/>
      <w:marTop w:val="0"/>
      <w:marBottom w:val="0"/>
      <w:divBdr>
        <w:top w:val="none" w:sz="0" w:space="0" w:color="auto"/>
        <w:left w:val="none" w:sz="0" w:space="0" w:color="auto"/>
        <w:bottom w:val="none" w:sz="0" w:space="0" w:color="auto"/>
        <w:right w:val="none" w:sz="0" w:space="0" w:color="auto"/>
      </w:divBdr>
    </w:div>
    <w:div w:id="2113933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orcesserip.sharepoint.com/:p:/r/sites/teamhcopccksa/Shared%20Documents/General/Data%20%26%20Analysis%20(D%26A)/Theory%20of%20Change/23.24%20VRP%20Theory%20of%20Change.pptx?d=w3aeb3db2c3ad4e888cd9e7d59572b0dc&amp;csf=1&amp;web=1&amp;e=JBZMbO"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ampshire-pcc.gov.uk/vru-home/useful-document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orcesserip.sharepoint.com/:x:/r/sites/teamhcopccksa/Shared%20Documents/General/Data%20%26%20Analysis%20(D%26A)/Outcomes%20Based%20Performance%20Framework/Outcomes%20Based%20Performance%20Framework.xlsx?d=w1c8cd068fff4452ab8714d40fb42e72d&amp;csf=1&amp;web=1&amp;e=l4NRjj" TargetMode="Externa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594d72f0-2006-4c75-8ad1-366b0f5d099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A631D76BC6194F9A4CE1A4D16CA7ED" ma:contentTypeVersion="11" ma:contentTypeDescription="Create a new document." ma:contentTypeScope="" ma:versionID="6b0189ef0129fbd217598e61a6fda2b5">
  <xsd:schema xmlns:xsd="http://www.w3.org/2001/XMLSchema" xmlns:xs="http://www.w3.org/2001/XMLSchema" xmlns:p="http://schemas.microsoft.com/office/2006/metadata/properties" xmlns:ns3="594d72f0-2006-4c75-8ad1-366b0f5d099f" xmlns:ns4="e79316a7-f3e7-4128-8916-693104a70cc6" targetNamespace="http://schemas.microsoft.com/office/2006/metadata/properties" ma:root="true" ma:fieldsID="6fa08fcbf71f399afbbeb75b1b2d5ad7" ns3:_="" ns4:_="">
    <xsd:import namespace="594d72f0-2006-4c75-8ad1-366b0f5d099f"/>
    <xsd:import namespace="e79316a7-f3e7-4128-8916-693104a70cc6"/>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4d72f0-2006-4c75-8ad1-366b0f5d09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9316a7-f3e7-4128-8916-693104a70cc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7B8CC5-1418-4449-9CAF-9DB4F14E61CD}">
  <ds:schemaRefs>
    <ds:schemaRef ds:uri="594d72f0-2006-4c75-8ad1-366b0f5d099f"/>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e79316a7-f3e7-4128-8916-693104a70cc6"/>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27BD1DA3-5279-43A1-9C15-C39E2E88C690}">
  <ds:schemaRefs>
    <ds:schemaRef ds:uri="http://schemas.microsoft.com/sharepoint/v3/contenttype/forms"/>
  </ds:schemaRefs>
</ds:datastoreItem>
</file>

<file path=customXml/itemProps3.xml><?xml version="1.0" encoding="utf-8"?>
<ds:datastoreItem xmlns:ds="http://schemas.openxmlformats.org/officeDocument/2006/customXml" ds:itemID="{7134053F-6C5F-4E8A-954C-C11B106DAB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4d72f0-2006-4c75-8ad1-366b0f5d099f"/>
    <ds:schemaRef ds:uri="e79316a7-f3e7-4128-8916-693104a70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A1B97B-C5E7-4629-AF65-FE5E92883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2217</Words>
  <Characters>12638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SERIP</Company>
  <LinksUpToDate>false</LinksUpToDate>
  <CharactersWithSpaces>14826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Flower, Katie (19137)</dc:creator>
  <cp:keywords/>
  <dc:description/>
  <cp:lastModifiedBy>Hamer, Mandeep (50661)</cp:lastModifiedBy>
  <cp:revision>7</cp:revision>
  <dcterms:created xsi:type="dcterms:W3CDTF">2024-02-19T22:09:00Z</dcterms:created>
  <dcterms:modified xsi:type="dcterms:W3CDTF">2024-03-21T00:22:00Z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0x010100AFA631D76BC6194F9A4CE1A4D16CA7ED</vt:lpwstr>
  </property>
</Properties>
</file>