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D6082" w14:textId="77777777" w:rsidR="005345BC" w:rsidRPr="00430E67" w:rsidRDefault="00F979FB">
      <w:pPr>
        <w:spacing w:after="207" w:line="270" w:lineRule="auto"/>
        <w:ind w:left="10" w:hanging="10"/>
      </w:pPr>
      <w:r>
        <w:rPr>
          <w:b/>
        </w:rPr>
        <w:t xml:space="preserve">POLICE AND CRIME COMMISSIONER FOR HAMPSHIRE AND HAMPSHIRE </w:t>
      </w:r>
      <w:r w:rsidRPr="00430E67">
        <w:rPr>
          <w:b/>
        </w:rPr>
        <w:t>CONSTABULARY</w:t>
      </w:r>
      <w:r w:rsidRPr="00430E67">
        <w:t xml:space="preserve"> </w:t>
      </w:r>
    </w:p>
    <w:p w14:paraId="277C1646" w14:textId="1A4ADA02" w:rsidR="005345BC" w:rsidRDefault="00F979FB">
      <w:pPr>
        <w:spacing w:after="147" w:line="270" w:lineRule="auto"/>
        <w:ind w:left="10" w:hanging="10"/>
      </w:pPr>
      <w:r w:rsidRPr="00430E67">
        <w:rPr>
          <w:b/>
        </w:rPr>
        <w:t xml:space="preserve">JOINT AUDIT COMMITTEE </w:t>
      </w:r>
      <w:r w:rsidR="00430E67">
        <w:rPr>
          <w:b/>
        </w:rPr>
        <w:t>– 20 FEBRUARY 2024</w:t>
      </w:r>
    </w:p>
    <w:p w14:paraId="5E6F3400" w14:textId="77777777" w:rsidR="005345BC" w:rsidRDefault="00F979FB">
      <w:pPr>
        <w:spacing w:after="160" w:line="259" w:lineRule="auto"/>
        <w:ind w:left="0" w:firstLine="0"/>
      </w:pPr>
      <w:r>
        <w:rPr>
          <w:b/>
        </w:rPr>
        <w:t xml:space="preserve"> </w:t>
      </w:r>
      <w:r>
        <w:t xml:space="preserve"> </w:t>
      </w:r>
    </w:p>
    <w:p w14:paraId="6B2AC328" w14:textId="77777777" w:rsidR="005345BC" w:rsidRDefault="00F979FB">
      <w:pPr>
        <w:spacing w:after="216" w:line="259" w:lineRule="auto"/>
        <w:ind w:left="0" w:firstLine="0"/>
      </w:pPr>
      <w:r>
        <w:rPr>
          <w:b/>
          <w:i/>
        </w:rPr>
        <w:t>Treasury Management Strategy and Investment Strategy 2024/25 to 2026/27</w:t>
      </w:r>
      <w:r>
        <w:t xml:space="preserve"> </w:t>
      </w:r>
    </w:p>
    <w:p w14:paraId="628DC998" w14:textId="77777777" w:rsidR="005345BC" w:rsidRDefault="00F979FB">
      <w:pPr>
        <w:spacing w:after="223" w:line="270" w:lineRule="auto"/>
        <w:ind w:left="10" w:hanging="10"/>
      </w:pPr>
      <w:r>
        <w:rPr>
          <w:b/>
        </w:rPr>
        <w:t>REPORT OF THE CHIEF FINANCE OFFICER OF THE OFFICE OF THE POLICE AND CRIME COMMISSIONER</w:t>
      </w:r>
      <w:r>
        <w:t xml:space="preserve"> </w:t>
      </w:r>
    </w:p>
    <w:p w14:paraId="747BB3FE" w14:textId="77777777" w:rsidR="005345BC" w:rsidRDefault="00F979FB">
      <w:pPr>
        <w:spacing w:after="163" w:line="259" w:lineRule="auto"/>
        <w:ind w:left="0" w:firstLine="0"/>
      </w:pPr>
      <w:r>
        <w:rPr>
          <w:sz w:val="19"/>
        </w:rPr>
        <w:t xml:space="preserve"> </w:t>
      </w:r>
      <w:r>
        <w:t xml:space="preserve"> </w:t>
      </w:r>
    </w:p>
    <w:p w14:paraId="48B50711" w14:textId="77777777" w:rsidR="005345BC" w:rsidRDefault="00F979FB" w:rsidP="00F979FB">
      <w:pPr>
        <w:pStyle w:val="Heading1"/>
        <w:spacing w:after="13"/>
      </w:pPr>
      <w:r>
        <w:t xml:space="preserve">1. Purpose </w:t>
      </w:r>
    </w:p>
    <w:p w14:paraId="63DCF150" w14:textId="77777777" w:rsidR="005345BC" w:rsidRDefault="00F979FB" w:rsidP="00F979FB">
      <w:pPr>
        <w:ind w:right="175"/>
      </w:pPr>
      <w:r>
        <w:t xml:space="preserve">1.1. The Chartered Institute of Public Finance and Accountancy’s Treasury Management in the Public Services: Code of Practice (the </w:t>
      </w:r>
    </w:p>
    <w:p w14:paraId="2E22779C" w14:textId="77777777" w:rsidR="005345BC" w:rsidRDefault="00F979FB">
      <w:pPr>
        <w:ind w:left="1440" w:right="175" w:firstLine="0"/>
      </w:pPr>
      <w:r>
        <w:t xml:space="preserve">CIPFA Code) requires authorities to determine the Treasury Management Strategy Statement (TMSS) before the start of each financial year.  </w:t>
      </w:r>
    </w:p>
    <w:p w14:paraId="7B536493" w14:textId="35BB8FD0" w:rsidR="005345BC" w:rsidRDefault="00F979FB">
      <w:pPr>
        <w:ind w:left="1435" w:right="175"/>
      </w:pPr>
      <w:r>
        <w:t>1.</w:t>
      </w:r>
      <w:r w:rsidR="003C6F22">
        <w:t>2</w:t>
      </w:r>
      <w:r>
        <w:t xml:space="preserve"> This report fulfils the Office of the Police and Crime Commissioner’s legal obligation under the Local Government Act 2003 to have regard to the CIPFA Code. </w:t>
      </w:r>
    </w:p>
    <w:p w14:paraId="4946517D" w14:textId="77777777" w:rsidR="005345BC" w:rsidRDefault="00F979FB">
      <w:pPr>
        <w:spacing w:after="144" w:line="259" w:lineRule="auto"/>
        <w:ind w:left="0" w:firstLine="0"/>
      </w:pPr>
      <w:r>
        <w:t xml:space="preserve">  </w:t>
      </w:r>
    </w:p>
    <w:p w14:paraId="29B10C71" w14:textId="77777777" w:rsidR="005345BC" w:rsidRDefault="00F979FB" w:rsidP="00F979FB">
      <w:pPr>
        <w:pStyle w:val="Heading1"/>
        <w:spacing w:after="34"/>
      </w:pPr>
      <w:r>
        <w:t xml:space="preserve">2. Recommendation </w:t>
      </w:r>
    </w:p>
    <w:p w14:paraId="08371156" w14:textId="46E59BA2" w:rsidR="005345BC" w:rsidRDefault="003C6F22">
      <w:pPr>
        <w:ind w:left="1435" w:right="175"/>
      </w:pPr>
      <w:r>
        <w:t>2</w:t>
      </w:r>
      <w:r w:rsidR="00F979FB">
        <w:t xml:space="preserve">.1. That the Joint Audit Committee notes the recommendations to be made to the Police and Crime Commissioner to be put in place from the date at which she signs the recommendations: </w:t>
      </w:r>
    </w:p>
    <w:p w14:paraId="43A0D241" w14:textId="77777777" w:rsidR="005345BC" w:rsidRDefault="00F979FB">
      <w:pPr>
        <w:numPr>
          <w:ilvl w:val="0"/>
          <w:numId w:val="1"/>
        </w:numPr>
        <w:ind w:right="175" w:hanging="360"/>
      </w:pPr>
      <w:r>
        <w:t xml:space="preserve">That the Treasury Management Strategy for 2024/25 and the remainder of 2023/24 is approved; and </w:t>
      </w:r>
    </w:p>
    <w:p w14:paraId="0BAEE26E" w14:textId="77777777" w:rsidR="005345BC" w:rsidRDefault="00F979FB">
      <w:pPr>
        <w:numPr>
          <w:ilvl w:val="0"/>
          <w:numId w:val="1"/>
        </w:numPr>
        <w:ind w:right="175" w:hanging="360"/>
      </w:pPr>
      <w:r>
        <w:t xml:space="preserve">That authority is delegated to the Chief Finance Officer, who in turn discharges this function to Hampshire County Council’s Director of Corporate Operations as agreed in the Service Level Agreement, to manage the Police and Crime Commissioner’s investments and borrowing according to the Treasury Management Strategy Statement as appropriate. </w:t>
      </w:r>
    </w:p>
    <w:p w14:paraId="4F314F21" w14:textId="77777777" w:rsidR="005345BC" w:rsidRDefault="00F979FB" w:rsidP="00F979FB">
      <w:pPr>
        <w:pStyle w:val="Heading1"/>
        <w:spacing w:after="34"/>
      </w:pPr>
      <w:r>
        <w:t xml:space="preserve">3. Introduction </w:t>
      </w:r>
    </w:p>
    <w:p w14:paraId="31B59588" w14:textId="4C6D7C46" w:rsidR="005345BC" w:rsidRDefault="003C6F22">
      <w:pPr>
        <w:ind w:left="1435" w:right="175"/>
      </w:pPr>
      <w:r>
        <w:t>3</w:t>
      </w:r>
      <w:r w:rsidR="00F979FB">
        <w:t xml:space="preserve">.1. Treasury management is the management of the Police and Crime Commissioner’s (PCC) cash flows, borrowing and investments, and the associated risks. The PCC has borrowed and invested sums of money and is therefore exposed to financial risks including the loss of invested funds and the revenue effect of changing interest rates. The successful identification, monitoring and control of financial risk are therefore central to the PCC’s prudent financial management. </w:t>
      </w:r>
    </w:p>
    <w:p w14:paraId="1E365581" w14:textId="143A0006" w:rsidR="005345BC" w:rsidRDefault="003C6F22">
      <w:pPr>
        <w:ind w:left="1435" w:right="175"/>
      </w:pPr>
      <w:r>
        <w:lastRenderedPageBreak/>
        <w:t>3.2</w:t>
      </w:r>
      <w:r w:rsidR="00F979FB">
        <w:t xml:space="preserve">. Treasury risk management at the PCC is conducted within the framework of the CIPFA Code which requires the PCC to approve a Treasury Management Strategy Statement (TMSS) before the start of each financial year. This report fulfils the PCC’s legal obligation under the Local Government Act 2003 to have regard to the CIPFA Code. </w:t>
      </w:r>
    </w:p>
    <w:p w14:paraId="257AFA33" w14:textId="77777777" w:rsidR="005345BC" w:rsidRDefault="00F979FB">
      <w:pPr>
        <w:spacing w:after="144" w:line="259" w:lineRule="auto"/>
        <w:ind w:left="720" w:firstLine="0"/>
      </w:pPr>
      <w:r>
        <w:t xml:space="preserve">  </w:t>
      </w:r>
    </w:p>
    <w:p w14:paraId="79DD432D" w14:textId="77777777" w:rsidR="005345BC" w:rsidRDefault="00F979FB" w:rsidP="003C6F22">
      <w:pPr>
        <w:pStyle w:val="Heading1"/>
        <w:spacing w:after="34"/>
      </w:pPr>
      <w:r>
        <w:t xml:space="preserve">4. External Context </w:t>
      </w:r>
    </w:p>
    <w:p w14:paraId="54E8F13F" w14:textId="77777777" w:rsidR="003C6F22" w:rsidRDefault="003C6F22" w:rsidP="003C6F22">
      <w:pPr>
        <w:ind w:left="1435" w:right="175"/>
      </w:pPr>
      <w:r>
        <w:t>4</w:t>
      </w:r>
      <w:r w:rsidR="00F979FB">
        <w:t xml:space="preserve">.1. The following paragraphs explain the economic and financial background </w:t>
      </w:r>
    </w:p>
    <w:p w14:paraId="38670E95" w14:textId="7B6B0D44" w:rsidR="005345BC" w:rsidRDefault="00F979FB" w:rsidP="003C6F22">
      <w:pPr>
        <w:ind w:left="1435" w:right="175"/>
      </w:pPr>
      <w:r>
        <w:t xml:space="preserve">against which the TMSS is being set. </w:t>
      </w:r>
    </w:p>
    <w:p w14:paraId="64A74012" w14:textId="77777777" w:rsidR="00F979FB" w:rsidRDefault="00F979FB" w:rsidP="00F979FB">
      <w:pPr>
        <w:pStyle w:val="Heading1"/>
      </w:pPr>
    </w:p>
    <w:p w14:paraId="7F51D97D" w14:textId="77777777" w:rsidR="005345BC" w:rsidRDefault="00F979FB" w:rsidP="00F979FB">
      <w:pPr>
        <w:pStyle w:val="Heading1"/>
      </w:pPr>
      <w:r>
        <w:t>Economic background</w:t>
      </w:r>
      <w:r>
        <w:rPr>
          <w:b w:val="0"/>
        </w:rPr>
        <w:t xml:space="preserve"> </w:t>
      </w:r>
    </w:p>
    <w:p w14:paraId="02118048" w14:textId="3D8F9E9F" w:rsidR="005345BC" w:rsidRDefault="00F979FB" w:rsidP="00F979FB">
      <w:pPr>
        <w:tabs>
          <w:tab w:val="center" w:pos="1281"/>
          <w:tab w:val="center" w:pos="5503"/>
        </w:tabs>
        <w:ind w:left="0" w:firstLine="0"/>
      </w:pPr>
      <w:r>
        <w:rPr>
          <w:rFonts w:ascii="Calibri" w:eastAsia="Calibri" w:hAnsi="Calibri" w:cs="Calibri"/>
          <w:sz w:val="22"/>
        </w:rPr>
        <w:tab/>
      </w:r>
      <w:r w:rsidR="003C6F22">
        <w:t>4.2</w:t>
      </w:r>
      <w:r>
        <w:t xml:space="preserve">. The impact on the UK from higher interest rates and inflation, a weakening economic outlook, an uncertain political climate due to an upcoming general election, together with war in Ukraine and the Middle East, will be major influences on the PCC’s treasury management strategy for 2024/25.  </w:t>
      </w:r>
    </w:p>
    <w:p w14:paraId="747304F9" w14:textId="77777777" w:rsidR="00F979FB" w:rsidRDefault="00F979FB" w:rsidP="00F979FB">
      <w:pPr>
        <w:tabs>
          <w:tab w:val="center" w:pos="1281"/>
          <w:tab w:val="center" w:pos="5503"/>
        </w:tabs>
        <w:ind w:left="0" w:firstLine="0"/>
      </w:pPr>
    </w:p>
    <w:p w14:paraId="7B92B4D9" w14:textId="643382D7" w:rsidR="005345BC" w:rsidRDefault="00F979FB" w:rsidP="00F979FB">
      <w:pPr>
        <w:tabs>
          <w:tab w:val="center" w:pos="1281"/>
          <w:tab w:val="center" w:pos="5402"/>
        </w:tabs>
        <w:ind w:left="0" w:firstLine="0"/>
      </w:pPr>
      <w:r>
        <w:rPr>
          <w:rFonts w:ascii="Calibri" w:eastAsia="Calibri" w:hAnsi="Calibri" w:cs="Calibri"/>
          <w:sz w:val="22"/>
        </w:rPr>
        <w:tab/>
      </w:r>
      <w:r w:rsidR="003C6F22">
        <w:t>4.3</w:t>
      </w:r>
      <w:r>
        <w:t xml:space="preserve">. The Bank of England (BoE) increased Bank Rate to 5.25% in August 2023, before maintaining this level for the rest of 2023. The November 2023 quarterly Monetary Policy Report (MPR) forecast a prolonged period of weak Gross Domestic Product (GDP) growth with the potential for a mild contraction due to ongoing weak economic activity. The outlook for CPI inflation was deemed to be highly uncertain, with near-term risks to CPI falling to the 2% target coming from potential energy price increases, strong domestic wage growth and persistence in price-setting. </w:t>
      </w:r>
    </w:p>
    <w:p w14:paraId="4630EB6F" w14:textId="77777777" w:rsidR="00F979FB" w:rsidRDefault="00F979FB" w:rsidP="00F979FB">
      <w:pPr>
        <w:tabs>
          <w:tab w:val="center" w:pos="1281"/>
          <w:tab w:val="center" w:pos="5402"/>
        </w:tabs>
        <w:ind w:left="0" w:firstLine="0"/>
      </w:pPr>
    </w:p>
    <w:p w14:paraId="5DC4CBE0" w14:textId="3665F833" w:rsidR="005345BC" w:rsidRDefault="003C6F22" w:rsidP="00F979FB">
      <w:pPr>
        <w:ind w:left="0" w:right="175" w:hanging="10"/>
      </w:pPr>
      <w:r>
        <w:t>4.</w:t>
      </w:r>
      <w:r w:rsidR="00F979FB">
        <w:t>4</w:t>
      </w:r>
      <w:r>
        <w:t>.</w:t>
      </w:r>
      <w:r w:rsidR="00F979FB">
        <w:t xml:space="preserve"> Office for National Statistics (ONS) figures showed CPI inflation was 3.9% in November 2023, down from 4.6% in the previous month, and in line with the recent trend being lower than expected. The core CPI inflation rate declined to 5.1% from the previous month’s 5.7%, again being lower than predictions. Looking ahead, using the interest rate path implied by financial markets the BoE expects CPI inflation to continue falling slowly, but taking until early 2025 to reach the 2% target and then falling below target during the second half of 2025 and into 2026. </w:t>
      </w:r>
    </w:p>
    <w:p w14:paraId="61CE464F" w14:textId="77777777" w:rsidR="00F979FB" w:rsidRDefault="00F979FB" w:rsidP="00F979FB">
      <w:pPr>
        <w:ind w:left="0" w:right="175" w:hanging="10"/>
      </w:pPr>
    </w:p>
    <w:p w14:paraId="416C4128" w14:textId="77777777" w:rsidR="005345BC" w:rsidRDefault="00F979FB" w:rsidP="00F979FB">
      <w:pPr>
        <w:pStyle w:val="Heading1"/>
        <w:ind w:left="0"/>
      </w:pPr>
      <w:r>
        <w:t>Credit outlook</w:t>
      </w:r>
      <w:r>
        <w:rPr>
          <w:b w:val="0"/>
        </w:rPr>
        <w:t xml:space="preserve"> </w:t>
      </w:r>
    </w:p>
    <w:p w14:paraId="710C6A0E" w14:textId="67743119" w:rsidR="005345BC" w:rsidRDefault="003C6F22" w:rsidP="00F979FB">
      <w:pPr>
        <w:spacing w:after="32"/>
        <w:ind w:left="0" w:right="175" w:firstLine="0"/>
      </w:pPr>
      <w:r>
        <w:t>4.</w:t>
      </w:r>
      <w:r w:rsidR="00F979FB">
        <w:t xml:space="preserve">5 Credit Default Swap (CDS) prices are used as an indicator of credit risk, where higher premiums indicate higher perceived risks. CDS prices were volatile during 2023, spiking in March on the back of banking sector contagion concerns following the major events of Silicon Valley Bank becoming insolvent and the takeover of Credit Suisse by UBS.  After then falling back in Quarter 2 of calendar 2023, in the second half of the </w:t>
      </w:r>
      <w:r w:rsidR="00F979FB">
        <w:lastRenderedPageBreak/>
        <w:t xml:space="preserve">year, higher interest rates and inflation, the ongoing war in Ukraine, and now the Middle East, have led to CDS prices increasing steadily. </w:t>
      </w:r>
    </w:p>
    <w:p w14:paraId="044D82B7" w14:textId="77777777" w:rsidR="00F979FB" w:rsidRDefault="00F979FB" w:rsidP="00F979FB">
      <w:pPr>
        <w:spacing w:after="32"/>
        <w:ind w:left="0" w:right="175" w:firstLine="0"/>
      </w:pPr>
    </w:p>
    <w:p w14:paraId="2C9C620D" w14:textId="038599D9" w:rsidR="005345BC" w:rsidRDefault="003C6F22" w:rsidP="00F979FB">
      <w:pPr>
        <w:ind w:left="0" w:right="175" w:firstLine="0"/>
      </w:pPr>
      <w:r>
        <w:t>4.6</w:t>
      </w:r>
      <w:r w:rsidR="00F979FB">
        <w:t xml:space="preserve">. On an annual basis, CDS price volatility has so far been lower in 2023 compared to 2022, but this year has seen more of a divergence in prices between ringfenced (retail) and non-ringfenced (investment) banking entities once again. </w:t>
      </w:r>
    </w:p>
    <w:p w14:paraId="066A4FB6" w14:textId="77777777" w:rsidR="00F979FB" w:rsidRDefault="00F979FB" w:rsidP="00F979FB">
      <w:pPr>
        <w:ind w:left="0" w:right="175" w:firstLine="0"/>
      </w:pPr>
    </w:p>
    <w:p w14:paraId="3780BB6E" w14:textId="32BDBEF7" w:rsidR="005345BC" w:rsidRDefault="003C6F22" w:rsidP="00F979FB">
      <w:pPr>
        <w:ind w:left="0" w:right="175" w:firstLine="0"/>
      </w:pPr>
      <w:r>
        <w:t>4.</w:t>
      </w:r>
      <w:r w:rsidR="00F979FB">
        <w:t xml:space="preserve">7. Moody’s revised its outlook on the UK sovereign to stable from negative to reflect its view of restored political predictability following the volatility after the 2022 mini-budget. Moody’s also affirmed the Aa3 rating in recognition of the UK’s economic resilience and strong institutional framework. </w:t>
      </w:r>
    </w:p>
    <w:p w14:paraId="60A33B48" w14:textId="77777777" w:rsidR="00F979FB" w:rsidRDefault="00F979FB" w:rsidP="00F979FB">
      <w:pPr>
        <w:ind w:left="0" w:right="175" w:firstLine="0"/>
      </w:pPr>
    </w:p>
    <w:p w14:paraId="71262E91" w14:textId="1CCB30CC" w:rsidR="005345BC" w:rsidRDefault="003C6F22" w:rsidP="00F979FB">
      <w:pPr>
        <w:ind w:left="0" w:right="175" w:firstLine="0"/>
      </w:pPr>
      <w:r>
        <w:t>4.8</w:t>
      </w:r>
      <w:r w:rsidR="00F979FB">
        <w:t xml:space="preserve">. Following its rating action on the UK sovereign, Moody’s revised the outlook on five UK banks to stable from negative and then followed this by the same action on five rated local authorities. However, within the same update the long-term ratings of those five local authorities were downgraded. </w:t>
      </w:r>
    </w:p>
    <w:p w14:paraId="60D562B7" w14:textId="77777777" w:rsidR="00F979FB" w:rsidRDefault="00F979FB" w:rsidP="00F979FB">
      <w:pPr>
        <w:ind w:left="0" w:right="175" w:firstLine="0"/>
      </w:pPr>
    </w:p>
    <w:p w14:paraId="7538F200" w14:textId="1A99ACAA" w:rsidR="005345BC" w:rsidRDefault="003C6F22" w:rsidP="00F979FB">
      <w:pPr>
        <w:ind w:left="0" w:right="175" w:firstLine="0"/>
      </w:pPr>
      <w:r>
        <w:t>4.</w:t>
      </w:r>
      <w:r w:rsidR="00F979FB">
        <w:t xml:space="preserve">9. There remain competing tensions in the banking sector, on one side from higher interest rates boosting net income and profitability against another of a weakening economic outlook and likely recessions that increase the possibility of a deterioration in the quality of banks’ assets. </w:t>
      </w:r>
    </w:p>
    <w:p w14:paraId="24A8DCF1" w14:textId="77777777" w:rsidR="00F979FB" w:rsidRDefault="00F979FB" w:rsidP="00F979FB">
      <w:pPr>
        <w:ind w:left="0" w:right="175" w:firstLine="0"/>
      </w:pPr>
    </w:p>
    <w:p w14:paraId="7D30D599" w14:textId="28E79372" w:rsidR="005345BC" w:rsidRDefault="003C6F22" w:rsidP="00F979FB">
      <w:pPr>
        <w:ind w:left="0" w:right="175" w:firstLine="0"/>
      </w:pPr>
      <w:r>
        <w:t>4.</w:t>
      </w:r>
      <w:r w:rsidR="00F979FB">
        <w:t>10.</w:t>
      </w:r>
      <w:r>
        <w:t xml:space="preserve"> </w:t>
      </w:r>
      <w:r w:rsidR="00F979FB">
        <w:t xml:space="preserve">However, the institutions on the PCC’s treasury adviser, Arlingclose’s, counterparty list remain well-capitalised and their counterparty advice on both recommended institutions and maximum duration remain under constant review and will continue to reflect economic conditions and the credit outlook. </w:t>
      </w:r>
    </w:p>
    <w:p w14:paraId="557F5CCC" w14:textId="77777777" w:rsidR="00F979FB" w:rsidRDefault="00F979FB" w:rsidP="00F979FB">
      <w:pPr>
        <w:ind w:left="0" w:right="175" w:firstLine="0"/>
      </w:pPr>
    </w:p>
    <w:p w14:paraId="1217CEA9" w14:textId="77777777" w:rsidR="005345BC" w:rsidRDefault="00F979FB" w:rsidP="00F979FB">
      <w:pPr>
        <w:pStyle w:val="Heading1"/>
        <w:ind w:left="0"/>
      </w:pPr>
      <w:r>
        <w:t>Interest rate forecast (December 2023)</w:t>
      </w:r>
      <w:r>
        <w:rPr>
          <w:b w:val="0"/>
        </w:rPr>
        <w:t xml:space="preserve"> </w:t>
      </w:r>
    </w:p>
    <w:p w14:paraId="365FE6FD" w14:textId="22F830D5" w:rsidR="005345BC" w:rsidRDefault="00F979FB" w:rsidP="00F979FB">
      <w:pPr>
        <w:tabs>
          <w:tab w:val="center" w:pos="142"/>
          <w:tab w:val="center" w:pos="5149"/>
        </w:tabs>
        <w:ind w:left="0" w:firstLine="0"/>
      </w:pPr>
      <w:r>
        <w:rPr>
          <w:rFonts w:ascii="Calibri" w:eastAsia="Calibri" w:hAnsi="Calibri" w:cs="Calibri"/>
          <w:sz w:val="22"/>
        </w:rPr>
        <w:tab/>
      </w:r>
      <w:r w:rsidR="003C6F22">
        <w:t>4.1</w:t>
      </w:r>
      <w:r>
        <w:t xml:space="preserve">1. Although UK inflation and wage growth remain elevated, Arlingclose forecasts that Bank Rate has peaked at 5.25%. The BoE’s Monetary Policy Committee will start reducing rates in 2024 to stimulate the UK economy but will be reluctant to do so until it is sure there will be no lingering second-round effects. Arlingclose sees rate cuts from Quarter 3 2024 to a low of around 3% by early-mid 2026. </w:t>
      </w:r>
    </w:p>
    <w:p w14:paraId="182D373A" w14:textId="77777777" w:rsidR="00F979FB" w:rsidRDefault="00F979FB" w:rsidP="00F979FB">
      <w:pPr>
        <w:tabs>
          <w:tab w:val="center" w:pos="142"/>
          <w:tab w:val="center" w:pos="5149"/>
        </w:tabs>
        <w:ind w:left="0" w:firstLine="0"/>
      </w:pPr>
    </w:p>
    <w:p w14:paraId="19AC7235" w14:textId="041F7DAA" w:rsidR="005345BC" w:rsidRDefault="003C6F22" w:rsidP="00F979FB">
      <w:pPr>
        <w:tabs>
          <w:tab w:val="center" w:pos="426"/>
        </w:tabs>
        <w:ind w:left="0" w:right="175" w:firstLine="0"/>
      </w:pPr>
      <w:r>
        <w:t>4.</w:t>
      </w:r>
      <w:r w:rsidR="00F979FB">
        <w:t xml:space="preserve">12. Arlingclose expects long-term gilt yields to be broadly stable at current levels (amid continued volatility), following the decline in yields towards the end of 2023, which reflects the expected lower medium-term path for Bank Rate. Yields will remain relatively higher than in the past, due to quantitative tightening and significant bond supply. As ever, there will undoubtedly be short-term volatility due to economic and political uncertainty and events </w:t>
      </w:r>
    </w:p>
    <w:p w14:paraId="07A60F55" w14:textId="55356F47" w:rsidR="005345BC" w:rsidRDefault="003C6F22" w:rsidP="00F979FB">
      <w:pPr>
        <w:tabs>
          <w:tab w:val="center" w:pos="142"/>
        </w:tabs>
        <w:ind w:left="0" w:right="175" w:firstLine="0"/>
      </w:pPr>
      <w:r>
        <w:t>4.</w:t>
      </w:r>
      <w:r w:rsidR="00F979FB">
        <w:t>13</w:t>
      </w:r>
      <w:r>
        <w:t>.</w:t>
      </w:r>
      <w:r w:rsidR="00F979FB">
        <w:t xml:space="preserve"> </w:t>
      </w:r>
      <w:r w:rsidR="00F979FB">
        <w:tab/>
        <w:t xml:space="preserve">A more detailed economic and interest rate forecast provided by Arlingclose is in Annex A. </w:t>
      </w:r>
    </w:p>
    <w:p w14:paraId="08A6EC93" w14:textId="77777777" w:rsidR="00F979FB" w:rsidRDefault="00F979FB">
      <w:pPr>
        <w:pStyle w:val="Heading1"/>
        <w:spacing w:after="31"/>
        <w:ind w:left="370"/>
      </w:pPr>
    </w:p>
    <w:p w14:paraId="06CE7BD4" w14:textId="77777777" w:rsidR="005345BC" w:rsidRDefault="00F979FB" w:rsidP="00F979FB">
      <w:pPr>
        <w:pStyle w:val="Heading1"/>
        <w:spacing w:after="31"/>
        <w:ind w:left="0"/>
      </w:pPr>
      <w:r>
        <w:t xml:space="preserve">5. Balance Sheet Summary and Forecast </w:t>
      </w:r>
    </w:p>
    <w:p w14:paraId="3A711EE0" w14:textId="3DBB2AA5" w:rsidR="005345BC" w:rsidRDefault="00F979FB" w:rsidP="00F979FB">
      <w:pPr>
        <w:tabs>
          <w:tab w:val="center" w:pos="142"/>
          <w:tab w:val="center" w:pos="5516"/>
        </w:tabs>
        <w:spacing w:after="27" w:line="259" w:lineRule="auto"/>
        <w:ind w:left="0" w:firstLine="0"/>
      </w:pPr>
      <w:r>
        <w:rPr>
          <w:rFonts w:ascii="Calibri" w:eastAsia="Calibri" w:hAnsi="Calibri" w:cs="Calibri"/>
          <w:sz w:val="22"/>
        </w:rPr>
        <w:tab/>
      </w:r>
      <w:r w:rsidR="003C6F22">
        <w:t>5</w:t>
      </w:r>
      <w:r>
        <w:t xml:space="preserve">.1. On 31 December 2023, the PCC held £19.4m of borrowing and £115.8m of investments. This is set out in further detail at Appendix B.  Forecast changes in these sums are shown in the balance sheet analysis in Table 1. </w:t>
      </w:r>
    </w:p>
    <w:p w14:paraId="20BA4D52" w14:textId="77777777" w:rsidR="00F979FB" w:rsidRDefault="00F979FB" w:rsidP="00F979FB">
      <w:pPr>
        <w:tabs>
          <w:tab w:val="center" w:pos="142"/>
          <w:tab w:val="center" w:pos="5516"/>
        </w:tabs>
        <w:spacing w:after="27" w:line="259" w:lineRule="auto"/>
        <w:ind w:left="0" w:firstLine="0"/>
      </w:pPr>
    </w:p>
    <w:p w14:paraId="26350361" w14:textId="77777777" w:rsidR="005345BC" w:rsidRDefault="00F979FB">
      <w:pPr>
        <w:pStyle w:val="Heading1"/>
        <w:spacing w:after="0"/>
        <w:ind w:left="267"/>
      </w:pPr>
      <w:r>
        <w:t>Table 1: Balance sheet summary and forecast</w:t>
      </w:r>
      <w:r>
        <w:rPr>
          <w:b w:val="0"/>
        </w:rPr>
        <w:t xml:space="preserve"> </w:t>
      </w:r>
    </w:p>
    <w:tbl>
      <w:tblPr>
        <w:tblStyle w:val="TableGrid"/>
        <w:tblW w:w="9360" w:type="dxa"/>
        <w:tblInd w:w="151" w:type="dxa"/>
        <w:tblCellMar>
          <w:top w:w="58" w:type="dxa"/>
          <w:left w:w="106" w:type="dxa"/>
        </w:tblCellMar>
        <w:tblLook w:val="04A0" w:firstRow="1" w:lastRow="0" w:firstColumn="1" w:lastColumn="0" w:noHBand="0" w:noVBand="1"/>
      </w:tblPr>
      <w:tblGrid>
        <w:gridCol w:w="3100"/>
        <w:gridCol w:w="1134"/>
        <w:gridCol w:w="1275"/>
        <w:gridCol w:w="1134"/>
        <w:gridCol w:w="1276"/>
        <w:gridCol w:w="1441"/>
      </w:tblGrid>
      <w:tr w:rsidR="005345BC" w14:paraId="07972D35" w14:textId="77777777" w:rsidTr="00F979FB">
        <w:trPr>
          <w:trHeight w:val="2028"/>
        </w:trPr>
        <w:tc>
          <w:tcPr>
            <w:tcW w:w="3100" w:type="dxa"/>
            <w:tcBorders>
              <w:top w:val="single" w:sz="8" w:space="0" w:color="000000"/>
              <w:left w:val="single" w:sz="8" w:space="0" w:color="000000"/>
              <w:bottom w:val="single" w:sz="8" w:space="0" w:color="000000"/>
              <w:right w:val="single" w:sz="8" w:space="0" w:color="000000"/>
            </w:tcBorders>
          </w:tcPr>
          <w:p w14:paraId="5ACF69BE" w14:textId="77777777" w:rsidR="005345BC" w:rsidRDefault="00F979FB">
            <w:pPr>
              <w:spacing w:after="0" w:line="259" w:lineRule="auto"/>
              <w:ind w:left="0" w:firstLine="0"/>
            </w:pP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2187F21" w14:textId="77777777" w:rsidR="005345BC" w:rsidRPr="00F979FB" w:rsidRDefault="00F979FB">
            <w:pPr>
              <w:spacing w:after="24" w:line="259" w:lineRule="auto"/>
              <w:ind w:left="0" w:right="107" w:firstLine="0"/>
              <w:jc w:val="right"/>
            </w:pPr>
            <w:r w:rsidRPr="00F979FB">
              <w:rPr>
                <w:b/>
              </w:rPr>
              <w:t>31/03/2</w:t>
            </w:r>
          </w:p>
          <w:p w14:paraId="60D1FE69" w14:textId="77777777" w:rsidR="005345BC" w:rsidRPr="00F979FB" w:rsidRDefault="00F979FB">
            <w:pPr>
              <w:spacing w:after="158" w:line="259" w:lineRule="auto"/>
              <w:ind w:left="0" w:right="109" w:firstLine="0"/>
              <w:jc w:val="right"/>
            </w:pPr>
            <w:r w:rsidRPr="00F979FB">
              <w:rPr>
                <w:b/>
              </w:rPr>
              <w:t>3</w:t>
            </w:r>
            <w:r w:rsidRPr="00F979FB">
              <w:t xml:space="preserve"> </w:t>
            </w:r>
          </w:p>
          <w:p w14:paraId="7319F1C9" w14:textId="77777777" w:rsidR="005345BC" w:rsidRPr="00F979FB" w:rsidRDefault="00F979FB">
            <w:pPr>
              <w:spacing w:after="0" w:line="259" w:lineRule="auto"/>
              <w:ind w:left="0" w:right="108" w:firstLine="0"/>
              <w:jc w:val="right"/>
            </w:pPr>
            <w:r w:rsidRPr="00F979FB">
              <w:rPr>
                <w:b/>
              </w:rPr>
              <w:t>Actual</w:t>
            </w:r>
            <w:r w:rsidRPr="00F979FB">
              <w:t xml:space="preserve"> </w:t>
            </w:r>
            <w:r w:rsidRPr="00F979FB">
              <w:rPr>
                <w:b/>
              </w:rPr>
              <w:t>£m</w:t>
            </w:r>
            <w:r w:rsidRPr="00F979FB">
              <w:t xml:space="preserve"> </w:t>
            </w:r>
          </w:p>
        </w:tc>
        <w:tc>
          <w:tcPr>
            <w:tcW w:w="1275" w:type="dxa"/>
            <w:tcBorders>
              <w:top w:val="single" w:sz="8" w:space="0" w:color="000000"/>
              <w:left w:val="single" w:sz="8" w:space="0" w:color="000000"/>
              <w:bottom w:val="single" w:sz="8" w:space="0" w:color="000000"/>
              <w:right w:val="single" w:sz="8" w:space="0" w:color="000000"/>
            </w:tcBorders>
          </w:tcPr>
          <w:p w14:paraId="455D9E96" w14:textId="77777777" w:rsidR="005345BC" w:rsidRPr="00F979FB" w:rsidRDefault="00F979FB">
            <w:pPr>
              <w:spacing w:after="24" w:line="259" w:lineRule="auto"/>
              <w:ind w:left="0" w:right="107" w:firstLine="0"/>
              <w:jc w:val="right"/>
            </w:pPr>
            <w:r w:rsidRPr="00F979FB">
              <w:rPr>
                <w:b/>
              </w:rPr>
              <w:t>31/03/2</w:t>
            </w:r>
          </w:p>
          <w:p w14:paraId="3399AFFE" w14:textId="77777777" w:rsidR="005345BC" w:rsidRPr="00F979FB" w:rsidRDefault="00F979FB">
            <w:pPr>
              <w:spacing w:after="158" w:line="259" w:lineRule="auto"/>
              <w:ind w:left="0" w:right="109" w:firstLine="0"/>
              <w:jc w:val="right"/>
            </w:pPr>
            <w:r w:rsidRPr="00F979FB">
              <w:rPr>
                <w:b/>
              </w:rPr>
              <w:t>4</w:t>
            </w:r>
            <w:r w:rsidRPr="00F979FB">
              <w:t xml:space="preserve"> </w:t>
            </w:r>
          </w:p>
          <w:p w14:paraId="2A017266" w14:textId="77777777" w:rsidR="005345BC" w:rsidRPr="00F979FB" w:rsidRDefault="00F979FB" w:rsidP="00F979FB">
            <w:pPr>
              <w:spacing w:after="21" w:line="259" w:lineRule="auto"/>
              <w:ind w:left="67" w:firstLine="0"/>
            </w:pPr>
            <w:r w:rsidRPr="00F979FB">
              <w:rPr>
                <w:b/>
              </w:rPr>
              <w:t>Estimate</w:t>
            </w:r>
            <w:r w:rsidRPr="00F979FB">
              <w:t xml:space="preserve"> </w:t>
            </w:r>
          </w:p>
          <w:p w14:paraId="148E85B4" w14:textId="77777777" w:rsidR="005345BC" w:rsidRPr="00F979FB" w:rsidRDefault="00F979FB">
            <w:pPr>
              <w:spacing w:after="0" w:line="259" w:lineRule="auto"/>
              <w:ind w:left="0" w:right="108" w:firstLine="0"/>
              <w:jc w:val="right"/>
            </w:pPr>
            <w:r w:rsidRPr="00F979FB">
              <w:rPr>
                <w:b/>
              </w:rPr>
              <w:t>£m</w:t>
            </w:r>
            <w:r w:rsidRPr="00F979FB">
              <w:t xml:space="preserve"> </w:t>
            </w:r>
          </w:p>
        </w:tc>
        <w:tc>
          <w:tcPr>
            <w:tcW w:w="1134" w:type="dxa"/>
            <w:tcBorders>
              <w:top w:val="single" w:sz="8" w:space="0" w:color="000000"/>
              <w:left w:val="single" w:sz="8" w:space="0" w:color="000000"/>
              <w:bottom w:val="single" w:sz="8" w:space="0" w:color="000000"/>
              <w:right w:val="single" w:sz="8" w:space="0" w:color="000000"/>
            </w:tcBorders>
          </w:tcPr>
          <w:p w14:paraId="3AAC0B47" w14:textId="77777777" w:rsidR="005345BC" w:rsidRPr="00F979FB" w:rsidRDefault="00F979FB">
            <w:pPr>
              <w:spacing w:after="24" w:line="259" w:lineRule="auto"/>
              <w:ind w:left="0" w:right="107" w:firstLine="0"/>
              <w:jc w:val="right"/>
            </w:pPr>
            <w:r w:rsidRPr="00F979FB">
              <w:rPr>
                <w:b/>
              </w:rPr>
              <w:t>31/03/2</w:t>
            </w:r>
          </w:p>
          <w:p w14:paraId="7539882B" w14:textId="77777777" w:rsidR="005345BC" w:rsidRPr="00F979FB" w:rsidRDefault="00F979FB">
            <w:pPr>
              <w:spacing w:after="158" w:line="259" w:lineRule="auto"/>
              <w:ind w:left="0" w:right="109" w:firstLine="0"/>
              <w:jc w:val="right"/>
            </w:pPr>
            <w:r w:rsidRPr="00F979FB">
              <w:rPr>
                <w:b/>
              </w:rPr>
              <w:t>5</w:t>
            </w:r>
            <w:r w:rsidRPr="00F979FB">
              <w:t xml:space="preserve"> </w:t>
            </w:r>
          </w:p>
          <w:p w14:paraId="3B29D09C" w14:textId="77777777" w:rsidR="005345BC" w:rsidRPr="00F979FB" w:rsidRDefault="00F979FB" w:rsidP="00F979FB">
            <w:pPr>
              <w:spacing w:after="21" w:line="259" w:lineRule="auto"/>
              <w:ind w:left="12" w:firstLine="0"/>
              <w:jc w:val="both"/>
            </w:pPr>
            <w:r w:rsidRPr="00F979FB">
              <w:rPr>
                <w:b/>
              </w:rPr>
              <w:t>Forecast</w:t>
            </w:r>
            <w:r w:rsidRPr="00F979FB">
              <w:t xml:space="preserve"> </w:t>
            </w:r>
          </w:p>
          <w:p w14:paraId="4E34B53B" w14:textId="77777777" w:rsidR="005345BC" w:rsidRPr="00F979FB" w:rsidRDefault="00F979FB">
            <w:pPr>
              <w:spacing w:after="0" w:line="259" w:lineRule="auto"/>
              <w:ind w:left="0" w:right="108" w:firstLine="0"/>
              <w:jc w:val="right"/>
            </w:pPr>
            <w:r w:rsidRPr="00F979FB">
              <w:rPr>
                <w:b/>
              </w:rPr>
              <w:t>£m</w:t>
            </w:r>
            <w:r w:rsidRPr="00F979FB">
              <w:t xml:space="preserve"> </w:t>
            </w:r>
          </w:p>
        </w:tc>
        <w:tc>
          <w:tcPr>
            <w:tcW w:w="1276" w:type="dxa"/>
            <w:tcBorders>
              <w:top w:val="single" w:sz="8" w:space="0" w:color="000000"/>
              <w:left w:val="single" w:sz="8" w:space="0" w:color="000000"/>
              <w:bottom w:val="single" w:sz="8" w:space="0" w:color="000000"/>
              <w:right w:val="single" w:sz="8" w:space="0" w:color="000000"/>
            </w:tcBorders>
          </w:tcPr>
          <w:p w14:paraId="571979FD" w14:textId="77777777" w:rsidR="005345BC" w:rsidRPr="00F979FB" w:rsidRDefault="00F979FB">
            <w:pPr>
              <w:spacing w:after="24" w:line="259" w:lineRule="auto"/>
              <w:ind w:left="0" w:right="109" w:firstLine="0"/>
              <w:jc w:val="right"/>
            </w:pPr>
            <w:r w:rsidRPr="00F979FB">
              <w:rPr>
                <w:b/>
              </w:rPr>
              <w:t>31/03/2</w:t>
            </w:r>
          </w:p>
          <w:p w14:paraId="0769CBC9" w14:textId="77777777" w:rsidR="005345BC" w:rsidRPr="00F979FB" w:rsidRDefault="00F979FB">
            <w:pPr>
              <w:spacing w:after="158" w:line="259" w:lineRule="auto"/>
              <w:ind w:left="0" w:right="111" w:firstLine="0"/>
              <w:jc w:val="right"/>
            </w:pPr>
            <w:r w:rsidRPr="00F979FB">
              <w:rPr>
                <w:b/>
              </w:rPr>
              <w:t>6</w:t>
            </w:r>
            <w:r w:rsidRPr="00F979FB">
              <w:t xml:space="preserve"> </w:t>
            </w:r>
          </w:p>
          <w:p w14:paraId="00BB8E94" w14:textId="77777777" w:rsidR="005345BC" w:rsidRPr="00F979FB" w:rsidRDefault="00F979FB" w:rsidP="00F979FB">
            <w:pPr>
              <w:spacing w:after="21" w:line="259" w:lineRule="auto"/>
              <w:ind w:left="12" w:firstLine="0"/>
              <w:jc w:val="both"/>
            </w:pPr>
            <w:r w:rsidRPr="00F979FB">
              <w:rPr>
                <w:b/>
              </w:rPr>
              <w:t>Forecast</w:t>
            </w:r>
            <w:r w:rsidRPr="00F979FB">
              <w:t xml:space="preserve"> </w:t>
            </w:r>
          </w:p>
          <w:p w14:paraId="36596BDA" w14:textId="77777777" w:rsidR="005345BC" w:rsidRPr="00F979FB" w:rsidRDefault="00F979FB">
            <w:pPr>
              <w:spacing w:after="0" w:line="259" w:lineRule="auto"/>
              <w:ind w:left="0" w:right="111" w:firstLine="0"/>
              <w:jc w:val="right"/>
            </w:pPr>
            <w:r w:rsidRPr="00F979FB">
              <w:rPr>
                <w:b/>
              </w:rPr>
              <w:t>£m</w:t>
            </w:r>
            <w:r w:rsidRPr="00F979FB">
              <w:t xml:space="preserve"> </w:t>
            </w:r>
          </w:p>
        </w:tc>
        <w:tc>
          <w:tcPr>
            <w:tcW w:w="1441" w:type="dxa"/>
            <w:tcBorders>
              <w:top w:val="single" w:sz="8" w:space="0" w:color="000000"/>
              <w:left w:val="single" w:sz="8" w:space="0" w:color="000000"/>
              <w:bottom w:val="single" w:sz="8" w:space="0" w:color="000000"/>
              <w:right w:val="single" w:sz="8" w:space="0" w:color="000000"/>
            </w:tcBorders>
          </w:tcPr>
          <w:p w14:paraId="1F8B6ADB" w14:textId="77777777" w:rsidR="005345BC" w:rsidRPr="00F979FB" w:rsidRDefault="00F979FB">
            <w:pPr>
              <w:spacing w:after="158" w:line="259" w:lineRule="auto"/>
              <w:ind w:left="0" w:right="107" w:firstLine="0"/>
              <w:jc w:val="right"/>
            </w:pPr>
            <w:r w:rsidRPr="00F979FB">
              <w:rPr>
                <w:b/>
              </w:rPr>
              <w:t>31/03/27</w:t>
            </w:r>
            <w:r w:rsidRPr="00F979FB">
              <w:t xml:space="preserve"> </w:t>
            </w:r>
          </w:p>
          <w:p w14:paraId="428F1EA3" w14:textId="77777777" w:rsidR="005345BC" w:rsidRPr="00F979FB" w:rsidRDefault="00F979FB">
            <w:pPr>
              <w:spacing w:after="0" w:line="259" w:lineRule="auto"/>
              <w:ind w:left="0" w:right="105" w:firstLine="0"/>
              <w:jc w:val="right"/>
            </w:pPr>
            <w:r w:rsidRPr="00F979FB">
              <w:rPr>
                <w:b/>
              </w:rPr>
              <w:t>Forecast</w:t>
            </w:r>
            <w:r w:rsidRPr="00F979FB">
              <w:t xml:space="preserve"> </w:t>
            </w:r>
            <w:r w:rsidRPr="00F979FB">
              <w:rPr>
                <w:b/>
              </w:rPr>
              <w:t>£m</w:t>
            </w:r>
            <w:r w:rsidRPr="00F979FB">
              <w:t xml:space="preserve"> </w:t>
            </w:r>
          </w:p>
        </w:tc>
      </w:tr>
      <w:tr w:rsidR="005345BC" w14:paraId="4EB9B5D3" w14:textId="77777777" w:rsidTr="00F979FB">
        <w:trPr>
          <w:trHeight w:val="797"/>
        </w:trPr>
        <w:tc>
          <w:tcPr>
            <w:tcW w:w="3100" w:type="dxa"/>
            <w:tcBorders>
              <w:top w:val="single" w:sz="8" w:space="0" w:color="000000"/>
              <w:left w:val="single" w:sz="8" w:space="0" w:color="000000"/>
              <w:bottom w:val="single" w:sz="8" w:space="0" w:color="000000"/>
              <w:right w:val="single" w:sz="8" w:space="0" w:color="000000"/>
            </w:tcBorders>
          </w:tcPr>
          <w:p w14:paraId="4DAE0380" w14:textId="77777777" w:rsidR="005345BC" w:rsidRDefault="00F979FB">
            <w:pPr>
              <w:spacing w:after="21" w:line="259" w:lineRule="auto"/>
              <w:ind w:left="0" w:firstLine="0"/>
            </w:pPr>
            <w:r>
              <w:rPr>
                <w:b/>
              </w:rPr>
              <w:t xml:space="preserve">Capital Financing </w:t>
            </w:r>
          </w:p>
          <w:p w14:paraId="27C916A6" w14:textId="77777777" w:rsidR="005345BC" w:rsidRDefault="00F979FB">
            <w:pPr>
              <w:spacing w:after="0" w:line="259" w:lineRule="auto"/>
              <w:ind w:left="0" w:firstLine="0"/>
            </w:pPr>
            <w:r>
              <w:rPr>
                <w:b/>
              </w:rPr>
              <w:t xml:space="preserve">Requirement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6876AD47" w14:textId="77777777" w:rsidR="005345BC" w:rsidRDefault="00F979FB">
            <w:pPr>
              <w:spacing w:after="0" w:line="259" w:lineRule="auto"/>
              <w:ind w:left="0" w:right="107" w:firstLine="0"/>
              <w:jc w:val="right"/>
            </w:pPr>
            <w:r>
              <w:rPr>
                <w:b/>
              </w:rPr>
              <w:t>53.7</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2BE267DE" w14:textId="77777777" w:rsidR="005345BC" w:rsidRDefault="00F979FB">
            <w:pPr>
              <w:spacing w:after="0" w:line="259" w:lineRule="auto"/>
              <w:ind w:left="0" w:right="107" w:firstLine="0"/>
              <w:jc w:val="right"/>
            </w:pPr>
            <w:r>
              <w:rPr>
                <w:b/>
              </w:rPr>
              <w:t>51.1</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7B778C8" w14:textId="77777777" w:rsidR="005345BC" w:rsidRDefault="00F979FB">
            <w:pPr>
              <w:spacing w:after="0" w:line="259" w:lineRule="auto"/>
              <w:ind w:left="0" w:right="107" w:firstLine="0"/>
              <w:jc w:val="right"/>
            </w:pPr>
            <w:r>
              <w:rPr>
                <w:b/>
              </w:rPr>
              <w:t>85.2</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4A14EEC" w14:textId="77777777" w:rsidR="005345BC" w:rsidRDefault="00F979FB">
            <w:pPr>
              <w:spacing w:after="0" w:line="259" w:lineRule="auto"/>
              <w:ind w:left="0" w:right="109" w:firstLine="0"/>
              <w:jc w:val="right"/>
            </w:pPr>
            <w:r>
              <w:rPr>
                <w:b/>
              </w:rPr>
              <w:t>82.1</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7B5D8B66" w14:textId="77777777" w:rsidR="005345BC" w:rsidRDefault="00F979FB">
            <w:pPr>
              <w:spacing w:after="0" w:line="259" w:lineRule="auto"/>
              <w:ind w:left="0" w:right="107" w:firstLine="0"/>
              <w:jc w:val="right"/>
            </w:pPr>
            <w:r>
              <w:rPr>
                <w:b/>
              </w:rPr>
              <w:t>79.2</w:t>
            </w:r>
            <w:r>
              <w:t xml:space="preserve"> </w:t>
            </w:r>
          </w:p>
        </w:tc>
      </w:tr>
      <w:tr w:rsidR="005345BC" w14:paraId="0D8B61AD"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45813D8A" w14:textId="77777777" w:rsidR="005345BC" w:rsidRDefault="00F979FB">
            <w:pPr>
              <w:spacing w:after="0" w:line="259" w:lineRule="auto"/>
              <w:ind w:left="0" w:firstLine="0"/>
            </w:pPr>
            <w:r>
              <w:t xml:space="preserve">Less: Other debt liabilities* </w:t>
            </w:r>
          </w:p>
        </w:tc>
        <w:tc>
          <w:tcPr>
            <w:tcW w:w="1134" w:type="dxa"/>
            <w:tcBorders>
              <w:top w:val="single" w:sz="8" w:space="0" w:color="000000"/>
              <w:left w:val="single" w:sz="8" w:space="0" w:color="000000"/>
              <w:bottom w:val="single" w:sz="8" w:space="0" w:color="000000"/>
              <w:right w:val="single" w:sz="8" w:space="0" w:color="000000"/>
            </w:tcBorders>
          </w:tcPr>
          <w:p w14:paraId="0A22A177" w14:textId="77777777" w:rsidR="005345BC" w:rsidRDefault="00F979FB">
            <w:pPr>
              <w:spacing w:after="0" w:line="259" w:lineRule="auto"/>
              <w:ind w:left="0" w:right="-26" w:firstLine="0"/>
              <w:jc w:val="right"/>
            </w:pPr>
            <w:r>
              <w:rPr>
                <w:b/>
              </w:rPr>
              <w:t xml:space="preserve"> </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D990CE6" w14:textId="77777777" w:rsidR="005345BC" w:rsidRDefault="00F979FB">
            <w:pPr>
              <w:spacing w:after="0" w:line="259" w:lineRule="auto"/>
              <w:ind w:left="0" w:right="-26" w:firstLine="0"/>
              <w:jc w:val="right"/>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390B603" w14:textId="77777777" w:rsidR="005345BC" w:rsidRDefault="00F979FB">
            <w:pPr>
              <w:spacing w:after="0" w:line="259" w:lineRule="auto"/>
              <w:ind w:left="0" w:right="-26" w:firstLine="0"/>
              <w:jc w:val="right"/>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01A35EA5" w14:textId="77777777" w:rsidR="005345BC" w:rsidRDefault="00F979FB">
            <w:pPr>
              <w:spacing w:after="0" w:line="259" w:lineRule="auto"/>
              <w:ind w:left="0" w:right="-24" w:firstLine="0"/>
              <w:jc w:val="right"/>
            </w:pPr>
            <w:r>
              <w:rPr>
                <w:b/>
              </w:rPr>
              <w:t xml:space="preserve"> </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73729357" w14:textId="77777777" w:rsidR="005345BC" w:rsidRDefault="00F979FB">
            <w:pPr>
              <w:spacing w:after="0" w:line="259" w:lineRule="auto"/>
              <w:ind w:left="0" w:right="41" w:firstLine="0"/>
              <w:jc w:val="right"/>
            </w:pPr>
            <w:r>
              <w:rPr>
                <w:b/>
              </w:rPr>
              <w:t xml:space="preserve"> </w:t>
            </w:r>
          </w:p>
        </w:tc>
      </w:tr>
      <w:tr w:rsidR="005345BC" w14:paraId="57E514CE" w14:textId="77777777" w:rsidTr="00F979FB">
        <w:trPr>
          <w:trHeight w:val="478"/>
        </w:trPr>
        <w:tc>
          <w:tcPr>
            <w:tcW w:w="3100" w:type="dxa"/>
            <w:tcBorders>
              <w:top w:val="single" w:sz="8" w:space="0" w:color="000000"/>
              <w:left w:val="single" w:sz="8" w:space="0" w:color="000000"/>
              <w:bottom w:val="single" w:sz="8" w:space="0" w:color="000000"/>
              <w:right w:val="single" w:sz="8" w:space="0" w:color="000000"/>
            </w:tcBorders>
            <w:vAlign w:val="center"/>
          </w:tcPr>
          <w:p w14:paraId="372EEC9C" w14:textId="77777777" w:rsidR="005345BC" w:rsidRDefault="00F979FB">
            <w:pPr>
              <w:spacing w:after="0" w:line="259" w:lineRule="auto"/>
              <w:ind w:left="360" w:firstLine="0"/>
            </w:pPr>
            <w:r>
              <w:rPr>
                <w:rFonts w:ascii="Segoe UI Symbol" w:eastAsia="Segoe UI Symbol" w:hAnsi="Segoe UI Symbol" w:cs="Segoe UI Symbol"/>
              </w:rPr>
              <w:t>−</w:t>
            </w:r>
            <w:r>
              <w:t xml:space="preserve"> Leases** </w:t>
            </w:r>
          </w:p>
        </w:tc>
        <w:tc>
          <w:tcPr>
            <w:tcW w:w="1134" w:type="dxa"/>
            <w:tcBorders>
              <w:top w:val="single" w:sz="8" w:space="0" w:color="000000"/>
              <w:left w:val="single" w:sz="8" w:space="0" w:color="000000"/>
              <w:bottom w:val="single" w:sz="8" w:space="0" w:color="000000"/>
              <w:right w:val="single" w:sz="8" w:space="0" w:color="000000"/>
            </w:tcBorders>
          </w:tcPr>
          <w:p w14:paraId="1E37F072" w14:textId="77777777" w:rsidR="005345BC" w:rsidRDefault="00F979FB">
            <w:pPr>
              <w:spacing w:after="0" w:line="259" w:lineRule="auto"/>
              <w:ind w:left="0" w:right="107" w:firstLine="0"/>
              <w:jc w:val="right"/>
            </w:pPr>
            <w:r>
              <w:t xml:space="preserve">(2.0) </w:t>
            </w:r>
          </w:p>
        </w:tc>
        <w:tc>
          <w:tcPr>
            <w:tcW w:w="1275" w:type="dxa"/>
            <w:tcBorders>
              <w:top w:val="single" w:sz="8" w:space="0" w:color="000000"/>
              <w:left w:val="single" w:sz="8" w:space="0" w:color="000000"/>
              <w:bottom w:val="single" w:sz="8" w:space="0" w:color="000000"/>
              <w:right w:val="single" w:sz="8" w:space="0" w:color="000000"/>
            </w:tcBorders>
          </w:tcPr>
          <w:p w14:paraId="630FFBBC" w14:textId="77777777" w:rsidR="005345BC" w:rsidRDefault="00F979FB">
            <w:pPr>
              <w:spacing w:after="0" w:line="259" w:lineRule="auto"/>
              <w:ind w:left="0" w:right="107" w:firstLine="0"/>
              <w:jc w:val="right"/>
            </w:pPr>
            <w:r>
              <w:t xml:space="preserve">(1.1) </w:t>
            </w:r>
          </w:p>
        </w:tc>
        <w:tc>
          <w:tcPr>
            <w:tcW w:w="1134" w:type="dxa"/>
            <w:tcBorders>
              <w:top w:val="single" w:sz="8" w:space="0" w:color="000000"/>
              <w:left w:val="single" w:sz="8" w:space="0" w:color="000000"/>
              <w:bottom w:val="single" w:sz="8" w:space="0" w:color="000000"/>
              <w:right w:val="single" w:sz="8" w:space="0" w:color="000000"/>
            </w:tcBorders>
          </w:tcPr>
          <w:p w14:paraId="77394F95" w14:textId="77777777" w:rsidR="005345BC" w:rsidRDefault="00F979FB">
            <w:pPr>
              <w:spacing w:after="0" w:line="259" w:lineRule="auto"/>
              <w:ind w:left="0" w:right="105" w:firstLine="0"/>
              <w:jc w:val="right"/>
            </w:pPr>
            <w:r>
              <w:t xml:space="preserve">(36.8) </w:t>
            </w:r>
          </w:p>
        </w:tc>
        <w:tc>
          <w:tcPr>
            <w:tcW w:w="1276" w:type="dxa"/>
            <w:tcBorders>
              <w:top w:val="single" w:sz="8" w:space="0" w:color="000000"/>
              <w:left w:val="single" w:sz="8" w:space="0" w:color="000000"/>
              <w:bottom w:val="single" w:sz="8" w:space="0" w:color="000000"/>
              <w:right w:val="single" w:sz="8" w:space="0" w:color="000000"/>
            </w:tcBorders>
          </w:tcPr>
          <w:p w14:paraId="6CAF03BB" w14:textId="77777777" w:rsidR="005345BC" w:rsidRDefault="00F979FB">
            <w:pPr>
              <w:spacing w:after="0" w:line="259" w:lineRule="auto"/>
              <w:ind w:left="0" w:right="107" w:firstLine="0"/>
              <w:jc w:val="right"/>
            </w:pPr>
            <w:r>
              <w:t xml:space="preserve">(35.4) </w:t>
            </w:r>
          </w:p>
        </w:tc>
        <w:tc>
          <w:tcPr>
            <w:tcW w:w="1441" w:type="dxa"/>
            <w:tcBorders>
              <w:top w:val="single" w:sz="8" w:space="0" w:color="000000"/>
              <w:left w:val="single" w:sz="8" w:space="0" w:color="000000"/>
              <w:bottom w:val="single" w:sz="8" w:space="0" w:color="000000"/>
              <w:right w:val="single" w:sz="8" w:space="0" w:color="000000"/>
            </w:tcBorders>
          </w:tcPr>
          <w:p w14:paraId="112F1FD6" w14:textId="77777777" w:rsidR="005345BC" w:rsidRDefault="00F979FB">
            <w:pPr>
              <w:spacing w:after="0" w:line="259" w:lineRule="auto"/>
              <w:ind w:left="0" w:right="105" w:firstLine="0"/>
              <w:jc w:val="right"/>
            </w:pPr>
            <w:r>
              <w:t xml:space="preserve">(34.1) </w:t>
            </w:r>
          </w:p>
        </w:tc>
      </w:tr>
      <w:tr w:rsidR="005345BC" w14:paraId="138C9D15"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0A5C084B" w14:textId="77777777" w:rsidR="005345BC" w:rsidRDefault="00F979FB">
            <w:pPr>
              <w:spacing w:after="0" w:line="259" w:lineRule="auto"/>
              <w:ind w:left="0" w:firstLine="0"/>
            </w:pPr>
            <w:r>
              <w:rPr>
                <w:b/>
              </w:rPr>
              <w:t>Loans CFR</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07B6D67A" w14:textId="77777777" w:rsidR="005345BC" w:rsidRDefault="00F979FB">
            <w:pPr>
              <w:spacing w:after="0" w:line="259" w:lineRule="auto"/>
              <w:ind w:left="0" w:right="107" w:firstLine="0"/>
              <w:jc w:val="right"/>
            </w:pPr>
            <w:r>
              <w:rPr>
                <w:b/>
              </w:rPr>
              <w:t>51.7</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0C4EC6C3" w14:textId="77777777" w:rsidR="005345BC" w:rsidRDefault="00F979FB">
            <w:pPr>
              <w:spacing w:after="0" w:line="259" w:lineRule="auto"/>
              <w:ind w:left="0" w:right="107" w:firstLine="0"/>
              <w:jc w:val="right"/>
            </w:pPr>
            <w:r>
              <w:rPr>
                <w:b/>
              </w:rPr>
              <w:t>50.0</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452BE268" w14:textId="77777777" w:rsidR="005345BC" w:rsidRDefault="00F979FB">
            <w:pPr>
              <w:spacing w:after="0" w:line="259" w:lineRule="auto"/>
              <w:ind w:left="0" w:right="107" w:firstLine="0"/>
              <w:jc w:val="right"/>
            </w:pPr>
            <w:r>
              <w:rPr>
                <w:b/>
              </w:rPr>
              <w:t>48.4</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3F999921" w14:textId="77777777" w:rsidR="005345BC" w:rsidRDefault="00F979FB">
            <w:pPr>
              <w:spacing w:after="0" w:line="259" w:lineRule="auto"/>
              <w:ind w:left="0" w:right="109" w:firstLine="0"/>
              <w:jc w:val="right"/>
            </w:pPr>
            <w:r>
              <w:rPr>
                <w:b/>
              </w:rPr>
              <w:t>46.7</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02946FAB" w14:textId="77777777" w:rsidR="005345BC" w:rsidRDefault="00F979FB">
            <w:pPr>
              <w:spacing w:after="0" w:line="259" w:lineRule="auto"/>
              <w:ind w:left="0" w:right="107" w:firstLine="0"/>
              <w:jc w:val="right"/>
            </w:pPr>
            <w:r>
              <w:rPr>
                <w:b/>
              </w:rPr>
              <w:t>45.1</w:t>
            </w:r>
            <w:r>
              <w:t xml:space="preserve"> </w:t>
            </w:r>
          </w:p>
        </w:tc>
      </w:tr>
      <w:tr w:rsidR="005345BC" w14:paraId="2D84EBE4"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1472FDAF" w14:textId="77777777" w:rsidR="005345BC" w:rsidRDefault="00F979FB">
            <w:pPr>
              <w:spacing w:after="0" w:line="259" w:lineRule="auto"/>
              <w:ind w:left="0" w:firstLine="0"/>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1A7ADEE5" w14:textId="77777777" w:rsidR="005345BC" w:rsidRDefault="00F979FB">
            <w:pPr>
              <w:spacing w:after="0" w:line="259" w:lineRule="auto"/>
              <w:ind w:left="0" w:right="-26" w:firstLine="0"/>
              <w:jc w:val="right"/>
            </w:pPr>
            <w:r>
              <w:rPr>
                <w:b/>
              </w:rPr>
              <w:t xml:space="preserve"> </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76C5B322" w14:textId="77777777" w:rsidR="005345BC" w:rsidRDefault="00F979FB">
            <w:pPr>
              <w:spacing w:after="0" w:line="259" w:lineRule="auto"/>
              <w:ind w:left="0" w:right="-26" w:firstLine="0"/>
              <w:jc w:val="right"/>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1976052F" w14:textId="77777777" w:rsidR="005345BC" w:rsidRDefault="00F979FB">
            <w:pPr>
              <w:spacing w:after="0" w:line="259" w:lineRule="auto"/>
              <w:ind w:left="0" w:right="-26" w:firstLine="0"/>
              <w:jc w:val="right"/>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5FB189DB" w14:textId="77777777" w:rsidR="005345BC" w:rsidRDefault="00F979FB">
            <w:pPr>
              <w:spacing w:after="0" w:line="259" w:lineRule="auto"/>
              <w:ind w:left="0" w:right="-24" w:firstLine="0"/>
              <w:jc w:val="right"/>
            </w:pPr>
            <w:r>
              <w:rPr>
                <w:b/>
              </w:rPr>
              <w:t xml:space="preserve"> </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39026FB9" w14:textId="77777777" w:rsidR="005345BC" w:rsidRDefault="00F979FB">
            <w:pPr>
              <w:spacing w:after="0" w:line="259" w:lineRule="auto"/>
              <w:ind w:left="0" w:right="41" w:firstLine="0"/>
              <w:jc w:val="right"/>
            </w:pPr>
            <w:r>
              <w:rPr>
                <w:b/>
              </w:rPr>
              <w:t xml:space="preserve"> </w:t>
            </w:r>
          </w:p>
        </w:tc>
      </w:tr>
      <w:tr w:rsidR="005345BC" w14:paraId="699B7064"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5F5A61F1" w14:textId="77777777" w:rsidR="005345BC" w:rsidRDefault="00F979FB">
            <w:pPr>
              <w:spacing w:after="0" w:line="259" w:lineRule="auto"/>
              <w:ind w:left="0" w:firstLine="0"/>
            </w:pPr>
            <w:r>
              <w:t xml:space="preserve">Less: External borrowing***: </w:t>
            </w:r>
          </w:p>
        </w:tc>
        <w:tc>
          <w:tcPr>
            <w:tcW w:w="1134" w:type="dxa"/>
            <w:tcBorders>
              <w:top w:val="single" w:sz="8" w:space="0" w:color="000000"/>
              <w:left w:val="single" w:sz="8" w:space="0" w:color="000000"/>
              <w:bottom w:val="single" w:sz="8" w:space="0" w:color="000000"/>
              <w:right w:val="single" w:sz="8" w:space="0" w:color="000000"/>
            </w:tcBorders>
          </w:tcPr>
          <w:p w14:paraId="296C4BC5" w14:textId="77777777" w:rsidR="005345BC" w:rsidRDefault="00F979FB">
            <w:pPr>
              <w:spacing w:after="0" w:line="259" w:lineRule="auto"/>
              <w:ind w:left="0" w:right="-26" w:firstLine="0"/>
              <w:jc w:val="right"/>
            </w:pP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3AA389A7" w14:textId="77777777" w:rsidR="005345BC" w:rsidRDefault="00F979FB">
            <w:pPr>
              <w:spacing w:after="0" w:line="259" w:lineRule="auto"/>
              <w:ind w:left="0" w:right="-26" w:firstLine="0"/>
              <w:jc w:val="right"/>
            </w:pP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EE49147" w14:textId="77777777" w:rsidR="005345BC" w:rsidRDefault="00F979FB">
            <w:pPr>
              <w:spacing w:after="0" w:line="259" w:lineRule="auto"/>
              <w:ind w:left="0" w:right="-26" w:firstLine="0"/>
              <w:jc w:val="right"/>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1A620D2" w14:textId="77777777" w:rsidR="005345BC" w:rsidRDefault="00F979FB">
            <w:pPr>
              <w:spacing w:after="0" w:line="259" w:lineRule="auto"/>
              <w:ind w:left="0" w:right="-24" w:firstLine="0"/>
              <w:jc w:val="right"/>
            </w:pP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2D45CB77" w14:textId="77777777" w:rsidR="005345BC" w:rsidRDefault="00F979FB">
            <w:pPr>
              <w:spacing w:after="0" w:line="259" w:lineRule="auto"/>
              <w:ind w:left="0" w:right="41" w:firstLine="0"/>
              <w:jc w:val="right"/>
            </w:pPr>
            <w:r>
              <w:t xml:space="preserve"> </w:t>
            </w:r>
          </w:p>
        </w:tc>
      </w:tr>
      <w:tr w:rsidR="005345BC" w14:paraId="632C017A" w14:textId="77777777" w:rsidTr="00F979FB">
        <w:trPr>
          <w:trHeight w:val="672"/>
        </w:trPr>
        <w:tc>
          <w:tcPr>
            <w:tcW w:w="3100" w:type="dxa"/>
            <w:tcBorders>
              <w:top w:val="single" w:sz="8" w:space="0" w:color="000000"/>
              <w:left w:val="single" w:sz="8" w:space="0" w:color="000000"/>
              <w:bottom w:val="single" w:sz="8" w:space="0" w:color="000000"/>
              <w:right w:val="single" w:sz="8" w:space="0" w:color="000000"/>
            </w:tcBorders>
          </w:tcPr>
          <w:p w14:paraId="0B339635" w14:textId="77777777" w:rsidR="005345BC" w:rsidRDefault="00F979FB">
            <w:pPr>
              <w:spacing w:after="0" w:line="259" w:lineRule="auto"/>
              <w:ind w:left="360" w:firstLine="0"/>
            </w:pPr>
            <w:r>
              <w:rPr>
                <w:rFonts w:ascii="Segoe UI Symbol" w:eastAsia="Segoe UI Symbol" w:hAnsi="Segoe UI Symbol" w:cs="Segoe UI Symbol"/>
              </w:rPr>
              <w:t>−</w:t>
            </w:r>
            <w:r>
              <w:t xml:space="preserve"> Public Works Loan </w:t>
            </w:r>
          </w:p>
          <w:p w14:paraId="5516159E" w14:textId="77777777" w:rsidR="005345BC" w:rsidRDefault="00F979FB">
            <w:pPr>
              <w:spacing w:after="0" w:line="259" w:lineRule="auto"/>
              <w:ind w:left="720" w:firstLine="0"/>
            </w:pPr>
            <w:r>
              <w:t xml:space="preserve">Board </w:t>
            </w:r>
          </w:p>
        </w:tc>
        <w:tc>
          <w:tcPr>
            <w:tcW w:w="1134" w:type="dxa"/>
            <w:tcBorders>
              <w:top w:val="single" w:sz="8" w:space="0" w:color="000000"/>
              <w:left w:val="single" w:sz="8" w:space="0" w:color="000000"/>
              <w:bottom w:val="single" w:sz="8" w:space="0" w:color="000000"/>
              <w:right w:val="single" w:sz="8" w:space="0" w:color="000000"/>
            </w:tcBorders>
          </w:tcPr>
          <w:p w14:paraId="4B48283D" w14:textId="77777777" w:rsidR="005345BC" w:rsidRDefault="00F979FB">
            <w:pPr>
              <w:spacing w:after="0" w:line="259" w:lineRule="auto"/>
              <w:ind w:left="0" w:right="105" w:firstLine="0"/>
              <w:jc w:val="right"/>
            </w:pPr>
            <w:r>
              <w:t xml:space="preserve">(29.7) </w:t>
            </w:r>
          </w:p>
        </w:tc>
        <w:tc>
          <w:tcPr>
            <w:tcW w:w="1275" w:type="dxa"/>
            <w:tcBorders>
              <w:top w:val="single" w:sz="8" w:space="0" w:color="000000"/>
              <w:left w:val="single" w:sz="8" w:space="0" w:color="000000"/>
              <w:bottom w:val="single" w:sz="8" w:space="0" w:color="000000"/>
              <w:right w:val="single" w:sz="8" w:space="0" w:color="000000"/>
            </w:tcBorders>
          </w:tcPr>
          <w:p w14:paraId="2A3C7DD5" w14:textId="77777777" w:rsidR="005345BC" w:rsidRDefault="00F979FB">
            <w:pPr>
              <w:spacing w:after="0" w:line="259" w:lineRule="auto"/>
              <w:ind w:left="0" w:right="105" w:firstLine="0"/>
              <w:jc w:val="right"/>
            </w:pPr>
            <w:r>
              <w:t xml:space="preserve">(19.4) </w:t>
            </w:r>
          </w:p>
        </w:tc>
        <w:tc>
          <w:tcPr>
            <w:tcW w:w="1134" w:type="dxa"/>
            <w:tcBorders>
              <w:top w:val="single" w:sz="8" w:space="0" w:color="000000"/>
              <w:left w:val="single" w:sz="8" w:space="0" w:color="000000"/>
              <w:bottom w:val="single" w:sz="8" w:space="0" w:color="000000"/>
              <w:right w:val="single" w:sz="8" w:space="0" w:color="000000"/>
            </w:tcBorders>
          </w:tcPr>
          <w:p w14:paraId="6DB42DC4" w14:textId="77777777" w:rsidR="005345BC" w:rsidRDefault="00F979FB">
            <w:pPr>
              <w:spacing w:after="0" w:line="259" w:lineRule="auto"/>
              <w:ind w:left="0" w:right="105" w:firstLine="0"/>
              <w:jc w:val="right"/>
            </w:pPr>
            <w:r>
              <w:t xml:space="preserve">(19.0) </w:t>
            </w:r>
          </w:p>
        </w:tc>
        <w:tc>
          <w:tcPr>
            <w:tcW w:w="1276" w:type="dxa"/>
            <w:tcBorders>
              <w:top w:val="single" w:sz="8" w:space="0" w:color="000000"/>
              <w:left w:val="single" w:sz="8" w:space="0" w:color="000000"/>
              <w:bottom w:val="single" w:sz="8" w:space="0" w:color="000000"/>
              <w:right w:val="single" w:sz="8" w:space="0" w:color="000000"/>
            </w:tcBorders>
          </w:tcPr>
          <w:p w14:paraId="344CACCB" w14:textId="77777777" w:rsidR="005345BC" w:rsidRDefault="00F979FB">
            <w:pPr>
              <w:spacing w:after="0" w:line="259" w:lineRule="auto"/>
              <w:ind w:left="0" w:right="107" w:firstLine="0"/>
              <w:jc w:val="right"/>
            </w:pPr>
            <w:r>
              <w:t xml:space="preserve">(19.0) </w:t>
            </w:r>
          </w:p>
        </w:tc>
        <w:tc>
          <w:tcPr>
            <w:tcW w:w="1441" w:type="dxa"/>
            <w:tcBorders>
              <w:top w:val="single" w:sz="8" w:space="0" w:color="000000"/>
              <w:left w:val="single" w:sz="8" w:space="0" w:color="000000"/>
              <w:bottom w:val="single" w:sz="8" w:space="0" w:color="000000"/>
              <w:right w:val="single" w:sz="8" w:space="0" w:color="000000"/>
            </w:tcBorders>
          </w:tcPr>
          <w:p w14:paraId="7C8DB37F" w14:textId="77777777" w:rsidR="005345BC" w:rsidRDefault="00F979FB">
            <w:pPr>
              <w:spacing w:after="0" w:line="259" w:lineRule="auto"/>
              <w:ind w:left="0" w:right="105" w:firstLine="0"/>
              <w:jc w:val="right"/>
            </w:pPr>
            <w:r>
              <w:t xml:space="preserve">(19.0) </w:t>
            </w:r>
          </w:p>
        </w:tc>
      </w:tr>
      <w:tr w:rsidR="005345BC" w14:paraId="679ED213"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2A41865B" w14:textId="77777777" w:rsidR="005345BC" w:rsidRDefault="00F979FB">
            <w:pPr>
              <w:spacing w:after="0" w:line="259" w:lineRule="auto"/>
              <w:ind w:left="0" w:firstLine="0"/>
            </w:pPr>
            <w:r>
              <w:rPr>
                <w:b/>
              </w:rPr>
              <w:t>Total external borrowing</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ECC0D27" w14:textId="77777777" w:rsidR="005345BC" w:rsidRDefault="00F979FB">
            <w:pPr>
              <w:spacing w:after="0" w:line="259" w:lineRule="auto"/>
              <w:ind w:left="0" w:right="105" w:firstLine="0"/>
              <w:jc w:val="right"/>
            </w:pPr>
            <w:r>
              <w:rPr>
                <w:b/>
              </w:rPr>
              <w:t>(29.7)</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65215E91" w14:textId="77777777" w:rsidR="005345BC" w:rsidRDefault="00F979FB">
            <w:pPr>
              <w:spacing w:after="0" w:line="259" w:lineRule="auto"/>
              <w:ind w:left="0" w:right="105" w:firstLine="0"/>
              <w:jc w:val="right"/>
            </w:pPr>
            <w:r>
              <w:rPr>
                <w:b/>
              </w:rPr>
              <w:t>(19.4)</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4C35D2DE" w14:textId="77777777" w:rsidR="005345BC" w:rsidRDefault="00F979FB">
            <w:pPr>
              <w:spacing w:after="0" w:line="259" w:lineRule="auto"/>
              <w:ind w:left="0" w:right="105" w:firstLine="0"/>
              <w:jc w:val="right"/>
            </w:pPr>
            <w:r>
              <w:rPr>
                <w:b/>
              </w:rPr>
              <w:t>(19.0)</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7E76198" w14:textId="77777777" w:rsidR="005345BC" w:rsidRDefault="00F979FB">
            <w:pPr>
              <w:spacing w:after="0" w:line="259" w:lineRule="auto"/>
              <w:ind w:left="0" w:right="107" w:firstLine="0"/>
              <w:jc w:val="right"/>
            </w:pPr>
            <w:r>
              <w:rPr>
                <w:b/>
              </w:rPr>
              <w:t>(19.0)</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1297E0FC" w14:textId="77777777" w:rsidR="005345BC" w:rsidRDefault="00F979FB">
            <w:pPr>
              <w:spacing w:after="0" w:line="259" w:lineRule="auto"/>
              <w:ind w:left="0" w:right="105" w:firstLine="0"/>
              <w:jc w:val="right"/>
            </w:pPr>
            <w:r>
              <w:rPr>
                <w:b/>
              </w:rPr>
              <w:t>(19.0)</w:t>
            </w:r>
            <w:r>
              <w:t xml:space="preserve"> </w:t>
            </w:r>
          </w:p>
        </w:tc>
      </w:tr>
      <w:tr w:rsidR="005345BC" w14:paraId="7D48160B" w14:textId="77777777" w:rsidTr="00F979FB">
        <w:trPr>
          <w:trHeight w:val="478"/>
        </w:trPr>
        <w:tc>
          <w:tcPr>
            <w:tcW w:w="3100" w:type="dxa"/>
            <w:tcBorders>
              <w:top w:val="single" w:sz="8" w:space="0" w:color="000000"/>
              <w:left w:val="single" w:sz="8" w:space="0" w:color="000000"/>
              <w:bottom w:val="single" w:sz="8" w:space="0" w:color="000000"/>
              <w:right w:val="single" w:sz="8" w:space="0" w:color="000000"/>
            </w:tcBorders>
          </w:tcPr>
          <w:p w14:paraId="52EE1B63" w14:textId="77777777" w:rsidR="005345BC" w:rsidRDefault="00F979FB">
            <w:pPr>
              <w:spacing w:after="0" w:line="259" w:lineRule="auto"/>
              <w:ind w:left="0" w:firstLine="0"/>
            </w:pPr>
            <w:r>
              <w:rPr>
                <w:b/>
              </w:rPr>
              <w:t>Internal borrowing</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139D81CE" w14:textId="77777777" w:rsidR="005345BC" w:rsidRDefault="00F979FB">
            <w:pPr>
              <w:spacing w:after="0" w:line="259" w:lineRule="auto"/>
              <w:ind w:left="0" w:right="107" w:firstLine="0"/>
              <w:jc w:val="right"/>
            </w:pPr>
            <w:r>
              <w:rPr>
                <w:b/>
              </w:rPr>
              <w:t>22.0</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1C897156" w14:textId="77777777" w:rsidR="005345BC" w:rsidRDefault="00F979FB">
            <w:pPr>
              <w:spacing w:after="0" w:line="259" w:lineRule="auto"/>
              <w:ind w:left="0" w:right="107" w:firstLine="0"/>
              <w:jc w:val="right"/>
            </w:pPr>
            <w:r>
              <w:rPr>
                <w:b/>
              </w:rPr>
              <w:t>30.6</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5FCDBE3E" w14:textId="77777777" w:rsidR="005345BC" w:rsidRDefault="00F979FB">
            <w:pPr>
              <w:spacing w:after="0" w:line="259" w:lineRule="auto"/>
              <w:ind w:left="0" w:right="107" w:firstLine="0"/>
              <w:jc w:val="right"/>
            </w:pPr>
            <w:r>
              <w:rPr>
                <w:b/>
              </w:rPr>
              <w:t>29.4</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73082DBB" w14:textId="77777777" w:rsidR="005345BC" w:rsidRDefault="00F979FB">
            <w:pPr>
              <w:spacing w:after="0" w:line="259" w:lineRule="auto"/>
              <w:ind w:left="0" w:right="109" w:firstLine="0"/>
              <w:jc w:val="right"/>
            </w:pPr>
            <w:r>
              <w:rPr>
                <w:b/>
              </w:rPr>
              <w:t>27.7</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1BCF5DA4" w14:textId="77777777" w:rsidR="005345BC" w:rsidRDefault="00F979FB">
            <w:pPr>
              <w:spacing w:after="0" w:line="259" w:lineRule="auto"/>
              <w:ind w:left="0" w:right="107" w:firstLine="0"/>
              <w:jc w:val="right"/>
            </w:pPr>
            <w:r>
              <w:rPr>
                <w:b/>
              </w:rPr>
              <w:t>26.1</w:t>
            </w:r>
            <w:r>
              <w:t xml:space="preserve"> </w:t>
            </w:r>
          </w:p>
        </w:tc>
      </w:tr>
      <w:tr w:rsidR="005345BC" w14:paraId="2A399C67"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5182B069" w14:textId="77777777" w:rsidR="005345BC" w:rsidRDefault="00F979FB">
            <w:pPr>
              <w:spacing w:after="0" w:line="259" w:lineRule="auto"/>
              <w:ind w:left="0" w:firstLine="0"/>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1DB69545" w14:textId="77777777" w:rsidR="005345BC" w:rsidRDefault="00F979FB">
            <w:pPr>
              <w:spacing w:after="0" w:line="259" w:lineRule="auto"/>
              <w:ind w:left="0" w:right="-26" w:firstLine="0"/>
              <w:jc w:val="right"/>
            </w:pPr>
            <w:r>
              <w:rPr>
                <w:b/>
              </w:rPr>
              <w:t xml:space="preserve"> </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00894BD7" w14:textId="77777777" w:rsidR="005345BC" w:rsidRDefault="00F979FB">
            <w:pPr>
              <w:spacing w:after="0" w:line="259" w:lineRule="auto"/>
              <w:ind w:left="0" w:right="-26" w:firstLine="0"/>
              <w:jc w:val="right"/>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E2F2D6E" w14:textId="77777777" w:rsidR="005345BC" w:rsidRDefault="00F979FB">
            <w:pPr>
              <w:spacing w:after="0" w:line="259" w:lineRule="auto"/>
              <w:ind w:left="0" w:right="-26" w:firstLine="0"/>
              <w:jc w:val="right"/>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2EEA2E3" w14:textId="77777777" w:rsidR="005345BC" w:rsidRDefault="00F979FB">
            <w:pPr>
              <w:spacing w:after="0" w:line="259" w:lineRule="auto"/>
              <w:ind w:left="0" w:right="-24" w:firstLine="0"/>
              <w:jc w:val="right"/>
            </w:pPr>
            <w:r>
              <w:rPr>
                <w:b/>
              </w:rPr>
              <w:t xml:space="preserve"> </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77EBC035" w14:textId="77777777" w:rsidR="005345BC" w:rsidRDefault="00F979FB">
            <w:pPr>
              <w:spacing w:after="0" w:line="259" w:lineRule="auto"/>
              <w:ind w:left="0" w:right="41" w:firstLine="0"/>
              <w:jc w:val="right"/>
            </w:pPr>
            <w:r>
              <w:rPr>
                <w:b/>
              </w:rPr>
              <w:t xml:space="preserve"> </w:t>
            </w:r>
          </w:p>
        </w:tc>
      </w:tr>
      <w:tr w:rsidR="005345BC" w14:paraId="35281688" w14:textId="77777777" w:rsidTr="00F979FB">
        <w:trPr>
          <w:trHeight w:val="797"/>
        </w:trPr>
        <w:tc>
          <w:tcPr>
            <w:tcW w:w="3100" w:type="dxa"/>
            <w:tcBorders>
              <w:top w:val="single" w:sz="8" w:space="0" w:color="000000"/>
              <w:left w:val="single" w:sz="8" w:space="0" w:color="000000"/>
              <w:bottom w:val="single" w:sz="8" w:space="0" w:color="000000"/>
              <w:right w:val="single" w:sz="8" w:space="0" w:color="000000"/>
            </w:tcBorders>
          </w:tcPr>
          <w:p w14:paraId="7F31EBAA" w14:textId="77777777" w:rsidR="005345BC" w:rsidRDefault="00F979FB">
            <w:pPr>
              <w:spacing w:after="0" w:line="259" w:lineRule="auto"/>
              <w:ind w:left="0" w:firstLine="0"/>
            </w:pPr>
            <w:r>
              <w:rPr>
                <w:b/>
              </w:rPr>
              <w:t>Less: Balance sheet resources</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392AC734" w14:textId="77777777" w:rsidR="005345BC" w:rsidRDefault="00F979FB">
            <w:pPr>
              <w:spacing w:after="0" w:line="259" w:lineRule="auto"/>
              <w:ind w:left="0" w:right="105" w:firstLine="0"/>
              <w:jc w:val="right"/>
            </w:pPr>
            <w:r>
              <w:rPr>
                <w:b/>
              </w:rPr>
              <w:t>(131.2)</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3928E5D7" w14:textId="77777777" w:rsidR="005345BC" w:rsidRDefault="00F979FB">
            <w:pPr>
              <w:spacing w:after="0" w:line="259" w:lineRule="auto"/>
              <w:ind w:left="0" w:right="105" w:firstLine="0"/>
              <w:jc w:val="right"/>
            </w:pPr>
            <w:r>
              <w:rPr>
                <w:b/>
              </w:rPr>
              <w:t>(114.5)</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71063BAC" w14:textId="77777777" w:rsidR="005345BC" w:rsidRDefault="00F979FB">
            <w:pPr>
              <w:spacing w:after="0" w:line="259" w:lineRule="auto"/>
              <w:ind w:left="0" w:right="105" w:firstLine="0"/>
              <w:jc w:val="right"/>
            </w:pPr>
            <w:r>
              <w:rPr>
                <w:b/>
              </w:rPr>
              <w:t>(88.0)</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72C3C22" w14:textId="77777777" w:rsidR="005345BC" w:rsidRDefault="00F979FB">
            <w:pPr>
              <w:spacing w:after="0" w:line="259" w:lineRule="auto"/>
              <w:ind w:left="0" w:right="107" w:firstLine="0"/>
              <w:jc w:val="right"/>
            </w:pPr>
            <w:r>
              <w:rPr>
                <w:b/>
              </w:rPr>
              <w:t>(57.7)</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170BA791" w14:textId="77777777" w:rsidR="005345BC" w:rsidRDefault="00F979FB">
            <w:pPr>
              <w:spacing w:after="0" w:line="259" w:lineRule="auto"/>
              <w:ind w:left="0" w:right="105" w:firstLine="0"/>
              <w:jc w:val="right"/>
            </w:pPr>
            <w:r>
              <w:rPr>
                <w:b/>
              </w:rPr>
              <w:t>(50.1)</w:t>
            </w:r>
            <w:r>
              <w:t xml:space="preserve"> </w:t>
            </w:r>
          </w:p>
        </w:tc>
      </w:tr>
      <w:tr w:rsidR="005345BC" w14:paraId="2558A24C" w14:textId="77777777" w:rsidTr="00F979FB">
        <w:trPr>
          <w:trHeight w:val="475"/>
        </w:trPr>
        <w:tc>
          <w:tcPr>
            <w:tcW w:w="3100" w:type="dxa"/>
            <w:tcBorders>
              <w:top w:val="single" w:sz="8" w:space="0" w:color="000000"/>
              <w:left w:val="single" w:sz="8" w:space="0" w:color="000000"/>
              <w:bottom w:val="single" w:sz="8" w:space="0" w:color="000000"/>
              <w:right w:val="single" w:sz="8" w:space="0" w:color="000000"/>
            </w:tcBorders>
          </w:tcPr>
          <w:p w14:paraId="5DF5235D" w14:textId="77777777" w:rsidR="005345BC" w:rsidRDefault="00F979FB">
            <w:pPr>
              <w:spacing w:after="0" w:line="259" w:lineRule="auto"/>
              <w:ind w:left="0" w:firstLine="0"/>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05A9D53" w14:textId="77777777" w:rsidR="005345BC" w:rsidRDefault="00F979FB">
            <w:pPr>
              <w:spacing w:after="0" w:line="259" w:lineRule="auto"/>
              <w:ind w:left="0" w:right="-26" w:firstLine="0"/>
              <w:jc w:val="right"/>
            </w:pPr>
            <w:r>
              <w:rPr>
                <w:b/>
              </w:rPr>
              <w:t xml:space="preserve"> </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4F523A44" w14:textId="77777777" w:rsidR="005345BC" w:rsidRDefault="00F979FB">
            <w:pPr>
              <w:spacing w:after="0" w:line="259" w:lineRule="auto"/>
              <w:ind w:left="0" w:right="-26" w:firstLine="0"/>
              <w:jc w:val="right"/>
            </w:pPr>
            <w:r>
              <w:rPr>
                <w:b/>
              </w:rPr>
              <w:t xml:space="preserve"> </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09216A0" w14:textId="77777777" w:rsidR="005345BC" w:rsidRDefault="00F979FB">
            <w:pPr>
              <w:spacing w:after="0" w:line="259" w:lineRule="auto"/>
              <w:ind w:left="0" w:right="-26" w:firstLine="0"/>
              <w:jc w:val="right"/>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F7ABC63" w14:textId="77777777" w:rsidR="005345BC" w:rsidRDefault="00F979FB">
            <w:pPr>
              <w:spacing w:after="0" w:line="259" w:lineRule="auto"/>
              <w:ind w:left="0" w:right="-24" w:firstLine="0"/>
              <w:jc w:val="right"/>
            </w:pPr>
            <w:r>
              <w:rPr>
                <w:b/>
              </w:rPr>
              <w:t xml:space="preserve"> </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4299E7A6" w14:textId="77777777" w:rsidR="005345BC" w:rsidRDefault="00F979FB">
            <w:pPr>
              <w:spacing w:after="0" w:line="259" w:lineRule="auto"/>
              <w:ind w:left="0" w:right="41" w:firstLine="0"/>
              <w:jc w:val="right"/>
            </w:pPr>
            <w:r>
              <w:rPr>
                <w:b/>
              </w:rPr>
              <w:t xml:space="preserve"> </w:t>
            </w:r>
          </w:p>
        </w:tc>
      </w:tr>
      <w:tr w:rsidR="005345BC" w14:paraId="20587971" w14:textId="77777777" w:rsidTr="00F979FB">
        <w:trPr>
          <w:trHeight w:val="797"/>
        </w:trPr>
        <w:tc>
          <w:tcPr>
            <w:tcW w:w="3100" w:type="dxa"/>
            <w:tcBorders>
              <w:top w:val="single" w:sz="8" w:space="0" w:color="000000"/>
              <w:left w:val="single" w:sz="8" w:space="0" w:color="000000"/>
              <w:bottom w:val="single" w:sz="8" w:space="0" w:color="000000"/>
              <w:right w:val="single" w:sz="8" w:space="0" w:color="000000"/>
            </w:tcBorders>
          </w:tcPr>
          <w:p w14:paraId="54571307" w14:textId="77777777" w:rsidR="005345BC" w:rsidRDefault="00F979FB">
            <w:pPr>
              <w:spacing w:after="0" w:line="259" w:lineRule="auto"/>
              <w:ind w:left="0" w:firstLine="0"/>
            </w:pPr>
            <w:r>
              <w:rPr>
                <w:b/>
              </w:rPr>
              <w:t>New borrowing or (Treasury investments)</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2B81D015" w14:textId="77777777" w:rsidR="005345BC" w:rsidRDefault="00F979FB">
            <w:pPr>
              <w:spacing w:after="0" w:line="259" w:lineRule="auto"/>
              <w:ind w:left="0" w:right="105" w:firstLine="0"/>
              <w:jc w:val="right"/>
            </w:pPr>
            <w:r>
              <w:rPr>
                <w:b/>
              </w:rPr>
              <w:t>(109.2)</w:t>
            </w:r>
            <w: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2E18759E" w14:textId="77777777" w:rsidR="005345BC" w:rsidRDefault="00F979FB">
            <w:pPr>
              <w:spacing w:after="0" w:line="259" w:lineRule="auto"/>
              <w:ind w:left="0" w:right="105" w:firstLine="0"/>
              <w:jc w:val="right"/>
            </w:pPr>
            <w:r>
              <w:rPr>
                <w:b/>
              </w:rPr>
              <w:t>(83.9)</w:t>
            </w:r>
            <w:r>
              <w:t xml:space="preserve"> </w:t>
            </w:r>
          </w:p>
        </w:tc>
        <w:tc>
          <w:tcPr>
            <w:tcW w:w="1134" w:type="dxa"/>
            <w:tcBorders>
              <w:top w:val="single" w:sz="8" w:space="0" w:color="000000"/>
              <w:left w:val="single" w:sz="8" w:space="0" w:color="000000"/>
              <w:bottom w:val="single" w:sz="8" w:space="0" w:color="000000"/>
              <w:right w:val="single" w:sz="8" w:space="0" w:color="000000"/>
            </w:tcBorders>
          </w:tcPr>
          <w:p w14:paraId="7B650CE1" w14:textId="77777777" w:rsidR="005345BC" w:rsidRDefault="00F979FB">
            <w:pPr>
              <w:spacing w:after="0" w:line="259" w:lineRule="auto"/>
              <w:ind w:left="0" w:right="105" w:firstLine="0"/>
              <w:jc w:val="right"/>
            </w:pPr>
            <w:r>
              <w:rPr>
                <w:b/>
              </w:rPr>
              <w:t>(58.6)</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EAC15D0" w14:textId="77777777" w:rsidR="005345BC" w:rsidRDefault="00F979FB">
            <w:pPr>
              <w:spacing w:after="0" w:line="259" w:lineRule="auto"/>
              <w:ind w:left="0" w:right="107" w:firstLine="0"/>
              <w:jc w:val="right"/>
            </w:pPr>
            <w:r>
              <w:rPr>
                <w:b/>
              </w:rPr>
              <w:t>(30.0)</w:t>
            </w:r>
            <w:r>
              <w:t xml:space="preserve"> </w:t>
            </w:r>
          </w:p>
        </w:tc>
        <w:tc>
          <w:tcPr>
            <w:tcW w:w="1441" w:type="dxa"/>
            <w:tcBorders>
              <w:top w:val="single" w:sz="8" w:space="0" w:color="000000"/>
              <w:left w:val="single" w:sz="8" w:space="0" w:color="000000"/>
              <w:bottom w:val="single" w:sz="8" w:space="0" w:color="000000"/>
              <w:right w:val="single" w:sz="8" w:space="0" w:color="000000"/>
            </w:tcBorders>
          </w:tcPr>
          <w:p w14:paraId="5ACDB2FD" w14:textId="77777777" w:rsidR="005345BC" w:rsidRDefault="00F979FB">
            <w:pPr>
              <w:spacing w:after="0" w:line="259" w:lineRule="auto"/>
              <w:ind w:left="0" w:right="105" w:firstLine="0"/>
              <w:jc w:val="right"/>
            </w:pPr>
            <w:r>
              <w:rPr>
                <w:b/>
              </w:rPr>
              <w:t>(24.0)</w:t>
            </w:r>
            <w:r>
              <w:t xml:space="preserve"> </w:t>
            </w:r>
          </w:p>
        </w:tc>
      </w:tr>
    </w:tbl>
    <w:p w14:paraId="7D379C3E" w14:textId="77777777" w:rsidR="005345BC" w:rsidRDefault="00F979FB">
      <w:pPr>
        <w:spacing w:after="156" w:line="259" w:lineRule="auto"/>
        <w:ind w:left="0" w:firstLine="0"/>
        <w:jc w:val="right"/>
      </w:pP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p>
    <w:p w14:paraId="5971FF91" w14:textId="77777777" w:rsidR="005345BC" w:rsidRDefault="00F979FB">
      <w:pPr>
        <w:spacing w:after="243" w:line="259" w:lineRule="auto"/>
        <w:ind w:left="-5" w:hanging="10"/>
      </w:pPr>
      <w:r>
        <w:rPr>
          <w:sz w:val="19"/>
        </w:rPr>
        <w:t>* Leases that form part of the PCC’s debt</w:t>
      </w:r>
      <w:r>
        <w:t xml:space="preserve"> </w:t>
      </w:r>
    </w:p>
    <w:p w14:paraId="0566400F" w14:textId="77777777" w:rsidR="005345BC" w:rsidRDefault="00F979FB">
      <w:pPr>
        <w:spacing w:after="243" w:line="259" w:lineRule="auto"/>
        <w:ind w:left="-5" w:hanging="10"/>
      </w:pPr>
      <w:r>
        <w:rPr>
          <w:sz w:val="19"/>
        </w:rPr>
        <w:t>** IFRS 16 requires the PCC to change how it recognises its leases from 1 April 2024.</w:t>
      </w:r>
      <w:r>
        <w:t xml:space="preserve"> </w:t>
      </w:r>
    </w:p>
    <w:p w14:paraId="3EB445E2" w14:textId="77777777" w:rsidR="005345BC" w:rsidRDefault="00F979FB">
      <w:pPr>
        <w:spacing w:after="274" w:line="259" w:lineRule="auto"/>
        <w:ind w:left="-5" w:hanging="10"/>
      </w:pPr>
      <w:r>
        <w:rPr>
          <w:sz w:val="19"/>
        </w:rPr>
        <w:t>*** shows only loans to which the PCC is committed and excludes optional refinancing</w:t>
      </w:r>
      <w:r>
        <w:t xml:space="preserve"> </w:t>
      </w:r>
    </w:p>
    <w:p w14:paraId="24E9BF0D" w14:textId="185C99E3" w:rsidR="005345BC" w:rsidRDefault="005F05B0" w:rsidP="00F979FB">
      <w:pPr>
        <w:ind w:left="0" w:right="175" w:firstLine="0"/>
      </w:pPr>
      <w:r>
        <w:t>5.</w:t>
      </w:r>
      <w:r w:rsidR="00F979FB">
        <w:t xml:space="preserve">2. The underlying need to borrow for capital purposes is measured by the Capital Financing Requirement (CFR), while usable reserves and working capital are the underlying resources available for investment.  The PCC’s current strategy is to maintain borrowing and investments below their underlying levels, sometimes known as internal borrowing.  </w:t>
      </w:r>
    </w:p>
    <w:p w14:paraId="3653284B" w14:textId="77777777" w:rsidR="00F979FB" w:rsidRDefault="00F979FB" w:rsidP="00F979FB">
      <w:pPr>
        <w:ind w:left="0" w:right="175" w:firstLine="0"/>
      </w:pPr>
    </w:p>
    <w:p w14:paraId="2F3DA588" w14:textId="70883158" w:rsidR="00F979FB" w:rsidRDefault="005F05B0" w:rsidP="00F979FB">
      <w:pPr>
        <w:ind w:left="0" w:right="175" w:firstLine="0"/>
      </w:pPr>
      <w:r>
        <w:t>5.</w:t>
      </w:r>
      <w:r w:rsidR="00F979FB">
        <w:t>3. The balance sheet resources are expected to reduce over the medium-term as these are used to finance the capital programme, support the delivery of the PCC’s Police and Crime Plan, and to fund investment to deliver the Chief Constable’s operational requirements.</w:t>
      </w:r>
    </w:p>
    <w:p w14:paraId="6B04158A" w14:textId="77777777" w:rsidR="005345BC" w:rsidRDefault="00F979FB" w:rsidP="00F979FB">
      <w:pPr>
        <w:ind w:left="0" w:right="175" w:firstLine="0"/>
      </w:pPr>
      <w:r>
        <w:t xml:space="preserve">  </w:t>
      </w:r>
    </w:p>
    <w:p w14:paraId="16BB45BF" w14:textId="1F6BA0FD" w:rsidR="005345BC" w:rsidRDefault="00F979FB" w:rsidP="00F979FB">
      <w:pPr>
        <w:ind w:left="0" w:right="17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26BA96" wp14:editId="02D0F7A5">
                <wp:simplePos x="0" y="0"/>
                <wp:positionH relativeFrom="page">
                  <wp:posOffset>1010412</wp:posOffset>
                </wp:positionH>
                <wp:positionV relativeFrom="page">
                  <wp:posOffset>914400</wp:posOffset>
                </wp:positionV>
                <wp:extent cx="5943600" cy="12192"/>
                <wp:effectExtent l="0" t="0" r="0" b="0"/>
                <wp:wrapTopAndBottom/>
                <wp:docPr id="41162" name="Group 41162"/>
                <wp:cNvGraphicFramePr/>
                <a:graphic xmlns:a="http://schemas.openxmlformats.org/drawingml/2006/main">
                  <a:graphicData uri="http://schemas.microsoft.com/office/word/2010/wordprocessingGroup">
                    <wpg:wgp>
                      <wpg:cNvGrpSpPr/>
                      <wpg:grpSpPr>
                        <a:xfrm>
                          <a:off x="0" y="0"/>
                          <a:ext cx="5943600" cy="12192"/>
                          <a:chOff x="0" y="0"/>
                          <a:chExt cx="5943600" cy="12192"/>
                        </a:xfrm>
                      </wpg:grpSpPr>
                      <wps:wsp>
                        <wps:cNvPr id="54775" name="Shape 54775"/>
                        <wps:cNvSpPr/>
                        <wps:spPr>
                          <a:xfrm>
                            <a:off x="0" y="0"/>
                            <a:ext cx="2225040" cy="12192"/>
                          </a:xfrm>
                          <a:custGeom>
                            <a:avLst/>
                            <a:gdLst/>
                            <a:ahLst/>
                            <a:cxnLst/>
                            <a:rect l="0" t="0" r="0" b="0"/>
                            <a:pathLst>
                              <a:path w="2225040" h="12192">
                                <a:moveTo>
                                  <a:pt x="0" y="0"/>
                                </a:moveTo>
                                <a:lnTo>
                                  <a:pt x="2225040" y="0"/>
                                </a:lnTo>
                                <a:lnTo>
                                  <a:pt x="222504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6" name="Shape 54776"/>
                        <wps:cNvSpPr/>
                        <wps:spPr>
                          <a:xfrm>
                            <a:off x="2225040"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7" name="Shape 54777"/>
                        <wps:cNvSpPr/>
                        <wps:spPr>
                          <a:xfrm>
                            <a:off x="2237232" y="0"/>
                            <a:ext cx="714769" cy="12192"/>
                          </a:xfrm>
                          <a:custGeom>
                            <a:avLst/>
                            <a:gdLst/>
                            <a:ahLst/>
                            <a:cxnLst/>
                            <a:rect l="0" t="0" r="0" b="0"/>
                            <a:pathLst>
                              <a:path w="714769" h="12192">
                                <a:moveTo>
                                  <a:pt x="0" y="0"/>
                                </a:moveTo>
                                <a:lnTo>
                                  <a:pt x="714769" y="0"/>
                                </a:lnTo>
                                <a:lnTo>
                                  <a:pt x="7147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8" name="Shape 54778"/>
                        <wps:cNvSpPr/>
                        <wps:spPr>
                          <a:xfrm>
                            <a:off x="2951988" y="0"/>
                            <a:ext cx="12179" cy="12192"/>
                          </a:xfrm>
                          <a:custGeom>
                            <a:avLst/>
                            <a:gdLst/>
                            <a:ahLst/>
                            <a:cxnLst/>
                            <a:rect l="0" t="0" r="0" b="0"/>
                            <a:pathLst>
                              <a:path w="12179" h="12192">
                                <a:moveTo>
                                  <a:pt x="0" y="0"/>
                                </a:moveTo>
                                <a:lnTo>
                                  <a:pt x="12179" y="0"/>
                                </a:lnTo>
                                <a:lnTo>
                                  <a:pt x="121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9" name="Shape 54779"/>
                        <wps:cNvSpPr/>
                        <wps:spPr>
                          <a:xfrm>
                            <a:off x="2964180" y="0"/>
                            <a:ext cx="716280" cy="12192"/>
                          </a:xfrm>
                          <a:custGeom>
                            <a:avLst/>
                            <a:gdLst/>
                            <a:ahLst/>
                            <a:cxnLst/>
                            <a:rect l="0" t="0" r="0" b="0"/>
                            <a:pathLst>
                              <a:path w="716280" h="12192">
                                <a:moveTo>
                                  <a:pt x="0" y="0"/>
                                </a:moveTo>
                                <a:lnTo>
                                  <a:pt x="716280" y="0"/>
                                </a:lnTo>
                                <a:lnTo>
                                  <a:pt x="7162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0" name="Shape 54780"/>
                        <wps:cNvSpPr/>
                        <wps:spPr>
                          <a:xfrm>
                            <a:off x="368046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1" name="Shape 54781"/>
                        <wps:cNvSpPr/>
                        <wps:spPr>
                          <a:xfrm>
                            <a:off x="3692652" y="0"/>
                            <a:ext cx="716267" cy="12192"/>
                          </a:xfrm>
                          <a:custGeom>
                            <a:avLst/>
                            <a:gdLst/>
                            <a:ahLst/>
                            <a:cxnLst/>
                            <a:rect l="0" t="0" r="0" b="0"/>
                            <a:pathLst>
                              <a:path w="716267" h="12192">
                                <a:moveTo>
                                  <a:pt x="0" y="0"/>
                                </a:moveTo>
                                <a:lnTo>
                                  <a:pt x="716267" y="0"/>
                                </a:lnTo>
                                <a:lnTo>
                                  <a:pt x="71626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2" name="Shape 54782"/>
                        <wps:cNvSpPr/>
                        <wps:spPr>
                          <a:xfrm>
                            <a:off x="440893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3" name="Shape 54783"/>
                        <wps:cNvSpPr/>
                        <wps:spPr>
                          <a:xfrm>
                            <a:off x="4421124" y="0"/>
                            <a:ext cx="717804" cy="12192"/>
                          </a:xfrm>
                          <a:custGeom>
                            <a:avLst/>
                            <a:gdLst/>
                            <a:ahLst/>
                            <a:cxnLst/>
                            <a:rect l="0" t="0" r="0" b="0"/>
                            <a:pathLst>
                              <a:path w="717804" h="12192">
                                <a:moveTo>
                                  <a:pt x="0" y="0"/>
                                </a:moveTo>
                                <a:lnTo>
                                  <a:pt x="717804" y="0"/>
                                </a:lnTo>
                                <a:lnTo>
                                  <a:pt x="7178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4" name="Shape 54784"/>
                        <wps:cNvSpPr/>
                        <wps:spPr>
                          <a:xfrm>
                            <a:off x="513892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5" name="Shape 54785"/>
                        <wps:cNvSpPr/>
                        <wps:spPr>
                          <a:xfrm>
                            <a:off x="5151120" y="0"/>
                            <a:ext cx="792480" cy="12192"/>
                          </a:xfrm>
                          <a:custGeom>
                            <a:avLst/>
                            <a:gdLst/>
                            <a:ahLst/>
                            <a:cxnLst/>
                            <a:rect l="0" t="0" r="0" b="0"/>
                            <a:pathLst>
                              <a:path w="792480" h="12192">
                                <a:moveTo>
                                  <a:pt x="0" y="0"/>
                                </a:moveTo>
                                <a:lnTo>
                                  <a:pt x="792480" y="0"/>
                                </a:lnTo>
                                <a:lnTo>
                                  <a:pt x="7924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53F730" id="Group 41162" o:spid="_x0000_s1026" style="position:absolute;margin-left:79.55pt;margin-top:1in;width:468pt;height:.95pt;z-index:251658240;mso-position-horizontal-relative:page;mso-position-vertical-relative:page" coordsize="5943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">
                <v:shape id="Shape 54775" o:spid="_x0000_s1027" style="position:absolute;width:22250;height:121;visibility:visible;mso-wrap-style:square;v-text-anchor:top" coordsize="222504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" path="m,l2225040,r,12192l,12192,,e" fillcolor="black" stroked="f" strokeweight="0">
                  <v:stroke miterlimit="83231f" joinstyle="miter"/>
                  <v:path arrowok="t" textboxrect="0,0,2225040,12192"/>
                </v:shape>
                <v:shape id="Shape 54776" o:spid="_x0000_s1028" style="position:absolute;left:22250;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" path="m,l12179,r,12192l,12192,,e" fillcolor="black" stroked="f" strokeweight="0">
                  <v:stroke miterlimit="83231f" joinstyle="miter"/>
                  <v:path arrowok="t" textboxrect="0,0,12179,12192"/>
                </v:shape>
                <v:shape id="Shape 54777" o:spid="_x0000_s1029" style="position:absolute;left:22372;width:7148;height:121;visibility:visible;mso-wrap-style:square;v-text-anchor:top" coordsize="7147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" path="m,l714769,r,12192l,12192,,e" fillcolor="black" stroked="f" strokeweight="0">
                  <v:stroke miterlimit="83231f" joinstyle="miter"/>
                  <v:path arrowok="t" textboxrect="0,0,714769,12192"/>
                </v:shape>
                <v:shape id="Shape 54778" o:spid="_x0000_s1030" style="position:absolute;left:29519;width:122;height:121;visibility:visible;mso-wrap-style:square;v-text-anchor:top" coordsize="1217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" path="m,l12179,r,12192l,12192,,e" fillcolor="black" stroked="f" strokeweight="0">
                  <v:stroke miterlimit="83231f" joinstyle="miter"/>
                  <v:path arrowok="t" textboxrect="0,0,12179,12192"/>
                </v:shape>
                <v:shape id="Shape 54779" o:spid="_x0000_s1031" style="position:absolute;left:29641;width:7163;height:121;visibility:visible;mso-wrap-style:square;v-text-anchor:top" coordsize="7162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" path="m,l716280,r,12192l,12192,,e" fillcolor="black" stroked="f" strokeweight="0">
                  <v:stroke miterlimit="83231f" joinstyle="miter"/>
                  <v:path arrowok="t" textboxrect="0,0,716280,12192"/>
                </v:shape>
                <v:shape id="Shape 54780" o:spid="_x0000_s1032" style="position:absolute;left:3680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" path="m,l12192,r,12192l,12192,,e" fillcolor="black" stroked="f" strokeweight="0">
                  <v:stroke miterlimit="83231f" joinstyle="miter"/>
                  <v:path arrowok="t" textboxrect="0,0,12192,12192"/>
                </v:shape>
                <v:shape id="Shape 54781" o:spid="_x0000_s1033" style="position:absolute;left:36926;width:7163;height:121;visibility:visible;mso-wrap-style:square;v-text-anchor:top" coordsize="71626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" path="m,l716267,r,12192l,12192,,e" fillcolor="black" stroked="f" strokeweight="0">
                  <v:stroke miterlimit="83231f" joinstyle="miter"/>
                  <v:path arrowok="t" textboxrect="0,0,716267,12192"/>
                </v:shape>
                <v:shape id="Shape 54782" o:spid="_x0000_s1034" style="position:absolute;left:440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" path="m,l12192,r,12192l,12192,,e" fillcolor="black" stroked="f" strokeweight="0">
                  <v:stroke miterlimit="83231f" joinstyle="miter"/>
                  <v:path arrowok="t" textboxrect="0,0,12192,12192"/>
                </v:shape>
                <v:shape id="Shape 54783" o:spid="_x0000_s1035" style="position:absolute;left:44211;width:7178;height:121;visibility:visible;mso-wrap-style:square;v-text-anchor:top" coordsize="7178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" path="m,l717804,r,12192l,12192,,e" fillcolor="black" stroked="f" strokeweight="0">
                  <v:stroke miterlimit="83231f" joinstyle="miter"/>
                  <v:path arrowok="t" textboxrect="0,0,717804,12192"/>
                </v:shape>
                <v:shape id="Shape 54784" o:spid="_x0000_s1036" style="position:absolute;left:5138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" path="m,l12192,r,12192l,12192,,e" fillcolor="black" stroked="f" strokeweight="0">
                  <v:stroke miterlimit="83231f" joinstyle="miter"/>
                  <v:path arrowok="t" textboxrect="0,0,12192,12192"/>
                </v:shape>
                <v:shape id="Shape 54785" o:spid="_x0000_s1037" style="position:absolute;left:51511;width:7925;height:121;visibility:visible;mso-wrap-style:square;v-text-anchor:top" coordsize="7924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" path="m,l792480,r,12192l,12192,,e" fillcolor="black" stroked="f" strokeweight="0">
                  <v:stroke miterlimit="83231f" joinstyle="miter"/>
                  <v:path arrowok="t" textboxrect="0,0,792480,12192"/>
                </v:shape>
                <w10:wrap type="topAndBottom" anchorx="page" anchory="page"/>
              </v:group>
            </w:pict>
          </mc:Fallback>
        </mc:AlternateContent>
      </w:r>
      <w:r w:rsidR="005F05B0">
        <w:t>5.</w:t>
      </w:r>
      <w:r>
        <w:t xml:space="preserve">4. This use of reserves is predicated on decisions being made based on business cases that have not yet been submitted and on any resultant expenditure being in line with the current capital programme and revenue projections.  Consequently, this is a best estimate, and it is likely that the actual spending profile will be different to that assumed and this will have an impact upon the level of reserves shown in Table 1. </w:t>
      </w:r>
    </w:p>
    <w:p w14:paraId="296F788B" w14:textId="77777777" w:rsidR="00F979FB" w:rsidRDefault="00F979FB" w:rsidP="00F979FB">
      <w:pPr>
        <w:ind w:left="0" w:right="175" w:firstLine="0"/>
      </w:pPr>
    </w:p>
    <w:p w14:paraId="34704344" w14:textId="24E0E006" w:rsidR="005345BC" w:rsidRDefault="005F05B0" w:rsidP="00F979FB">
      <w:pPr>
        <w:ind w:left="0" w:right="175" w:firstLine="0"/>
      </w:pPr>
      <w:r>
        <w:t>5.</w:t>
      </w:r>
      <w:r w:rsidR="00F979FB">
        <w:t xml:space="preserve">5. CIPFA’s Prudential Code for Capital Finance in Local Authorities recommends that the PCC’s total debt should be lower than its highest forecast CFR over the next three years.  Table 1 shows that the PCC expects to comply with this recommendation during 2024/25. </w:t>
      </w:r>
    </w:p>
    <w:p w14:paraId="51D14837" w14:textId="77777777" w:rsidR="00F979FB" w:rsidRDefault="00F979FB">
      <w:pPr>
        <w:pStyle w:val="Heading1"/>
        <w:ind w:left="715"/>
      </w:pPr>
    </w:p>
    <w:p w14:paraId="64CC4EE1" w14:textId="77777777" w:rsidR="005345BC" w:rsidRDefault="00F979FB" w:rsidP="00F979FB">
      <w:pPr>
        <w:pStyle w:val="Heading1"/>
        <w:ind w:left="0"/>
      </w:pPr>
      <w:r>
        <w:t>Liability benchmark</w:t>
      </w:r>
      <w:r>
        <w:rPr>
          <w:b w:val="0"/>
        </w:rPr>
        <w:t xml:space="preserve"> </w:t>
      </w:r>
    </w:p>
    <w:p w14:paraId="0CFAF2F8" w14:textId="72E21448" w:rsidR="005345BC" w:rsidRDefault="005F05B0" w:rsidP="00F979FB">
      <w:pPr>
        <w:ind w:left="0" w:right="175" w:firstLine="0"/>
      </w:pPr>
      <w:r>
        <w:t>5.</w:t>
      </w:r>
      <w:r w:rsidR="00F979FB">
        <w:t xml:space="preserve">6. To compare the PCC’s actual borrowing against an alternative strategy, a liability benchmark has been calculated showing the lowest risk level of borrowing. This assumes the same forecasts as Table 1, but that cash and investment balances are kept to a minimum level of £10m at each year-end to maintain sufficient liquidity but minimise credit risk. </w:t>
      </w:r>
    </w:p>
    <w:p w14:paraId="1247D6C8" w14:textId="77777777" w:rsidR="00F979FB" w:rsidRDefault="00F979FB" w:rsidP="00F979FB">
      <w:pPr>
        <w:ind w:left="0" w:right="175" w:firstLine="0"/>
      </w:pPr>
    </w:p>
    <w:p w14:paraId="69078375" w14:textId="2C41E239" w:rsidR="005345BC" w:rsidRDefault="005F05B0" w:rsidP="00F979FB">
      <w:pPr>
        <w:ind w:left="0" w:right="175" w:firstLine="0"/>
      </w:pPr>
      <w:r>
        <w:t>5.</w:t>
      </w:r>
      <w:r w:rsidR="00F979FB">
        <w:t xml:space="preserve">7. The liability benchmark is an important tool to help establish whether the PCC is likely to be a long-term borrower or long-term investor in the future, and so shape its strategic focus and decision making. The liability benchmark itself represents an estimate of the cumulative amount of external borrowing the PCC must hold to fund its current capital and revenue plans while keeping treasury investments at the minimum level required to manage day-to-day cash flow. </w:t>
      </w:r>
    </w:p>
    <w:p w14:paraId="604B004F" w14:textId="77777777" w:rsidR="00F979FB" w:rsidRDefault="00F979FB" w:rsidP="00F979FB">
      <w:pPr>
        <w:ind w:left="0" w:right="175" w:firstLine="0"/>
      </w:pPr>
    </w:p>
    <w:p w14:paraId="3857CA9D" w14:textId="77777777" w:rsidR="005345BC" w:rsidRDefault="00F979FB">
      <w:pPr>
        <w:pStyle w:val="Heading1"/>
        <w:spacing w:after="0"/>
        <w:ind w:left="267"/>
      </w:pPr>
      <w:r>
        <w:t>Table 2: Liability benchmark</w:t>
      </w:r>
      <w:r>
        <w:rPr>
          <w:b w:val="0"/>
        </w:rPr>
        <w:t xml:space="preserve"> </w:t>
      </w:r>
    </w:p>
    <w:tbl>
      <w:tblPr>
        <w:tblStyle w:val="TableGrid"/>
        <w:tblW w:w="9360" w:type="dxa"/>
        <w:tblInd w:w="151" w:type="dxa"/>
        <w:tblCellMar>
          <w:top w:w="58" w:type="dxa"/>
          <w:left w:w="106" w:type="dxa"/>
          <w:right w:w="41" w:type="dxa"/>
        </w:tblCellMar>
        <w:tblLook w:val="04A0" w:firstRow="1" w:lastRow="0" w:firstColumn="1" w:lastColumn="0" w:noHBand="0" w:noVBand="1"/>
      </w:tblPr>
      <w:tblGrid>
        <w:gridCol w:w="3449"/>
        <w:gridCol w:w="1159"/>
        <w:gridCol w:w="1230"/>
        <w:gridCol w:w="1174"/>
        <w:gridCol w:w="1174"/>
        <w:gridCol w:w="1174"/>
      </w:tblGrid>
      <w:tr w:rsidR="005345BC" w14:paraId="3D207B40" w14:textId="77777777">
        <w:trPr>
          <w:trHeight w:val="1706"/>
        </w:trPr>
        <w:tc>
          <w:tcPr>
            <w:tcW w:w="3552" w:type="dxa"/>
            <w:tcBorders>
              <w:top w:val="single" w:sz="8" w:space="0" w:color="000000"/>
              <w:left w:val="single" w:sz="8" w:space="0" w:color="000000"/>
              <w:bottom w:val="single" w:sz="8" w:space="0" w:color="000000"/>
              <w:right w:val="single" w:sz="8" w:space="0" w:color="000000"/>
            </w:tcBorders>
          </w:tcPr>
          <w:p w14:paraId="1B04C2CD" w14:textId="77777777" w:rsidR="005345BC" w:rsidRDefault="00F979FB">
            <w:pPr>
              <w:spacing w:after="0" w:line="259" w:lineRule="auto"/>
              <w:ind w:left="0" w:firstLine="0"/>
            </w:pP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20B1FD2E" w14:textId="77777777" w:rsidR="005345BC" w:rsidRDefault="00F979FB">
            <w:pPr>
              <w:spacing w:after="158" w:line="259" w:lineRule="auto"/>
              <w:ind w:left="14" w:firstLine="0"/>
            </w:pPr>
            <w:r>
              <w:rPr>
                <w:b/>
              </w:rPr>
              <w:t>31/03/23</w:t>
            </w:r>
            <w:r>
              <w:t xml:space="preserve"> </w:t>
            </w:r>
          </w:p>
          <w:p w14:paraId="674A84DB" w14:textId="77777777" w:rsidR="005345BC" w:rsidRDefault="00F979FB">
            <w:pPr>
              <w:spacing w:after="0" w:line="259" w:lineRule="auto"/>
              <w:ind w:left="0" w:right="67" w:firstLine="0"/>
              <w:jc w:val="right"/>
            </w:pPr>
            <w:r>
              <w:rPr>
                <w:b/>
              </w:rPr>
              <w:t>Actual £m</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30D7B9C6" w14:textId="77777777" w:rsidR="005345BC" w:rsidRDefault="00F979FB">
            <w:pPr>
              <w:spacing w:after="158" w:line="259" w:lineRule="auto"/>
              <w:ind w:left="14" w:firstLine="0"/>
            </w:pPr>
            <w:r>
              <w:rPr>
                <w:b/>
              </w:rPr>
              <w:t>31/03/24</w:t>
            </w:r>
            <w:r>
              <w:t xml:space="preserve"> </w:t>
            </w:r>
          </w:p>
          <w:p w14:paraId="5EFEB034" w14:textId="77777777" w:rsidR="005345BC" w:rsidRDefault="00F979FB" w:rsidP="00F979FB">
            <w:pPr>
              <w:spacing w:after="24" w:line="259" w:lineRule="auto"/>
              <w:ind w:left="82" w:firstLine="0"/>
            </w:pPr>
            <w:r>
              <w:rPr>
                <w:b/>
              </w:rPr>
              <w:t>Estimate</w:t>
            </w:r>
            <w:r>
              <w:t xml:space="preserve"> </w:t>
            </w:r>
          </w:p>
          <w:p w14:paraId="6BBA9B79" w14:textId="77777777" w:rsidR="005345BC" w:rsidRDefault="00F979FB">
            <w:pPr>
              <w:spacing w:after="0" w:line="259" w:lineRule="auto"/>
              <w:ind w:left="0" w:right="67" w:firstLine="0"/>
              <w:jc w:val="right"/>
            </w:pPr>
            <w:r>
              <w:rPr>
                <w:b/>
              </w:rPr>
              <w:t>£m</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70EB4FF7" w14:textId="77777777" w:rsidR="005345BC" w:rsidRDefault="00F979FB">
            <w:pPr>
              <w:spacing w:after="158" w:line="259" w:lineRule="auto"/>
              <w:ind w:left="14" w:firstLine="0"/>
            </w:pPr>
            <w:r>
              <w:rPr>
                <w:b/>
              </w:rPr>
              <w:t>31/03/25</w:t>
            </w:r>
            <w:r>
              <w:t xml:space="preserve"> </w:t>
            </w:r>
          </w:p>
          <w:p w14:paraId="0E679CDC" w14:textId="77777777" w:rsidR="005345BC" w:rsidRDefault="00F979FB" w:rsidP="00F979FB">
            <w:pPr>
              <w:spacing w:after="24" w:line="259" w:lineRule="auto"/>
              <w:ind w:left="26" w:firstLine="0"/>
            </w:pPr>
            <w:r>
              <w:rPr>
                <w:b/>
              </w:rPr>
              <w:t>Forecast</w:t>
            </w:r>
            <w:r>
              <w:t xml:space="preserve"> </w:t>
            </w:r>
          </w:p>
          <w:p w14:paraId="37F96D94" w14:textId="77777777" w:rsidR="005345BC" w:rsidRDefault="00F979FB">
            <w:pPr>
              <w:spacing w:after="0" w:line="259" w:lineRule="auto"/>
              <w:ind w:left="0" w:right="67" w:firstLine="0"/>
              <w:jc w:val="right"/>
            </w:pPr>
            <w:r>
              <w:rPr>
                <w:b/>
              </w:rPr>
              <w:t>£m</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76ED8F71" w14:textId="77777777" w:rsidR="005345BC" w:rsidRDefault="00F979FB">
            <w:pPr>
              <w:spacing w:after="158" w:line="259" w:lineRule="auto"/>
              <w:ind w:left="14" w:firstLine="0"/>
            </w:pPr>
            <w:r>
              <w:rPr>
                <w:b/>
              </w:rPr>
              <w:t>31/03/26</w:t>
            </w:r>
            <w:r>
              <w:t xml:space="preserve"> </w:t>
            </w:r>
          </w:p>
          <w:p w14:paraId="12A4E999" w14:textId="77777777" w:rsidR="005345BC" w:rsidRDefault="00F979FB" w:rsidP="00F979FB">
            <w:pPr>
              <w:spacing w:after="24" w:line="259" w:lineRule="auto"/>
              <w:ind w:left="26" w:firstLine="0"/>
            </w:pPr>
            <w:r>
              <w:rPr>
                <w:b/>
              </w:rPr>
              <w:t>Forecast</w:t>
            </w:r>
            <w:r>
              <w:t xml:space="preserve"> </w:t>
            </w:r>
          </w:p>
          <w:p w14:paraId="5BA25CAF" w14:textId="77777777" w:rsidR="005345BC" w:rsidRDefault="00F979FB">
            <w:pPr>
              <w:spacing w:after="0" w:line="259" w:lineRule="auto"/>
              <w:ind w:left="0" w:right="67" w:firstLine="0"/>
              <w:jc w:val="right"/>
            </w:pPr>
            <w:r>
              <w:rPr>
                <w:b/>
              </w:rPr>
              <w:t>£m</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7ECA9810" w14:textId="77777777" w:rsidR="005345BC" w:rsidRDefault="00F979FB">
            <w:pPr>
              <w:spacing w:after="158" w:line="259" w:lineRule="auto"/>
              <w:ind w:left="14" w:firstLine="0"/>
            </w:pPr>
            <w:r>
              <w:rPr>
                <w:b/>
              </w:rPr>
              <w:t>31/03/27</w:t>
            </w:r>
            <w:r>
              <w:t xml:space="preserve"> </w:t>
            </w:r>
          </w:p>
          <w:p w14:paraId="3D388CA2" w14:textId="77777777" w:rsidR="005345BC" w:rsidRDefault="00F979FB" w:rsidP="00F979FB">
            <w:pPr>
              <w:spacing w:after="24" w:line="259" w:lineRule="auto"/>
              <w:ind w:left="26" w:firstLine="0"/>
            </w:pPr>
            <w:r>
              <w:rPr>
                <w:b/>
              </w:rPr>
              <w:t>Forecast</w:t>
            </w:r>
            <w:r>
              <w:t xml:space="preserve"> </w:t>
            </w:r>
          </w:p>
          <w:p w14:paraId="3D77EF34" w14:textId="77777777" w:rsidR="005345BC" w:rsidRDefault="00F979FB">
            <w:pPr>
              <w:spacing w:after="0" w:line="259" w:lineRule="auto"/>
              <w:ind w:left="0" w:right="67" w:firstLine="0"/>
              <w:jc w:val="right"/>
            </w:pPr>
            <w:r>
              <w:rPr>
                <w:b/>
              </w:rPr>
              <w:t>£m</w:t>
            </w:r>
            <w:r>
              <w:t xml:space="preserve"> </w:t>
            </w:r>
          </w:p>
        </w:tc>
      </w:tr>
      <w:tr w:rsidR="005345BC" w14:paraId="577A4810" w14:textId="77777777">
        <w:trPr>
          <w:trHeight w:val="478"/>
        </w:trPr>
        <w:tc>
          <w:tcPr>
            <w:tcW w:w="3552" w:type="dxa"/>
            <w:tcBorders>
              <w:top w:val="single" w:sz="8" w:space="0" w:color="000000"/>
              <w:left w:val="single" w:sz="8" w:space="0" w:color="000000"/>
              <w:bottom w:val="single" w:sz="8" w:space="0" w:color="000000"/>
              <w:right w:val="single" w:sz="8" w:space="0" w:color="000000"/>
            </w:tcBorders>
          </w:tcPr>
          <w:p w14:paraId="22252C87" w14:textId="77777777" w:rsidR="005345BC" w:rsidRDefault="00F979FB">
            <w:pPr>
              <w:spacing w:after="0" w:line="259" w:lineRule="auto"/>
              <w:ind w:left="0" w:firstLine="0"/>
            </w:pPr>
            <w:r>
              <w:t xml:space="preserve">Loans CFR </w:t>
            </w:r>
          </w:p>
        </w:tc>
        <w:tc>
          <w:tcPr>
            <w:tcW w:w="1162" w:type="dxa"/>
            <w:tcBorders>
              <w:top w:val="single" w:sz="8" w:space="0" w:color="000000"/>
              <w:left w:val="single" w:sz="8" w:space="0" w:color="000000"/>
              <w:bottom w:val="single" w:sz="8" w:space="0" w:color="000000"/>
              <w:right w:val="single" w:sz="8" w:space="0" w:color="000000"/>
            </w:tcBorders>
          </w:tcPr>
          <w:p w14:paraId="072A0E90" w14:textId="77777777" w:rsidR="005345BC" w:rsidRDefault="00F979FB">
            <w:pPr>
              <w:spacing w:after="0" w:line="259" w:lineRule="auto"/>
              <w:ind w:left="0" w:right="65" w:firstLine="0"/>
              <w:jc w:val="right"/>
            </w:pPr>
            <w:r>
              <w:t xml:space="preserve">51.7 </w:t>
            </w:r>
          </w:p>
        </w:tc>
        <w:tc>
          <w:tcPr>
            <w:tcW w:w="1162" w:type="dxa"/>
            <w:tcBorders>
              <w:top w:val="single" w:sz="8" w:space="0" w:color="000000"/>
              <w:left w:val="single" w:sz="8" w:space="0" w:color="000000"/>
              <w:bottom w:val="single" w:sz="8" w:space="0" w:color="000000"/>
              <w:right w:val="single" w:sz="8" w:space="0" w:color="000000"/>
            </w:tcBorders>
          </w:tcPr>
          <w:p w14:paraId="737D63C8" w14:textId="77777777" w:rsidR="005345BC" w:rsidRDefault="00F979FB">
            <w:pPr>
              <w:spacing w:after="0" w:line="259" w:lineRule="auto"/>
              <w:ind w:left="0" w:right="65" w:firstLine="0"/>
              <w:jc w:val="right"/>
            </w:pPr>
            <w:r>
              <w:t xml:space="preserve">50.0 </w:t>
            </w:r>
          </w:p>
        </w:tc>
        <w:tc>
          <w:tcPr>
            <w:tcW w:w="1162" w:type="dxa"/>
            <w:tcBorders>
              <w:top w:val="single" w:sz="8" w:space="0" w:color="000000"/>
              <w:left w:val="single" w:sz="8" w:space="0" w:color="000000"/>
              <w:bottom w:val="single" w:sz="8" w:space="0" w:color="000000"/>
              <w:right w:val="single" w:sz="8" w:space="0" w:color="000000"/>
            </w:tcBorders>
          </w:tcPr>
          <w:p w14:paraId="2C69D5B6" w14:textId="77777777" w:rsidR="005345BC" w:rsidRDefault="00F979FB">
            <w:pPr>
              <w:spacing w:after="0" w:line="259" w:lineRule="auto"/>
              <w:ind w:left="0" w:right="65" w:firstLine="0"/>
              <w:jc w:val="right"/>
            </w:pPr>
            <w:r>
              <w:t xml:space="preserve">48.4 </w:t>
            </w:r>
          </w:p>
        </w:tc>
        <w:tc>
          <w:tcPr>
            <w:tcW w:w="1162" w:type="dxa"/>
            <w:tcBorders>
              <w:top w:val="single" w:sz="8" w:space="0" w:color="000000"/>
              <w:left w:val="single" w:sz="8" w:space="0" w:color="000000"/>
              <w:bottom w:val="single" w:sz="8" w:space="0" w:color="000000"/>
              <w:right w:val="single" w:sz="8" w:space="0" w:color="000000"/>
            </w:tcBorders>
          </w:tcPr>
          <w:p w14:paraId="733869E0" w14:textId="77777777" w:rsidR="005345BC" w:rsidRDefault="00F979FB">
            <w:pPr>
              <w:spacing w:after="0" w:line="259" w:lineRule="auto"/>
              <w:ind w:left="0" w:right="65" w:firstLine="0"/>
              <w:jc w:val="right"/>
            </w:pPr>
            <w:r>
              <w:t xml:space="preserve">46.7 </w:t>
            </w:r>
          </w:p>
        </w:tc>
        <w:tc>
          <w:tcPr>
            <w:tcW w:w="1162" w:type="dxa"/>
            <w:tcBorders>
              <w:top w:val="single" w:sz="8" w:space="0" w:color="000000"/>
              <w:left w:val="single" w:sz="8" w:space="0" w:color="000000"/>
              <w:bottom w:val="single" w:sz="8" w:space="0" w:color="000000"/>
              <w:right w:val="single" w:sz="8" w:space="0" w:color="000000"/>
            </w:tcBorders>
          </w:tcPr>
          <w:p w14:paraId="5642B082" w14:textId="77777777" w:rsidR="005345BC" w:rsidRDefault="00F979FB">
            <w:pPr>
              <w:spacing w:after="0" w:line="259" w:lineRule="auto"/>
              <w:ind w:left="0" w:right="65" w:firstLine="0"/>
              <w:jc w:val="right"/>
            </w:pPr>
            <w:r>
              <w:t xml:space="preserve">45.1 </w:t>
            </w:r>
          </w:p>
        </w:tc>
      </w:tr>
      <w:tr w:rsidR="005345BC" w14:paraId="3E3B1BBA" w14:textId="77777777">
        <w:trPr>
          <w:trHeight w:val="475"/>
        </w:trPr>
        <w:tc>
          <w:tcPr>
            <w:tcW w:w="3552" w:type="dxa"/>
            <w:tcBorders>
              <w:top w:val="single" w:sz="8" w:space="0" w:color="000000"/>
              <w:left w:val="single" w:sz="8" w:space="0" w:color="000000"/>
              <w:bottom w:val="single" w:sz="8" w:space="0" w:color="000000"/>
              <w:right w:val="single" w:sz="8" w:space="0" w:color="000000"/>
            </w:tcBorders>
          </w:tcPr>
          <w:p w14:paraId="092B69AE" w14:textId="77777777" w:rsidR="005345BC" w:rsidRDefault="00F979FB">
            <w:pPr>
              <w:spacing w:after="0" w:line="259" w:lineRule="auto"/>
              <w:ind w:left="0" w:firstLine="0"/>
              <w:jc w:val="both"/>
            </w:pPr>
            <w:r>
              <w:t xml:space="preserve">Less: Balance sheet resources </w:t>
            </w:r>
          </w:p>
        </w:tc>
        <w:tc>
          <w:tcPr>
            <w:tcW w:w="1162" w:type="dxa"/>
            <w:tcBorders>
              <w:top w:val="single" w:sz="8" w:space="0" w:color="000000"/>
              <w:left w:val="single" w:sz="8" w:space="0" w:color="000000"/>
              <w:bottom w:val="single" w:sz="8" w:space="0" w:color="000000"/>
              <w:right w:val="single" w:sz="8" w:space="0" w:color="000000"/>
            </w:tcBorders>
          </w:tcPr>
          <w:p w14:paraId="6181DFD9" w14:textId="77777777" w:rsidR="005345BC" w:rsidRDefault="00F979FB">
            <w:pPr>
              <w:spacing w:after="0" w:line="259" w:lineRule="auto"/>
              <w:ind w:left="0" w:right="64" w:firstLine="0"/>
              <w:jc w:val="right"/>
            </w:pPr>
            <w:r>
              <w:t xml:space="preserve">(131.2) </w:t>
            </w:r>
          </w:p>
        </w:tc>
        <w:tc>
          <w:tcPr>
            <w:tcW w:w="1162" w:type="dxa"/>
            <w:tcBorders>
              <w:top w:val="single" w:sz="8" w:space="0" w:color="000000"/>
              <w:left w:val="single" w:sz="8" w:space="0" w:color="000000"/>
              <w:bottom w:val="single" w:sz="8" w:space="0" w:color="000000"/>
              <w:right w:val="single" w:sz="8" w:space="0" w:color="000000"/>
            </w:tcBorders>
          </w:tcPr>
          <w:p w14:paraId="4E75650B" w14:textId="77777777" w:rsidR="005345BC" w:rsidRDefault="00F979FB">
            <w:pPr>
              <w:spacing w:after="0" w:line="259" w:lineRule="auto"/>
              <w:ind w:left="0" w:right="64" w:firstLine="0"/>
              <w:jc w:val="right"/>
            </w:pPr>
            <w:r>
              <w:t xml:space="preserve">(114.5) </w:t>
            </w:r>
          </w:p>
        </w:tc>
        <w:tc>
          <w:tcPr>
            <w:tcW w:w="1162" w:type="dxa"/>
            <w:tcBorders>
              <w:top w:val="single" w:sz="8" w:space="0" w:color="000000"/>
              <w:left w:val="single" w:sz="8" w:space="0" w:color="000000"/>
              <w:bottom w:val="single" w:sz="8" w:space="0" w:color="000000"/>
              <w:right w:val="single" w:sz="8" w:space="0" w:color="000000"/>
            </w:tcBorders>
          </w:tcPr>
          <w:p w14:paraId="08B22F57" w14:textId="77777777" w:rsidR="005345BC" w:rsidRDefault="00F979FB">
            <w:pPr>
              <w:spacing w:after="0" w:line="259" w:lineRule="auto"/>
              <w:ind w:left="0" w:right="64" w:firstLine="0"/>
              <w:jc w:val="right"/>
            </w:pPr>
            <w:r>
              <w:t xml:space="preserve">(88.0) </w:t>
            </w:r>
          </w:p>
        </w:tc>
        <w:tc>
          <w:tcPr>
            <w:tcW w:w="1162" w:type="dxa"/>
            <w:tcBorders>
              <w:top w:val="single" w:sz="8" w:space="0" w:color="000000"/>
              <w:left w:val="single" w:sz="8" w:space="0" w:color="000000"/>
              <w:bottom w:val="single" w:sz="8" w:space="0" w:color="000000"/>
              <w:right w:val="single" w:sz="8" w:space="0" w:color="000000"/>
            </w:tcBorders>
          </w:tcPr>
          <w:p w14:paraId="36CED600" w14:textId="77777777" w:rsidR="005345BC" w:rsidRDefault="00F979FB">
            <w:pPr>
              <w:spacing w:after="0" w:line="259" w:lineRule="auto"/>
              <w:ind w:left="0" w:right="64" w:firstLine="0"/>
              <w:jc w:val="right"/>
            </w:pPr>
            <w:r>
              <w:t xml:space="preserve">(57.7) </w:t>
            </w:r>
          </w:p>
        </w:tc>
        <w:tc>
          <w:tcPr>
            <w:tcW w:w="1162" w:type="dxa"/>
            <w:tcBorders>
              <w:top w:val="single" w:sz="8" w:space="0" w:color="000000"/>
              <w:left w:val="single" w:sz="8" w:space="0" w:color="000000"/>
              <w:bottom w:val="single" w:sz="8" w:space="0" w:color="000000"/>
              <w:right w:val="single" w:sz="8" w:space="0" w:color="000000"/>
            </w:tcBorders>
          </w:tcPr>
          <w:p w14:paraId="37F49D16" w14:textId="77777777" w:rsidR="005345BC" w:rsidRDefault="00F979FB">
            <w:pPr>
              <w:spacing w:after="0" w:line="259" w:lineRule="auto"/>
              <w:ind w:left="0" w:right="64" w:firstLine="0"/>
              <w:jc w:val="right"/>
            </w:pPr>
            <w:r>
              <w:t xml:space="preserve">(50.1) </w:t>
            </w:r>
          </w:p>
        </w:tc>
      </w:tr>
      <w:tr w:rsidR="005345BC" w14:paraId="08632F3B" w14:textId="77777777">
        <w:trPr>
          <w:trHeight w:val="475"/>
        </w:trPr>
        <w:tc>
          <w:tcPr>
            <w:tcW w:w="3552" w:type="dxa"/>
            <w:tcBorders>
              <w:top w:val="single" w:sz="8" w:space="0" w:color="000000"/>
              <w:left w:val="single" w:sz="8" w:space="0" w:color="000000"/>
              <w:bottom w:val="single" w:sz="8" w:space="0" w:color="000000"/>
              <w:right w:val="single" w:sz="8" w:space="0" w:color="000000"/>
            </w:tcBorders>
          </w:tcPr>
          <w:p w14:paraId="7CA37407" w14:textId="77777777" w:rsidR="005345BC" w:rsidRDefault="00F979FB">
            <w:pPr>
              <w:spacing w:after="0" w:line="259" w:lineRule="auto"/>
              <w:ind w:left="0" w:firstLine="0"/>
            </w:pPr>
            <w:r>
              <w:rPr>
                <w:b/>
              </w:rPr>
              <w:t>Net loans requirement</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25A718FF" w14:textId="77777777" w:rsidR="005345BC" w:rsidRDefault="00F979FB">
            <w:pPr>
              <w:spacing w:after="0" w:line="259" w:lineRule="auto"/>
              <w:ind w:left="0" w:right="64" w:firstLine="0"/>
              <w:jc w:val="right"/>
            </w:pPr>
            <w:r>
              <w:rPr>
                <w:b/>
              </w:rPr>
              <w:t>(79.5)</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1676AA35" w14:textId="77777777" w:rsidR="005345BC" w:rsidRDefault="00F979FB">
            <w:pPr>
              <w:spacing w:after="0" w:line="259" w:lineRule="auto"/>
              <w:ind w:left="0" w:right="64" w:firstLine="0"/>
              <w:jc w:val="right"/>
            </w:pPr>
            <w:r>
              <w:rPr>
                <w:b/>
              </w:rPr>
              <w:t>(64.5)</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616C763D" w14:textId="77777777" w:rsidR="005345BC" w:rsidRDefault="00F979FB">
            <w:pPr>
              <w:spacing w:after="0" w:line="259" w:lineRule="auto"/>
              <w:ind w:left="0" w:right="64" w:firstLine="0"/>
              <w:jc w:val="right"/>
            </w:pPr>
            <w:r>
              <w:rPr>
                <w:b/>
              </w:rPr>
              <w:t>(39.6)</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1900EAD6" w14:textId="77777777" w:rsidR="005345BC" w:rsidRDefault="00F979FB">
            <w:pPr>
              <w:spacing w:after="0" w:line="259" w:lineRule="auto"/>
              <w:ind w:left="0" w:right="64" w:firstLine="0"/>
              <w:jc w:val="right"/>
            </w:pPr>
            <w:r>
              <w:rPr>
                <w:b/>
              </w:rPr>
              <w:t>(11.0)</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533DE411" w14:textId="77777777" w:rsidR="005345BC" w:rsidRDefault="00F979FB">
            <w:pPr>
              <w:spacing w:after="0" w:line="259" w:lineRule="auto"/>
              <w:ind w:left="0" w:right="66" w:firstLine="0"/>
              <w:jc w:val="right"/>
            </w:pPr>
            <w:r>
              <w:rPr>
                <w:b/>
              </w:rPr>
              <w:t>(5.0)</w:t>
            </w:r>
            <w:r>
              <w:t xml:space="preserve"> </w:t>
            </w:r>
          </w:p>
        </w:tc>
      </w:tr>
      <w:tr w:rsidR="005345BC" w14:paraId="549AE33D" w14:textId="77777777">
        <w:trPr>
          <w:trHeight w:val="478"/>
        </w:trPr>
        <w:tc>
          <w:tcPr>
            <w:tcW w:w="3552" w:type="dxa"/>
            <w:tcBorders>
              <w:top w:val="single" w:sz="8" w:space="0" w:color="000000"/>
              <w:left w:val="single" w:sz="8" w:space="0" w:color="000000"/>
              <w:bottom w:val="single" w:sz="8" w:space="0" w:color="000000"/>
              <w:right w:val="single" w:sz="8" w:space="0" w:color="000000"/>
            </w:tcBorders>
          </w:tcPr>
          <w:p w14:paraId="60178FBF" w14:textId="77777777" w:rsidR="005345BC" w:rsidRDefault="00F979FB">
            <w:pPr>
              <w:spacing w:after="0" w:line="259" w:lineRule="auto"/>
              <w:ind w:left="0" w:firstLine="0"/>
            </w:pPr>
            <w:r>
              <w:t xml:space="preserve">Plus: Liquidity allowance </w:t>
            </w:r>
          </w:p>
        </w:tc>
        <w:tc>
          <w:tcPr>
            <w:tcW w:w="1162" w:type="dxa"/>
            <w:tcBorders>
              <w:top w:val="single" w:sz="8" w:space="0" w:color="000000"/>
              <w:left w:val="single" w:sz="8" w:space="0" w:color="000000"/>
              <w:bottom w:val="single" w:sz="8" w:space="0" w:color="000000"/>
              <w:right w:val="single" w:sz="8" w:space="0" w:color="000000"/>
            </w:tcBorders>
          </w:tcPr>
          <w:p w14:paraId="02F27DC3" w14:textId="77777777" w:rsidR="005345BC" w:rsidRDefault="00F979FB">
            <w:pPr>
              <w:spacing w:after="0" w:line="259" w:lineRule="auto"/>
              <w:ind w:left="0" w:right="65" w:firstLine="0"/>
              <w:jc w:val="right"/>
            </w:pPr>
            <w:r>
              <w:t xml:space="preserve">10.0 </w:t>
            </w:r>
          </w:p>
        </w:tc>
        <w:tc>
          <w:tcPr>
            <w:tcW w:w="1162" w:type="dxa"/>
            <w:tcBorders>
              <w:top w:val="single" w:sz="8" w:space="0" w:color="000000"/>
              <w:left w:val="single" w:sz="8" w:space="0" w:color="000000"/>
              <w:bottom w:val="single" w:sz="8" w:space="0" w:color="000000"/>
              <w:right w:val="single" w:sz="8" w:space="0" w:color="000000"/>
            </w:tcBorders>
          </w:tcPr>
          <w:p w14:paraId="2BCF607B" w14:textId="77777777" w:rsidR="005345BC" w:rsidRDefault="00F979FB">
            <w:pPr>
              <w:spacing w:after="0" w:line="259" w:lineRule="auto"/>
              <w:ind w:left="0" w:right="65" w:firstLine="0"/>
              <w:jc w:val="right"/>
            </w:pPr>
            <w:r>
              <w:t xml:space="preserve">10.0 </w:t>
            </w:r>
          </w:p>
        </w:tc>
        <w:tc>
          <w:tcPr>
            <w:tcW w:w="1162" w:type="dxa"/>
            <w:tcBorders>
              <w:top w:val="single" w:sz="8" w:space="0" w:color="000000"/>
              <w:left w:val="single" w:sz="8" w:space="0" w:color="000000"/>
              <w:bottom w:val="single" w:sz="8" w:space="0" w:color="000000"/>
              <w:right w:val="single" w:sz="8" w:space="0" w:color="000000"/>
            </w:tcBorders>
          </w:tcPr>
          <w:p w14:paraId="4DB522D4" w14:textId="77777777" w:rsidR="005345BC" w:rsidRDefault="00F979FB">
            <w:pPr>
              <w:spacing w:after="0" w:line="259" w:lineRule="auto"/>
              <w:ind w:left="0" w:right="65" w:firstLine="0"/>
              <w:jc w:val="right"/>
            </w:pPr>
            <w:r>
              <w:t xml:space="preserve">10.0 </w:t>
            </w:r>
          </w:p>
        </w:tc>
        <w:tc>
          <w:tcPr>
            <w:tcW w:w="1162" w:type="dxa"/>
            <w:tcBorders>
              <w:top w:val="single" w:sz="8" w:space="0" w:color="000000"/>
              <w:left w:val="single" w:sz="8" w:space="0" w:color="000000"/>
              <w:bottom w:val="single" w:sz="8" w:space="0" w:color="000000"/>
              <w:right w:val="single" w:sz="8" w:space="0" w:color="000000"/>
            </w:tcBorders>
          </w:tcPr>
          <w:p w14:paraId="39060F2F" w14:textId="77777777" w:rsidR="005345BC" w:rsidRDefault="00F979FB">
            <w:pPr>
              <w:spacing w:after="0" w:line="259" w:lineRule="auto"/>
              <w:ind w:left="0" w:right="65" w:firstLine="0"/>
              <w:jc w:val="right"/>
            </w:pPr>
            <w:r>
              <w:t xml:space="preserve">10.0 </w:t>
            </w:r>
          </w:p>
        </w:tc>
        <w:tc>
          <w:tcPr>
            <w:tcW w:w="1162" w:type="dxa"/>
            <w:tcBorders>
              <w:top w:val="single" w:sz="8" w:space="0" w:color="000000"/>
              <w:left w:val="single" w:sz="8" w:space="0" w:color="000000"/>
              <w:bottom w:val="single" w:sz="8" w:space="0" w:color="000000"/>
              <w:right w:val="single" w:sz="8" w:space="0" w:color="000000"/>
            </w:tcBorders>
          </w:tcPr>
          <w:p w14:paraId="388154B1" w14:textId="77777777" w:rsidR="005345BC" w:rsidRDefault="00F979FB">
            <w:pPr>
              <w:spacing w:after="0" w:line="259" w:lineRule="auto"/>
              <w:ind w:left="0" w:right="65" w:firstLine="0"/>
              <w:jc w:val="right"/>
            </w:pPr>
            <w:r>
              <w:t xml:space="preserve">10.0 </w:t>
            </w:r>
          </w:p>
        </w:tc>
      </w:tr>
      <w:tr w:rsidR="005345BC" w14:paraId="684FE548" w14:textId="77777777">
        <w:trPr>
          <w:trHeight w:val="475"/>
        </w:trPr>
        <w:tc>
          <w:tcPr>
            <w:tcW w:w="3552" w:type="dxa"/>
            <w:tcBorders>
              <w:top w:val="single" w:sz="8" w:space="0" w:color="000000"/>
              <w:left w:val="single" w:sz="8" w:space="0" w:color="000000"/>
              <w:bottom w:val="single" w:sz="8" w:space="0" w:color="000000"/>
              <w:right w:val="single" w:sz="8" w:space="0" w:color="000000"/>
            </w:tcBorders>
          </w:tcPr>
          <w:p w14:paraId="550C8C4D" w14:textId="77777777" w:rsidR="005345BC" w:rsidRDefault="00F979FB">
            <w:pPr>
              <w:spacing w:after="0" w:line="259" w:lineRule="auto"/>
              <w:ind w:left="0" w:firstLine="0"/>
            </w:pPr>
            <w:r>
              <w:rPr>
                <w:b/>
              </w:rPr>
              <w:t>Liability benchmark</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5D6F4A73" w14:textId="77777777" w:rsidR="005345BC" w:rsidRDefault="00F979FB">
            <w:pPr>
              <w:spacing w:after="0" w:line="259" w:lineRule="auto"/>
              <w:ind w:left="0" w:right="64" w:firstLine="0"/>
              <w:jc w:val="right"/>
            </w:pPr>
            <w:r>
              <w:rPr>
                <w:b/>
              </w:rPr>
              <w:t>(69.5)</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11880DE0" w14:textId="77777777" w:rsidR="005345BC" w:rsidRDefault="00F979FB">
            <w:pPr>
              <w:spacing w:after="0" w:line="259" w:lineRule="auto"/>
              <w:ind w:left="0" w:right="64" w:firstLine="0"/>
              <w:jc w:val="right"/>
            </w:pPr>
            <w:r>
              <w:rPr>
                <w:b/>
              </w:rPr>
              <w:t>(54.5)</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2B88F3A9" w14:textId="77777777" w:rsidR="005345BC" w:rsidRDefault="00F979FB">
            <w:pPr>
              <w:spacing w:after="0" w:line="259" w:lineRule="auto"/>
              <w:ind w:left="0" w:right="64" w:firstLine="0"/>
              <w:jc w:val="right"/>
            </w:pPr>
            <w:r>
              <w:rPr>
                <w:b/>
              </w:rPr>
              <w:t>(29.6)</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3FF87775" w14:textId="77777777" w:rsidR="005345BC" w:rsidRDefault="00F979FB">
            <w:pPr>
              <w:spacing w:after="0" w:line="259" w:lineRule="auto"/>
              <w:ind w:left="0" w:right="66" w:firstLine="0"/>
              <w:jc w:val="right"/>
            </w:pPr>
            <w:r>
              <w:rPr>
                <w:b/>
              </w:rPr>
              <w:t>(1.0)</w:t>
            </w:r>
            <w: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3A0B8DE9" w14:textId="77777777" w:rsidR="005345BC" w:rsidRDefault="00F979FB">
            <w:pPr>
              <w:spacing w:after="0" w:line="259" w:lineRule="auto"/>
              <w:ind w:left="0" w:right="65" w:firstLine="0"/>
              <w:jc w:val="right"/>
            </w:pPr>
            <w:r>
              <w:rPr>
                <w:b/>
              </w:rPr>
              <w:t>5.0</w:t>
            </w:r>
            <w:r>
              <w:t xml:space="preserve"> </w:t>
            </w:r>
          </w:p>
        </w:tc>
      </w:tr>
    </w:tbl>
    <w:p w14:paraId="5C1BD97D" w14:textId="77777777" w:rsidR="005345BC" w:rsidRDefault="00F979FB">
      <w:pPr>
        <w:spacing w:after="187" w:line="259" w:lineRule="auto"/>
        <w:ind w:left="257" w:firstLine="0"/>
        <w:jc w:val="both"/>
      </w:pP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r>
        <w:tab/>
      </w:r>
      <w:r>
        <w:rPr>
          <w:b/>
        </w:rPr>
        <w:t xml:space="preserve"> </w:t>
      </w:r>
      <w:r>
        <w:t xml:space="preserve"> </w:t>
      </w:r>
    </w:p>
    <w:p w14:paraId="3373848D" w14:textId="4B8A0C1F" w:rsidR="005345BC" w:rsidRDefault="00F979FB" w:rsidP="00F979FB">
      <w:pPr>
        <w:tabs>
          <w:tab w:val="center" w:pos="1281"/>
          <w:tab w:val="center" w:pos="5524"/>
        </w:tabs>
        <w:ind w:left="0" w:firstLine="0"/>
      </w:pPr>
      <w:r>
        <w:rPr>
          <w:rFonts w:ascii="Calibri" w:eastAsia="Calibri" w:hAnsi="Calibri" w:cs="Calibri"/>
          <w:sz w:val="22"/>
        </w:rPr>
        <w:tab/>
      </w:r>
      <w:r w:rsidR="005F05B0">
        <w:t>5.8</w:t>
      </w:r>
      <w:r>
        <w:t xml:space="preserve">. At the start of the period, 31 March 2023, the PCC had a Loans CFR of £51.7m, external borrowing of £29.7m, balance sheet resources of £131.2m and a negative liability benchmark of £69.5m. The difference of £22m between the CFR and external borrowing is internal borrowing, which is where the PCC has used its own resources to fund its borrowing requirement.  </w:t>
      </w:r>
    </w:p>
    <w:p w14:paraId="71B0DD87" w14:textId="77777777" w:rsidR="00F979FB" w:rsidRDefault="00F979FB" w:rsidP="00F979FB">
      <w:pPr>
        <w:tabs>
          <w:tab w:val="center" w:pos="1281"/>
          <w:tab w:val="center" w:pos="5524"/>
        </w:tabs>
        <w:ind w:left="0" w:firstLine="0"/>
      </w:pPr>
    </w:p>
    <w:p w14:paraId="55074CF0" w14:textId="77777777" w:rsidR="005F05B0" w:rsidRDefault="00F979FB" w:rsidP="00F979FB">
      <w:pPr>
        <w:pStyle w:val="Heading1"/>
        <w:spacing w:after="147"/>
        <w:ind w:left="0"/>
      </w:pPr>
      <w:r>
        <w:t>Graph 1: Liability benchmark</w:t>
      </w:r>
    </w:p>
    <w:p w14:paraId="292F68C0" w14:textId="77FCD249" w:rsidR="005345BC" w:rsidRDefault="005F05B0" w:rsidP="00F979FB">
      <w:pPr>
        <w:pStyle w:val="Heading1"/>
        <w:spacing w:after="147"/>
        <w:ind w:left="0"/>
      </w:pPr>
      <w:r>
        <w:rPr>
          <w:noProof/>
        </w:rPr>
        <w:drawing>
          <wp:inline distT="0" distB="0" distL="0" distR="0" wp14:anchorId="391C37A7" wp14:editId="0A8FC256">
            <wp:extent cx="5731510" cy="3599815"/>
            <wp:effectExtent l="0" t="0" r="2540" b="635"/>
            <wp:docPr id="3" name="Picture 3" descr="A graph with a line&#10;&#10;Description automatically generated with medium confidence">
              <a:extLst xmlns:a="http://schemas.openxmlformats.org/drawingml/2006/main">
                <a:ext uri="{FF2B5EF4-FFF2-40B4-BE49-F238E27FC236}">
                  <a16:creationId xmlns:a16="http://schemas.microsoft.com/office/drawing/2014/main" id="{507BF325-D354-A008-2884-8A5CE30F11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a line&#10;&#10;Description automatically generated with medium confidence">
                      <a:extLst>
                        <a:ext uri="{FF2B5EF4-FFF2-40B4-BE49-F238E27FC236}">
                          <a16:creationId xmlns:a16="http://schemas.microsoft.com/office/drawing/2014/main" id="{507BF325-D354-A008-2884-8A5CE30F116C}"/>
                        </a:ext>
                      </a:extLst>
                    </pic:cNvPr>
                    <pic:cNvPicPr>
                      <a:picLocks noChangeAspect="1"/>
                    </pic:cNvPicPr>
                  </pic:nvPicPr>
                  <pic:blipFill>
                    <a:blip r:embed="rId5"/>
                    <a:stretch>
                      <a:fillRect/>
                    </a:stretch>
                  </pic:blipFill>
                  <pic:spPr>
                    <a:xfrm>
                      <a:off x="0" y="0"/>
                      <a:ext cx="5731510" cy="3599815"/>
                    </a:xfrm>
                    <a:prstGeom prst="rect">
                      <a:avLst/>
                    </a:prstGeom>
                  </pic:spPr>
                </pic:pic>
              </a:graphicData>
            </a:graphic>
          </wp:inline>
        </w:drawing>
      </w:r>
      <w:r w:rsidR="00F979FB">
        <w:rPr>
          <w:b w:val="0"/>
        </w:rPr>
        <w:t xml:space="preserve"> </w:t>
      </w:r>
      <w:r w:rsidR="00F979FB">
        <w:t xml:space="preserve"> </w:t>
      </w:r>
    </w:p>
    <w:p w14:paraId="1AD24606" w14:textId="02112248" w:rsidR="005345BC" w:rsidRDefault="000A303C" w:rsidP="00F979FB">
      <w:pPr>
        <w:ind w:left="0" w:right="175" w:hanging="17"/>
      </w:pPr>
      <w:r>
        <w:t>5.</w:t>
      </w:r>
      <w:r w:rsidR="00F979FB">
        <w:t>9. The liability benchmark is the lowest level of debt the PCC could hold if it used all of its balances, reserves and cash flow surpluses to fund its CFR. The liability benchmark graph is based on five years of data which explains why the Loans CFR line in Graph 1 continues to reduce past the initial five year period – the diagram assumes that no new capital projects will begin after 2026/27, which is a very unlikely scenario but a reflection of the current horizon for capital expenditure forecasts.</w:t>
      </w:r>
    </w:p>
    <w:p w14:paraId="0FD51778" w14:textId="77777777" w:rsidR="00F979FB" w:rsidRDefault="00F979FB" w:rsidP="00F979FB">
      <w:pPr>
        <w:ind w:left="0" w:right="175" w:hanging="17"/>
      </w:pPr>
    </w:p>
    <w:p w14:paraId="7CF20E69" w14:textId="3630D26D" w:rsidR="005345BC" w:rsidRDefault="000A303C" w:rsidP="00F979FB">
      <w:pPr>
        <w:ind w:left="0" w:right="175" w:hanging="17"/>
      </w:pPr>
      <w:r>
        <w:t>5.</w:t>
      </w:r>
      <w:r w:rsidR="00F979FB">
        <w:t>10</w:t>
      </w:r>
      <w:r>
        <w:t>.</w:t>
      </w:r>
      <w:r w:rsidR="00F979FB">
        <w:t xml:space="preserve"> The PCC expects a negative liability benchmark across the first three years of the forecast period (which cannot be seen on Graph 1) which implies that in the first three years of the forecast the PCC has sufficient balance sheet resources to repay its CFR, meaning that currently there is not a requirement to take on any a</w:t>
      </w:r>
      <w:r w:rsidR="008A7646">
        <w:t>dditional external borrowing.</w:t>
      </w:r>
    </w:p>
    <w:p w14:paraId="6D1FDEB5" w14:textId="77777777" w:rsidR="008A7646" w:rsidRDefault="008A7646" w:rsidP="00F979FB">
      <w:pPr>
        <w:ind w:left="0" w:right="175" w:hanging="17"/>
      </w:pPr>
    </w:p>
    <w:p w14:paraId="7AAFBCA9" w14:textId="140C47F2" w:rsidR="005345BC" w:rsidRDefault="000A303C" w:rsidP="008A7646">
      <w:pPr>
        <w:ind w:left="0" w:right="175" w:hanging="17"/>
      </w:pPr>
      <w:r>
        <w:t>5.</w:t>
      </w:r>
      <w:r w:rsidR="008A7646">
        <w:t xml:space="preserve">11. </w:t>
      </w:r>
      <w:r w:rsidR="00F979FB">
        <w:t xml:space="preserve">After the initial three year period, Graph 1 then indicates a positive liability benchmark in 2026/27, reflecting the forecast balance sheet resources position mapped out in Tables 1 and 2. A positive liability benchmark that extends above the loans lines shows a need to take additional borrowing as the balance sheet resources and current external borrowing combined are not sufficient to meet the CFR.  Therefore Graph 1 indicates that from 2027 the PCC’s existing borrowing is forecast to no longer be sufficient to meet the liability benchmark and the PCC may need to source additional external borrowing if it is to meet the full delivery of its capital programme.  The PCC will keep the position under review and continue to take advice from Arlingclose on the most appropriate time to borrow if it is required.  </w:t>
      </w:r>
    </w:p>
    <w:p w14:paraId="42E5A9CA" w14:textId="77777777" w:rsidR="008A7646" w:rsidRDefault="008A7646" w:rsidP="008A7646">
      <w:pPr>
        <w:ind w:left="0" w:right="175" w:hanging="17"/>
      </w:pPr>
    </w:p>
    <w:p w14:paraId="7FAF70BD" w14:textId="77777777" w:rsidR="005345BC" w:rsidRDefault="00F979FB" w:rsidP="008A7646">
      <w:pPr>
        <w:pStyle w:val="Heading1"/>
        <w:spacing w:after="31"/>
        <w:ind w:left="0"/>
      </w:pPr>
      <w:r>
        <w:t xml:space="preserve">6. Borrowing Strategy </w:t>
      </w:r>
    </w:p>
    <w:p w14:paraId="0884F202" w14:textId="005A6108" w:rsidR="005345BC" w:rsidRDefault="00430E67" w:rsidP="008A7646">
      <w:pPr>
        <w:ind w:left="0" w:right="175" w:hanging="17"/>
      </w:pPr>
      <w:r>
        <w:t>6</w:t>
      </w:r>
      <w:r w:rsidR="008A7646">
        <w:t xml:space="preserve">.1. </w:t>
      </w:r>
      <w:r w:rsidR="00F979FB">
        <w:t>The PCC currently holds £19.4m of loans, as part of its strategy for funding previous years’ capital programmes. Although the balance sheet forecast in Table 1 shows that the PCC will maintain a net investment position, it may need to borrow to fund capital expenditure to maintain its long-term and minimum level of investments</w:t>
      </w:r>
      <w:r w:rsidR="00F979FB" w:rsidRPr="00430E67">
        <w:t>.</w:t>
      </w:r>
      <w:r>
        <w:t xml:space="preserve">  The PCC may borrow to pre-fund future years’ requirements, providing this does not exceed the authorised limit for borrowing of £87.5m, but does not currently expect to do so.</w:t>
      </w:r>
    </w:p>
    <w:p w14:paraId="6F44E734" w14:textId="77777777" w:rsidR="008A7646" w:rsidRDefault="008A7646" w:rsidP="008A7646">
      <w:pPr>
        <w:ind w:left="0" w:right="175" w:hanging="17"/>
      </w:pPr>
    </w:p>
    <w:p w14:paraId="4166A3BC" w14:textId="2DDC2EA0" w:rsidR="005345BC" w:rsidRDefault="00430E67" w:rsidP="008A7646">
      <w:pPr>
        <w:ind w:left="0" w:right="175" w:hanging="17"/>
      </w:pPr>
      <w:r>
        <w:t>6.2.</w:t>
      </w:r>
      <w:r w:rsidR="008A7646">
        <w:t xml:space="preserve"> </w:t>
      </w:r>
      <w:r w:rsidR="00F979FB">
        <w:t xml:space="preserve">The current capital programme is forecasted to require additional borrowing in the future, and further initiatives may be forthcoming which could increase this need. To ensure the future affordability of the Minimum Revenue Provision (MRP) costs associated with potential borrowing, the PCC has an extra £2m allocated to the MRP revenue budget to allow for the potential of future borrowing being required (which translates to additional borrowing of approximately £30m over 25 years). Should borrowing be required, once timing and details are confirmed, future strategies will be adjusted accordingly. Until there is a need for additional borrowing to be taken out, this £2m set aside for MRP is being utilised on an annual basis as a revenue contribution to capital in support of the overall financing of capital spend. </w:t>
      </w:r>
    </w:p>
    <w:p w14:paraId="19A4483A" w14:textId="77777777" w:rsidR="008A7646" w:rsidRDefault="008A7646" w:rsidP="008A7646">
      <w:pPr>
        <w:ind w:left="0" w:right="175" w:hanging="17"/>
      </w:pPr>
    </w:p>
    <w:p w14:paraId="4E73A63F" w14:textId="77777777" w:rsidR="005345BC" w:rsidRDefault="00F979FB" w:rsidP="008A7646">
      <w:pPr>
        <w:pStyle w:val="Heading1"/>
        <w:ind w:left="0" w:firstLine="0"/>
      </w:pPr>
      <w:r>
        <w:t>Objectives</w:t>
      </w:r>
      <w:r>
        <w:rPr>
          <w:b w:val="0"/>
        </w:rPr>
        <w:t xml:space="preserve"> </w:t>
      </w:r>
    </w:p>
    <w:p w14:paraId="45BD9C2C" w14:textId="25D3E511" w:rsidR="005345BC" w:rsidRDefault="000A303C" w:rsidP="008A7646">
      <w:pPr>
        <w:ind w:left="0" w:right="175" w:firstLine="0"/>
      </w:pPr>
      <w:r>
        <w:t>6.</w:t>
      </w:r>
      <w:r w:rsidR="008A7646">
        <w:t xml:space="preserve">3. </w:t>
      </w:r>
      <w:r w:rsidR="00F979FB">
        <w:t xml:space="preserve">The PCC’s chief objective when borrowing money is to strike an appropriately low risk balance between securing low interest costs and achieving certainty of those costs over the period for which funds are required.  The flexibility to renegotiate loans, should the PCC’s long-term plans change, is a secondary objective. </w:t>
      </w:r>
    </w:p>
    <w:p w14:paraId="161D234C" w14:textId="77777777" w:rsidR="005345BC" w:rsidRDefault="00F979FB" w:rsidP="008A7646">
      <w:pPr>
        <w:pStyle w:val="Heading1"/>
        <w:ind w:left="0"/>
      </w:pPr>
      <w:r>
        <w:t>Strategy</w:t>
      </w:r>
      <w:r>
        <w:rPr>
          <w:b w:val="0"/>
        </w:rPr>
        <w:t xml:space="preserve"> </w:t>
      </w:r>
    </w:p>
    <w:p w14:paraId="76DFCFE1" w14:textId="171E39E4" w:rsidR="005345BC" w:rsidRDefault="000A303C" w:rsidP="008A7646">
      <w:pPr>
        <w:ind w:left="0" w:right="175" w:hanging="17"/>
      </w:pPr>
      <w:r>
        <w:t>6.</w:t>
      </w:r>
      <w:r w:rsidR="008A7646">
        <w:t xml:space="preserve">4. </w:t>
      </w:r>
      <w:r w:rsidR="00F979FB">
        <w:t xml:space="preserve">The PCC’s borrowing strategy continues to address the key issue of affordability without compromising the longer-term stability of the debt portfolio.  Short-term interest rates are currently at a 15-year high but are expected to fall in the coming years and it is therefore likely to be more cost effective over the medium term to either use internal resources, or to borrow short-term loans instead.  </w:t>
      </w:r>
    </w:p>
    <w:p w14:paraId="0336F090" w14:textId="77777777" w:rsidR="008A7646" w:rsidRDefault="008A7646" w:rsidP="008A7646">
      <w:pPr>
        <w:ind w:left="0" w:right="175" w:hanging="17"/>
      </w:pPr>
    </w:p>
    <w:p w14:paraId="6DB787AC" w14:textId="0576087C" w:rsidR="005345BC" w:rsidRDefault="000A303C" w:rsidP="008A7646">
      <w:pPr>
        <w:ind w:left="0" w:right="175" w:hanging="17"/>
      </w:pPr>
      <w:r>
        <w:t>6.</w:t>
      </w:r>
      <w:r w:rsidR="008A7646">
        <w:t>5</w:t>
      </w:r>
      <w:r>
        <w:t>.</w:t>
      </w:r>
      <w:r w:rsidR="008A7646">
        <w:t xml:space="preserve"> </w:t>
      </w:r>
      <w:r w:rsidR="00F979FB">
        <w:t xml:space="preserve">By internally borrowing, the PCC is able to reduce net borrowing costs (despite foregone investment income) and reduce overall treasury risk.  Arlingclose will assist the PCC in regularly monitoring the benefits of this approach against taking on short term external borrowing and the potential for incurring additional costs by deferring borrowing into future years when long-term borrowing rates are forecast to rise modestly.   </w:t>
      </w:r>
    </w:p>
    <w:p w14:paraId="34DCB6A4" w14:textId="77777777" w:rsidR="008A7646" w:rsidRDefault="008A7646" w:rsidP="008A7646">
      <w:pPr>
        <w:ind w:left="0" w:right="175" w:hanging="17"/>
      </w:pPr>
    </w:p>
    <w:p w14:paraId="12578461" w14:textId="1C2D98F3" w:rsidR="005345BC" w:rsidRDefault="008A7646" w:rsidP="008A7646">
      <w:pPr>
        <w:ind w:left="0" w:right="175" w:firstLine="0"/>
      </w:pPr>
      <w:r>
        <w:t>6.</w:t>
      </w:r>
      <w:r w:rsidR="000A303C">
        <w:t>6</w:t>
      </w:r>
      <w:r>
        <w:t xml:space="preserve">. </w:t>
      </w:r>
      <w:r w:rsidR="00F979FB">
        <w:t>The PCC has previously raised all of its long-term borrowing from the PWLB but will consider long-term loans from other sources including banks, pension funds and local authorities, and will investigate the possibility of issuing bonds and similar instruments, in order to lower interest costs and reduce over-reliance on one source of funding in line with the CIPFA Code.  PWLB loans are no longer available to local authorities (including police and crime commissioners) planning to buy investment assets primarily for yield; the PCC’s investment strategy does not support this activity and so will r</w:t>
      </w:r>
      <w:r>
        <w:t>etain its access to PWLB loans.</w:t>
      </w:r>
    </w:p>
    <w:p w14:paraId="427E25B3" w14:textId="77777777" w:rsidR="008A7646" w:rsidRDefault="008A7646" w:rsidP="008A7646">
      <w:pPr>
        <w:ind w:left="0" w:right="175" w:firstLine="0"/>
      </w:pPr>
    </w:p>
    <w:p w14:paraId="7C792129" w14:textId="793AADF6" w:rsidR="005345BC" w:rsidRDefault="000A303C" w:rsidP="008A7646">
      <w:pPr>
        <w:ind w:left="0" w:right="175" w:hanging="17"/>
      </w:pPr>
      <w:r>
        <w:t>6.</w:t>
      </w:r>
      <w:r w:rsidR="008A7646">
        <w:t xml:space="preserve">7. </w:t>
      </w:r>
      <w:r w:rsidR="00F979FB">
        <w:t xml:space="preserve">The PCC may also arrange forward starting loans during 2024/25, where the interest rate is fixed in advance, but the cash is received in later years. This would enable certainty of cost to be achieved without suffering a cost of carry in the intervening period (although there are </w:t>
      </w:r>
      <w:r w:rsidR="008A7646">
        <w:t>no current plans to do this).</w:t>
      </w:r>
    </w:p>
    <w:p w14:paraId="4DFA19A1" w14:textId="77777777" w:rsidR="008A7646" w:rsidRDefault="008A7646" w:rsidP="008A7646">
      <w:pPr>
        <w:ind w:left="0" w:right="175" w:hanging="17"/>
      </w:pPr>
    </w:p>
    <w:p w14:paraId="0EB61985" w14:textId="59DE0413" w:rsidR="005345BC" w:rsidRDefault="000A303C" w:rsidP="008A7646">
      <w:pPr>
        <w:ind w:left="0" w:right="175" w:hanging="17"/>
      </w:pPr>
      <w:r>
        <w:t>6.</w:t>
      </w:r>
      <w:r w:rsidR="008A7646">
        <w:t xml:space="preserve">8. </w:t>
      </w:r>
      <w:r w:rsidR="00F979FB">
        <w:t xml:space="preserve">In addition, the PCC may borrow short-term loans (normally for up to one month) to cover unplanned cash flow shortages. </w:t>
      </w:r>
    </w:p>
    <w:p w14:paraId="7AFDC999" w14:textId="77777777" w:rsidR="008A7646" w:rsidRDefault="008A7646" w:rsidP="008A7646">
      <w:pPr>
        <w:ind w:left="0" w:right="175" w:hanging="17"/>
      </w:pPr>
    </w:p>
    <w:p w14:paraId="752BDAF4" w14:textId="77777777" w:rsidR="005345BC" w:rsidRDefault="00F979FB" w:rsidP="008A7646">
      <w:pPr>
        <w:pStyle w:val="Heading1"/>
        <w:ind w:left="0"/>
      </w:pPr>
      <w:r>
        <w:t>Sources of borrowing</w:t>
      </w:r>
      <w:r>
        <w:rPr>
          <w:b w:val="0"/>
        </w:rPr>
        <w:t xml:space="preserve"> </w:t>
      </w:r>
    </w:p>
    <w:p w14:paraId="2E7BC3E5" w14:textId="7D0339AA" w:rsidR="005345BC" w:rsidRDefault="00F979FB">
      <w:pPr>
        <w:tabs>
          <w:tab w:val="center" w:pos="1281"/>
          <w:tab w:val="center" w:pos="5642"/>
        </w:tabs>
        <w:ind w:left="0" w:firstLine="0"/>
      </w:pPr>
      <w:r>
        <w:rPr>
          <w:rFonts w:ascii="Calibri" w:eastAsia="Calibri" w:hAnsi="Calibri" w:cs="Calibri"/>
          <w:sz w:val="22"/>
        </w:rPr>
        <w:tab/>
      </w:r>
      <w:r w:rsidR="000A303C">
        <w:t>6.9</w:t>
      </w:r>
      <w:r w:rsidR="008A7646">
        <w:t xml:space="preserve">. </w:t>
      </w:r>
      <w:r>
        <w:t xml:space="preserve">The approved sources of long-term and short-term borrowing are: </w:t>
      </w:r>
    </w:p>
    <w:p w14:paraId="5D16E867" w14:textId="77777777" w:rsidR="005345BC" w:rsidRDefault="00F979FB">
      <w:pPr>
        <w:numPr>
          <w:ilvl w:val="0"/>
          <w:numId w:val="2"/>
        </w:numPr>
        <w:ind w:right="175" w:hanging="360"/>
      </w:pPr>
      <w:r>
        <w:t xml:space="preserve">HM Treasury’s PWLB lending facility (formerly the Public Works Loan Board) </w:t>
      </w:r>
    </w:p>
    <w:p w14:paraId="52DEAACF" w14:textId="77777777" w:rsidR="005345BC" w:rsidRDefault="00F979FB">
      <w:pPr>
        <w:numPr>
          <w:ilvl w:val="0"/>
          <w:numId w:val="2"/>
        </w:numPr>
        <w:ind w:right="175" w:hanging="360"/>
      </w:pPr>
      <w:r>
        <w:t xml:space="preserve">UK Infrastructure Bank Ltd </w:t>
      </w:r>
    </w:p>
    <w:p w14:paraId="434B968C" w14:textId="77777777" w:rsidR="005345BC" w:rsidRDefault="00F979FB">
      <w:pPr>
        <w:numPr>
          <w:ilvl w:val="0"/>
          <w:numId w:val="2"/>
        </w:numPr>
        <w:ind w:right="175" w:hanging="360"/>
      </w:pPr>
      <w:r>
        <w:t xml:space="preserve">any institution approved for investments </w:t>
      </w:r>
    </w:p>
    <w:p w14:paraId="45DB6069" w14:textId="77777777" w:rsidR="005345BC" w:rsidRDefault="00F979FB">
      <w:pPr>
        <w:numPr>
          <w:ilvl w:val="0"/>
          <w:numId w:val="2"/>
        </w:numPr>
        <w:ind w:right="175" w:hanging="360"/>
      </w:pPr>
      <w:r>
        <w:t xml:space="preserve">any other bank or building society authorised to operate in the UK </w:t>
      </w:r>
    </w:p>
    <w:p w14:paraId="0C0E7709" w14:textId="77777777" w:rsidR="005345BC" w:rsidRDefault="00F979FB">
      <w:pPr>
        <w:numPr>
          <w:ilvl w:val="0"/>
          <w:numId w:val="2"/>
        </w:numPr>
        <w:ind w:right="175" w:hanging="360"/>
      </w:pPr>
      <w:r>
        <w:t xml:space="preserve">any other UK public sector body </w:t>
      </w:r>
    </w:p>
    <w:p w14:paraId="21F95469" w14:textId="77777777" w:rsidR="005345BC" w:rsidRDefault="00F979FB">
      <w:pPr>
        <w:numPr>
          <w:ilvl w:val="0"/>
          <w:numId w:val="2"/>
        </w:numPr>
        <w:ind w:right="175" w:hanging="360"/>
      </w:pPr>
      <w:r>
        <w:t xml:space="preserve">UK public and private sector pension funds (except Hampshire Pension Fund) </w:t>
      </w:r>
    </w:p>
    <w:p w14:paraId="75280633" w14:textId="77777777" w:rsidR="005345BC" w:rsidRDefault="00F979FB">
      <w:pPr>
        <w:numPr>
          <w:ilvl w:val="0"/>
          <w:numId w:val="2"/>
        </w:numPr>
        <w:ind w:right="175" w:hanging="360"/>
      </w:pPr>
      <w:r>
        <w:t xml:space="preserve">capital market bond investors </w:t>
      </w:r>
    </w:p>
    <w:p w14:paraId="1B82CC5D" w14:textId="77777777" w:rsidR="005345BC" w:rsidRDefault="00F979FB">
      <w:pPr>
        <w:numPr>
          <w:ilvl w:val="0"/>
          <w:numId w:val="2"/>
        </w:numPr>
        <w:ind w:right="175" w:hanging="360"/>
      </w:pPr>
      <w:r>
        <w:t xml:space="preserve">retail investors via a regulated peer-to-peer platform </w:t>
      </w:r>
    </w:p>
    <w:p w14:paraId="03E6CCC1" w14:textId="77777777" w:rsidR="005345BC" w:rsidRDefault="00F979FB">
      <w:pPr>
        <w:numPr>
          <w:ilvl w:val="0"/>
          <w:numId w:val="2"/>
        </w:numPr>
        <w:ind w:right="175" w:hanging="360"/>
      </w:pPr>
      <w:r>
        <w:t xml:space="preserve">UK Municipal Bonds Agency plc and other special purpose companies created to enable local authority bond issues </w:t>
      </w:r>
    </w:p>
    <w:p w14:paraId="4849A7BC" w14:textId="77777777" w:rsidR="008A7646" w:rsidRDefault="008A7646">
      <w:pPr>
        <w:pStyle w:val="Heading1"/>
        <w:ind w:left="715"/>
      </w:pPr>
    </w:p>
    <w:p w14:paraId="4CB4A3CC" w14:textId="77777777" w:rsidR="005345BC" w:rsidRDefault="00F979FB" w:rsidP="008A7646">
      <w:pPr>
        <w:pStyle w:val="Heading1"/>
        <w:ind w:left="0"/>
      </w:pPr>
      <w:r>
        <w:t>Other sources of debt finance</w:t>
      </w:r>
      <w:r>
        <w:rPr>
          <w:b w:val="0"/>
        </w:rPr>
        <w:t xml:space="preserve"> </w:t>
      </w:r>
    </w:p>
    <w:p w14:paraId="48FCB468" w14:textId="3AC1E487" w:rsidR="005345BC" w:rsidRDefault="000A303C" w:rsidP="008A7646">
      <w:pPr>
        <w:ind w:left="0" w:right="175" w:hanging="17"/>
      </w:pPr>
      <w:r>
        <w:t>6.</w:t>
      </w:r>
      <w:r w:rsidR="008A7646">
        <w:t xml:space="preserve">10. </w:t>
      </w:r>
      <w:r w:rsidR="00F979FB">
        <w:t xml:space="preserve">In addition, capital finance may be raised by the following methods that are not borrowing, but may be classed as other debt liabilities: </w:t>
      </w:r>
    </w:p>
    <w:p w14:paraId="21A1D7D2" w14:textId="77777777" w:rsidR="005345BC" w:rsidRDefault="00F979FB">
      <w:pPr>
        <w:numPr>
          <w:ilvl w:val="0"/>
          <w:numId w:val="3"/>
        </w:numPr>
        <w:ind w:right="175" w:hanging="360"/>
      </w:pPr>
      <w:r>
        <w:t xml:space="preserve">leasing </w:t>
      </w:r>
    </w:p>
    <w:p w14:paraId="58E14531" w14:textId="77777777" w:rsidR="005345BC" w:rsidRDefault="00F979FB">
      <w:pPr>
        <w:numPr>
          <w:ilvl w:val="0"/>
          <w:numId w:val="3"/>
        </w:numPr>
        <w:ind w:right="175" w:hanging="360"/>
      </w:pPr>
      <w:r>
        <w:t xml:space="preserve">hire purchase </w:t>
      </w:r>
    </w:p>
    <w:p w14:paraId="55284197" w14:textId="77777777" w:rsidR="005345BC" w:rsidRDefault="00F979FB">
      <w:pPr>
        <w:numPr>
          <w:ilvl w:val="0"/>
          <w:numId w:val="3"/>
        </w:numPr>
        <w:ind w:right="175" w:hanging="360"/>
      </w:pPr>
      <w:r>
        <w:t xml:space="preserve">Private Finance Initiative  </w:t>
      </w:r>
    </w:p>
    <w:p w14:paraId="04692111" w14:textId="77777777" w:rsidR="005345BC" w:rsidRDefault="00F979FB">
      <w:pPr>
        <w:numPr>
          <w:ilvl w:val="0"/>
          <w:numId w:val="3"/>
        </w:numPr>
        <w:ind w:right="175" w:hanging="360"/>
      </w:pPr>
      <w:r>
        <w:t xml:space="preserve">sale and leaseback </w:t>
      </w:r>
    </w:p>
    <w:p w14:paraId="5026292B" w14:textId="77777777" w:rsidR="008A7646" w:rsidRDefault="00F979FB">
      <w:pPr>
        <w:pStyle w:val="Heading1"/>
        <w:ind w:left="720" w:right="4510" w:hanging="360"/>
        <w:rPr>
          <w:b w:val="0"/>
        </w:rPr>
      </w:pPr>
      <w:r>
        <w:rPr>
          <w:rFonts w:ascii="Segoe UI Symbol" w:eastAsia="Segoe UI Symbol" w:hAnsi="Segoe UI Symbol" w:cs="Segoe UI Symbol"/>
          <w:b w:val="0"/>
        </w:rPr>
        <w:t>•</w:t>
      </w:r>
      <w:r>
        <w:rPr>
          <w:b w:val="0"/>
        </w:rPr>
        <w:t xml:space="preserve"> similar asset backed finance </w:t>
      </w:r>
    </w:p>
    <w:p w14:paraId="630645F6" w14:textId="77777777" w:rsidR="005345BC" w:rsidRDefault="00F979FB" w:rsidP="008A7646">
      <w:pPr>
        <w:pStyle w:val="Heading1"/>
        <w:ind w:left="0" w:right="4510" w:hanging="11"/>
      </w:pPr>
      <w:r>
        <w:t>Short-term and variable rate loans</w:t>
      </w:r>
      <w:r>
        <w:rPr>
          <w:b w:val="0"/>
        </w:rPr>
        <w:t xml:space="preserve"> </w:t>
      </w:r>
    </w:p>
    <w:p w14:paraId="02B6EB6D" w14:textId="5FCC0F5B" w:rsidR="005345BC" w:rsidRDefault="000A303C" w:rsidP="008A7646">
      <w:pPr>
        <w:ind w:left="0" w:right="175" w:hanging="17"/>
      </w:pPr>
      <w:r>
        <w:t>6.</w:t>
      </w:r>
      <w:r w:rsidR="008A7646">
        <w:t xml:space="preserve">11. </w:t>
      </w:r>
      <w:r w:rsidR="00F979FB">
        <w:t xml:space="preserve">These loans leave the PCC exposed to the risk of short-term interest rate rises and are therefore subject to the limit on the net exposure to variable interest rates in the treasury management indicators at section 8 of this strategy. </w:t>
      </w:r>
    </w:p>
    <w:p w14:paraId="3E726E25" w14:textId="77777777" w:rsidR="008A7646" w:rsidRDefault="008A7646">
      <w:pPr>
        <w:pStyle w:val="Heading1"/>
        <w:ind w:left="715"/>
      </w:pPr>
    </w:p>
    <w:p w14:paraId="46F8481A" w14:textId="77777777" w:rsidR="005345BC" w:rsidRDefault="00F979FB" w:rsidP="008A7646">
      <w:pPr>
        <w:pStyle w:val="Heading1"/>
        <w:ind w:left="0"/>
      </w:pPr>
      <w:r>
        <w:t>Debt rescheduling</w:t>
      </w:r>
      <w:r>
        <w:rPr>
          <w:b w:val="0"/>
        </w:rPr>
        <w:t xml:space="preserve"> </w:t>
      </w:r>
    </w:p>
    <w:p w14:paraId="3DF2E2F0" w14:textId="0FB28BC8" w:rsidR="005345BC" w:rsidRDefault="00445B84" w:rsidP="008A7646">
      <w:pPr>
        <w:ind w:left="0" w:right="175" w:hanging="17"/>
      </w:pPr>
      <w:r>
        <w:t>6.</w:t>
      </w:r>
      <w:r w:rsidR="008A7646">
        <w:t xml:space="preserve">12. </w:t>
      </w:r>
      <w:r w:rsidR="00F979FB">
        <w:t xml:space="preserve">The PWLB allows authorities to repay loans before maturity and either pay a premium or receive a discount according to a set formula based on current interest rates.  Other lenders may also be prepared to negotiate premature redemption terms.  The PCC may take advantage of this and replace some loans with new loans, or repay loans without replacement, where this is expected to lead to an overall cost saving or a reduction in risk. The recent rise in interest rates means that more favourable debt rescheduling opportunities could arise and the opportunity to reschedule is kept under review. </w:t>
      </w:r>
    </w:p>
    <w:p w14:paraId="29F8F4B2" w14:textId="77777777" w:rsidR="008A7646" w:rsidRDefault="008A7646" w:rsidP="008A7646">
      <w:pPr>
        <w:ind w:left="0" w:right="175" w:hanging="17"/>
      </w:pPr>
    </w:p>
    <w:p w14:paraId="4ED00C88" w14:textId="77777777" w:rsidR="005345BC" w:rsidRDefault="00F979FB" w:rsidP="008A7646">
      <w:pPr>
        <w:pStyle w:val="Heading1"/>
        <w:spacing w:after="34"/>
        <w:ind w:left="0"/>
      </w:pPr>
      <w:r>
        <w:t xml:space="preserve">7. Treasury Investment Strategy </w:t>
      </w:r>
    </w:p>
    <w:p w14:paraId="1E7D9C45" w14:textId="5A761DEC" w:rsidR="005345BC" w:rsidRDefault="00445B84" w:rsidP="008A7646">
      <w:pPr>
        <w:ind w:left="0" w:right="175" w:hanging="17"/>
      </w:pPr>
      <w:r>
        <w:t>7.</w:t>
      </w:r>
      <w:r w:rsidR="008A7646">
        <w:t xml:space="preserve">1. </w:t>
      </w:r>
      <w:r w:rsidR="00F979FB">
        <w:t xml:space="preserve">The PCC holds invested funds, representing income received in advance of expenditure plus balances and reserves held.  In the past 12 months, the PCC’s treasury investment balance has ranged between £62.6m and £157.0m, and as shown in Table 1, investment balances are expected to remain relatively stable initially over the forecast period but reduce in the later years. </w:t>
      </w:r>
    </w:p>
    <w:p w14:paraId="53E0B4E5" w14:textId="77777777" w:rsidR="005345BC" w:rsidRDefault="00F979FB" w:rsidP="008A7646">
      <w:pPr>
        <w:pStyle w:val="Heading1"/>
        <w:ind w:left="0"/>
      </w:pPr>
      <w:r>
        <w:t>Objectives</w:t>
      </w:r>
      <w:r>
        <w:rPr>
          <w:b w:val="0"/>
        </w:rPr>
        <w:t xml:space="preserve"> </w:t>
      </w:r>
    </w:p>
    <w:p w14:paraId="6E888703" w14:textId="28C1063A" w:rsidR="005345BC" w:rsidRDefault="00445B84" w:rsidP="008A7646">
      <w:pPr>
        <w:ind w:left="0" w:right="175" w:hanging="17"/>
      </w:pPr>
      <w:r>
        <w:t>7.</w:t>
      </w:r>
      <w:r w:rsidR="008A7646">
        <w:t xml:space="preserve">2. </w:t>
      </w:r>
      <w:r w:rsidR="00F979FB">
        <w:t xml:space="preserve">The CIPFA Code requires the PCC to invest its treasury funds prudently, and to have regard to the security and liquidity of its investments before seeking the highest rate of return, or yield. The PCC’s objective when investing money is to strike an appropriate balance between risk and return, minimising the risk of incurring losses from defaults and the risk of receiving unsuitably low investment income. The PCC aims to be a responsible investor and will consider environmental, social and governance (ESG) issues when investing. </w:t>
      </w:r>
    </w:p>
    <w:p w14:paraId="06B0656B" w14:textId="77777777" w:rsidR="008A7646" w:rsidRDefault="008A7646" w:rsidP="008A7646">
      <w:pPr>
        <w:ind w:left="0" w:right="175" w:hanging="17"/>
      </w:pPr>
    </w:p>
    <w:p w14:paraId="382F7FEE" w14:textId="77777777" w:rsidR="005345BC" w:rsidRDefault="00F979FB" w:rsidP="008A7646">
      <w:pPr>
        <w:pStyle w:val="Heading1"/>
        <w:ind w:left="0"/>
      </w:pPr>
      <w:r>
        <w:t>Strategy</w:t>
      </w:r>
      <w:r>
        <w:rPr>
          <w:b w:val="0"/>
        </w:rPr>
        <w:t xml:space="preserve"> </w:t>
      </w:r>
    </w:p>
    <w:p w14:paraId="114BA0EF" w14:textId="2CABACA9" w:rsidR="005345BC" w:rsidRDefault="00445B84" w:rsidP="008A7646">
      <w:pPr>
        <w:ind w:left="0" w:right="175" w:hanging="17"/>
      </w:pPr>
      <w:r>
        <w:t>7.</w:t>
      </w:r>
      <w:r w:rsidR="008A7646">
        <w:t xml:space="preserve">3. </w:t>
      </w:r>
      <w:r w:rsidR="00F979FB">
        <w:t xml:space="preserve">The PCC aims to continue to hold a diversified investment portfolio, including investments in more secure and/or higher yielding asset classes.  This is especially the case for the estimated funds that are available for longer-term investment.   </w:t>
      </w:r>
    </w:p>
    <w:p w14:paraId="1D69B1A4" w14:textId="77777777" w:rsidR="008A7646" w:rsidRDefault="008A7646" w:rsidP="008A7646">
      <w:pPr>
        <w:ind w:left="0" w:right="175" w:hanging="17"/>
      </w:pPr>
    </w:p>
    <w:p w14:paraId="7AD0989F" w14:textId="0CAF8FF4" w:rsidR="008A7646" w:rsidRDefault="00445B84" w:rsidP="008A7646">
      <w:pPr>
        <w:ind w:left="0" w:right="175" w:hanging="17"/>
      </w:pPr>
      <w:r>
        <w:t>7.</w:t>
      </w:r>
      <w:r w:rsidR="008A7646">
        <w:t xml:space="preserve">4. </w:t>
      </w:r>
      <w:r w:rsidR="00F979FB">
        <w:t xml:space="preserve">At 31 December 2023 approximately 72% of the PCC’s investment balances were invested so that they were not subject to bail-in risk, as they were invested in government investments, strategic pooled funds, and secured bank bonds.  </w:t>
      </w:r>
    </w:p>
    <w:p w14:paraId="2F7C06DF" w14:textId="77777777" w:rsidR="005345BC" w:rsidRDefault="00F979FB" w:rsidP="008A7646">
      <w:pPr>
        <w:ind w:left="0" w:right="175" w:hanging="17"/>
      </w:pPr>
      <w:r>
        <w:t xml:space="preserve"> </w:t>
      </w:r>
    </w:p>
    <w:p w14:paraId="44205D45" w14:textId="52BAB5B4" w:rsidR="005345BC" w:rsidRDefault="001605E8" w:rsidP="008A7646">
      <w:pPr>
        <w:ind w:left="0" w:right="175" w:hanging="17"/>
      </w:pPr>
      <w:r>
        <w:t>7.</w:t>
      </w:r>
      <w:r w:rsidR="008A7646">
        <w:t xml:space="preserve">5. </w:t>
      </w:r>
      <w:r w:rsidR="00F979FB">
        <w:t xml:space="preserve">Of the 28% of investment balances that were subject to bail-in risk at 31 December 2023, 96% was held in overnight money market funds which are subject to a reduced risk of bail-in due to the high level of diversification within these investments, and the remainder was held in overnight bank call accounts for liquidity purposes. </w:t>
      </w:r>
    </w:p>
    <w:p w14:paraId="28A70C1D" w14:textId="77777777" w:rsidR="008A7646" w:rsidRDefault="008A7646" w:rsidP="008A7646">
      <w:pPr>
        <w:ind w:left="0" w:right="175" w:hanging="17"/>
      </w:pPr>
    </w:p>
    <w:p w14:paraId="2B888B87" w14:textId="1D4B635E" w:rsidR="005345BC" w:rsidRDefault="001605E8" w:rsidP="008A7646">
      <w:pPr>
        <w:ind w:left="0" w:right="175" w:hanging="17"/>
      </w:pPr>
      <w:r>
        <w:t>7.</w:t>
      </w:r>
      <w:r w:rsidR="008A7646">
        <w:t xml:space="preserve">6. </w:t>
      </w:r>
      <w:r w:rsidR="00F979FB">
        <w:t xml:space="preserve">The PCC made a pension prepayment of £39.47m in April 2023 to prepay its employer’s LGPS pension contributions for the three-year period 2023/24 through 2025/26. By making the payment in advance, the PCC should generate an estimated saving of £2.6m over the period, effectively an interest rate of return of 4.4%. </w:t>
      </w:r>
    </w:p>
    <w:p w14:paraId="305D8F76" w14:textId="77777777" w:rsidR="008A7646" w:rsidRDefault="008A7646">
      <w:pPr>
        <w:ind w:left="1435" w:right="175"/>
      </w:pPr>
    </w:p>
    <w:p w14:paraId="10557E68" w14:textId="7BC1CD67" w:rsidR="005345BC" w:rsidRDefault="001605E8" w:rsidP="008A7646">
      <w:pPr>
        <w:ind w:left="0" w:right="175" w:hanging="17"/>
      </w:pPr>
      <w:r>
        <w:t>7.7</w:t>
      </w:r>
      <w:r w:rsidR="008A7646">
        <w:t xml:space="preserve">. </w:t>
      </w:r>
      <w:r w:rsidR="00F979FB">
        <w:t xml:space="preserve">Further detail is provided at Appendix B and this diversification represents a continuation of the strategy adopted in 2015/16. </w:t>
      </w:r>
    </w:p>
    <w:p w14:paraId="3ADF1BC5" w14:textId="77777777" w:rsidR="008A7646" w:rsidRDefault="008A7646">
      <w:pPr>
        <w:pStyle w:val="Heading1"/>
        <w:ind w:left="715"/>
      </w:pPr>
    </w:p>
    <w:p w14:paraId="1C39330E" w14:textId="77777777" w:rsidR="005345BC" w:rsidRDefault="00F979FB" w:rsidP="008A7646">
      <w:pPr>
        <w:pStyle w:val="Heading1"/>
        <w:ind w:left="0"/>
      </w:pPr>
      <w:r>
        <w:t>Business models</w:t>
      </w:r>
      <w:r>
        <w:rPr>
          <w:b w:val="0"/>
        </w:rPr>
        <w:t xml:space="preserve"> </w:t>
      </w:r>
    </w:p>
    <w:p w14:paraId="5968556F" w14:textId="3DECB79B" w:rsidR="008A7646" w:rsidRDefault="001605E8" w:rsidP="008A7646">
      <w:pPr>
        <w:spacing w:after="244"/>
        <w:ind w:left="0" w:right="412" w:hanging="11"/>
      </w:pPr>
      <w:r>
        <w:t>7.</w:t>
      </w:r>
      <w:r w:rsidR="008A7646">
        <w:t xml:space="preserve">8. </w:t>
      </w:r>
      <w:r w:rsidR="00F979FB">
        <w:t xml:space="preserve">Under the new IFRS 9 standard, the accounting for certain investments depends on the ‘business model’ for managing them. The PCC aims to achieve value from its internally managed treasury investments through a business model of collecting the contractual cash flows and therefore, where other criteria are also met, these investments will continue to be accounted for at amortised cost. </w:t>
      </w:r>
    </w:p>
    <w:p w14:paraId="12A269C1" w14:textId="77777777" w:rsidR="008A7646" w:rsidRDefault="008A7646" w:rsidP="008A7646">
      <w:pPr>
        <w:spacing w:after="244"/>
        <w:ind w:left="0" w:right="412" w:hanging="11"/>
      </w:pPr>
    </w:p>
    <w:p w14:paraId="7BBFD033" w14:textId="77777777" w:rsidR="005345BC" w:rsidRDefault="00F979FB" w:rsidP="008A7646">
      <w:pPr>
        <w:spacing w:after="244"/>
        <w:ind w:left="0" w:right="412" w:hanging="11"/>
      </w:pPr>
      <w:r>
        <w:rPr>
          <w:b/>
        </w:rPr>
        <w:t>Environmental, social and governance factors</w:t>
      </w:r>
      <w:r>
        <w:t xml:space="preserve"> </w:t>
      </w:r>
    </w:p>
    <w:p w14:paraId="08A3327C" w14:textId="721982BF" w:rsidR="005345BC" w:rsidRDefault="001605E8" w:rsidP="008A7646">
      <w:pPr>
        <w:ind w:left="0" w:right="175" w:hanging="17"/>
      </w:pPr>
      <w:r>
        <w:t>7.</w:t>
      </w:r>
      <w:r w:rsidR="008A7646">
        <w:t xml:space="preserve">9. </w:t>
      </w:r>
      <w:r w:rsidR="00F979FB">
        <w:t xml:space="preserve">Environmental, social and governance (ESG) considerations are increasingly a factor in global investors’ decision making, but the framework for evaluating investment opportunities is still developing and therefore the PCC does not currently include ESG scoring or other realtime ESG criteria at an individual investment level. When investing in banks and funds, the PCC will prioritise banks that are signatories to the UN Principles for Responsible Banking and funds operated by managers that are signatories to the UN Principles for Responsible Investment, the Net Zero Asset Managers Alliance and/or the UK Stewardship Code. </w:t>
      </w:r>
    </w:p>
    <w:p w14:paraId="77D47F8F" w14:textId="77777777" w:rsidR="008A7646" w:rsidRDefault="008A7646" w:rsidP="008A7646">
      <w:pPr>
        <w:ind w:left="0" w:right="175" w:hanging="17"/>
      </w:pPr>
    </w:p>
    <w:p w14:paraId="2E2E79DA" w14:textId="77777777" w:rsidR="005345BC" w:rsidRDefault="00F979FB" w:rsidP="008A7646">
      <w:pPr>
        <w:pStyle w:val="Heading1"/>
        <w:ind w:left="0"/>
      </w:pPr>
      <w:r>
        <w:t>Investments targeting higher returns</w:t>
      </w:r>
      <w:r>
        <w:rPr>
          <w:b w:val="0"/>
        </w:rPr>
        <w:t xml:space="preserve"> </w:t>
      </w:r>
    </w:p>
    <w:p w14:paraId="48055F0F" w14:textId="55B54DEE" w:rsidR="005345BC" w:rsidRDefault="001605E8" w:rsidP="008A7646">
      <w:pPr>
        <w:ind w:left="0" w:right="175" w:hanging="17"/>
      </w:pPr>
      <w:r>
        <w:t>7.</w:t>
      </w:r>
      <w:r w:rsidR="008A7646">
        <w:t xml:space="preserve">10. </w:t>
      </w:r>
      <w:r w:rsidR="00F979FB">
        <w:t xml:space="preserve">In previous years the PCC earmarked an amount of its cash balances for investments targeting higher yields; these were made from its most stable core balances with the intention that they would be held for at least the medium term, and it was targeted that these investments would achieve a return of at least 4%. This was a successful approach through the period of very low interest rates, as this portfolio achieved higher interest rates than what was being achieved by cash investments and significantly increased the annualised average income return for the total investment portfolio.   </w:t>
      </w:r>
    </w:p>
    <w:p w14:paraId="111CAB80" w14:textId="77777777" w:rsidR="008A7646" w:rsidRDefault="008A7646" w:rsidP="008A7646">
      <w:pPr>
        <w:ind w:left="0" w:right="175" w:hanging="17"/>
      </w:pPr>
    </w:p>
    <w:p w14:paraId="13EC1A4E" w14:textId="7AD9122F" w:rsidR="005345BC" w:rsidRDefault="001605E8" w:rsidP="008A7646">
      <w:pPr>
        <w:ind w:left="0" w:right="175" w:hanging="17"/>
      </w:pPr>
      <w:r>
        <w:t>7.11</w:t>
      </w:r>
      <w:r w:rsidR="008A7646">
        <w:t xml:space="preserve">. </w:t>
      </w:r>
      <w:r w:rsidR="00F979FB">
        <w:t xml:space="preserve">Following the increases in UK Bank Rate the decision was made to subsume the investments targeting higher returns within the long-term investment portfolio as there was no longer a significant difference between the interest rates being achieved by those investments and cash, as short-term interest rates are now comparable with longer term interest rates. </w:t>
      </w:r>
    </w:p>
    <w:p w14:paraId="63B9DCC7" w14:textId="77777777" w:rsidR="008A7646" w:rsidRDefault="008A7646" w:rsidP="008A7646">
      <w:pPr>
        <w:ind w:left="0" w:right="175" w:hanging="17"/>
      </w:pPr>
    </w:p>
    <w:p w14:paraId="6C57B234" w14:textId="665CA96C" w:rsidR="005345BC" w:rsidRDefault="001605E8" w:rsidP="008A7646">
      <w:pPr>
        <w:ind w:left="0" w:right="175" w:hanging="17"/>
      </w:pPr>
      <w:r>
        <w:t>7.</w:t>
      </w:r>
      <w:r w:rsidR="008A7646">
        <w:t xml:space="preserve">12. </w:t>
      </w:r>
      <w:r w:rsidR="00F979FB">
        <w:t xml:space="preserve">The PCC will however continue to make use of long-term balances, making investments in longer term investments including local authorities, other asset classes and regions, fixed capital value and pooled funds to mitigate the risk of low interest rates which will affect cash investments when UK Bank Rate is reduced.  This diversification also helps to mitigate the risk of overexposure to a single event affecting a specific asset class. </w:t>
      </w:r>
    </w:p>
    <w:p w14:paraId="7B5C7504" w14:textId="77777777" w:rsidR="008A7646" w:rsidRDefault="008A7646" w:rsidP="008A7646">
      <w:pPr>
        <w:ind w:left="0" w:right="175" w:hanging="17"/>
      </w:pPr>
    </w:p>
    <w:p w14:paraId="25020BAC" w14:textId="611AFF75" w:rsidR="005345BC" w:rsidRDefault="001605E8" w:rsidP="008A7646">
      <w:pPr>
        <w:ind w:left="0" w:right="175" w:hanging="17"/>
      </w:pPr>
      <w:r>
        <w:t>7.</w:t>
      </w:r>
      <w:r w:rsidR="008A7646">
        <w:t xml:space="preserve">13. </w:t>
      </w:r>
      <w:r w:rsidR="00F979FB">
        <w:t xml:space="preserve">The PCC continues to invest in pooled funds (although this allocation has reduced over the last 12 months) which enables the PCC to achieve a greater degree of diversification than could effectively be achieved by directly owning individual assets. Pooled funds are managed by specialist external fund managers who are best placed to select and manage investments, for example with property investments in selecting appropriate buildings and then managing the relationship with tenants and the maintenance of those buildings. </w:t>
      </w:r>
      <w:r>
        <w:br/>
      </w:r>
    </w:p>
    <w:p w14:paraId="5A868AA4" w14:textId="3C1EFDA6" w:rsidR="005345BC" w:rsidRDefault="001605E8" w:rsidP="008A7646">
      <w:pPr>
        <w:spacing w:after="34"/>
        <w:ind w:left="0" w:right="175" w:hanging="17"/>
      </w:pPr>
      <w:r>
        <w:t>7.</w:t>
      </w:r>
      <w:r w:rsidR="008A7646">
        <w:t xml:space="preserve">14. </w:t>
      </w:r>
      <w:r w:rsidR="00F979FB">
        <w:t xml:space="preserve">Diversification in itself does not guarantee positive outcomes. The selection of pooled funds is carefully managed to target funds with a strong performance track record and objectives that are well aligned to the PCC’s income returns aims without putting its initial investment at undue risk over the longer term. The PCC is therefore currently invested in pooled funds that specialise in providing income returns to support the revenue budget. As a result of their income focus these funds may not achieve the same capital growth and therefore total return, as other more general investment funds, however they are likely to deliver good income returns for the longer term. </w:t>
      </w:r>
    </w:p>
    <w:p w14:paraId="7681A884" w14:textId="5B1376A4" w:rsidR="005345BC" w:rsidRDefault="001605E8" w:rsidP="008A7646">
      <w:pPr>
        <w:ind w:left="0" w:right="175" w:hanging="17"/>
      </w:pPr>
      <w:r>
        <w:t>7.</w:t>
      </w:r>
      <w:r w:rsidR="008A7646">
        <w:t xml:space="preserve">15. </w:t>
      </w:r>
      <w:r w:rsidR="00F979FB">
        <w:t xml:space="preserve">The investible universe for pooled funds is vast and part of the service provided by Arlingclose as treasury advisers is to conduct research and suitable due diligence on pooled funds prior to making recommendations to their clients.  </w:t>
      </w:r>
    </w:p>
    <w:p w14:paraId="72AA7E20" w14:textId="77777777" w:rsidR="001605E8" w:rsidRDefault="001605E8" w:rsidP="008A7646">
      <w:pPr>
        <w:ind w:left="0" w:right="175" w:hanging="17"/>
      </w:pPr>
    </w:p>
    <w:p w14:paraId="672AC237" w14:textId="2CD998A5" w:rsidR="005345BC" w:rsidRDefault="001605E8" w:rsidP="008A7646">
      <w:pPr>
        <w:ind w:left="0" w:right="175" w:hanging="17"/>
      </w:pPr>
      <w:r>
        <w:t>7.</w:t>
      </w:r>
      <w:r w:rsidR="008A7646">
        <w:t xml:space="preserve">16. </w:t>
      </w:r>
      <w:r w:rsidR="00F979FB">
        <w:t xml:space="preserve">Past performance does not guarantee that funds can replicate successful outcomes in future and knowing which funds will perform well is not an exact science. The PCC will therefore continue to conduct its own ongoing review and scrutiny of the performance of its pooled fund investments. The PCC will also discuss these investments regularly with Arlingclose, who provide advice based on regular meetings with representatives from the pooled funds and their own ongoing due diligence on areas such as performance and investment style, strategy and process. </w:t>
      </w:r>
    </w:p>
    <w:p w14:paraId="4FEFE69D" w14:textId="77777777" w:rsidR="001605E8" w:rsidRDefault="001605E8" w:rsidP="008A7646">
      <w:pPr>
        <w:ind w:left="0" w:right="175" w:hanging="17"/>
      </w:pPr>
    </w:p>
    <w:p w14:paraId="6E69B855" w14:textId="18603B30" w:rsidR="005345BC" w:rsidRDefault="001605E8" w:rsidP="008A7646">
      <w:pPr>
        <w:ind w:left="0" w:right="175" w:hanging="17"/>
      </w:pPr>
      <w:r>
        <w:t>7.</w:t>
      </w:r>
      <w:r w:rsidR="008A7646">
        <w:t xml:space="preserve">17. </w:t>
      </w:r>
      <w:r w:rsidR="00F979FB">
        <w:t xml:space="preserve">At the current time, given the medium to long term nature of the investments, it is unlikely that a capital loss would be realised, since the PCC would avoid selling investments that realised a capital loss. In addition to the risk of realising a capital loss, changes to IFRS 9 mean that capital gains and losses on investments need to be reflected in the revenue account on an annual basis, although there is currently a statutory override in place for local authorities (including police and crime commissioners) that exempts them from complying with this requirement. </w:t>
      </w:r>
    </w:p>
    <w:p w14:paraId="1D69DB20" w14:textId="77777777" w:rsidR="001605E8" w:rsidRDefault="001605E8" w:rsidP="008A7646">
      <w:pPr>
        <w:ind w:left="0" w:right="175" w:hanging="17"/>
      </w:pPr>
    </w:p>
    <w:p w14:paraId="68D1747C" w14:textId="5AA9C41F" w:rsidR="005345BC" w:rsidRDefault="001605E8" w:rsidP="008A7646">
      <w:pPr>
        <w:ind w:left="0" w:right="175" w:hanging="17"/>
      </w:pPr>
      <w:r>
        <w:t>7.</w:t>
      </w:r>
      <w:r w:rsidR="008A7646">
        <w:t xml:space="preserve">18. </w:t>
      </w:r>
      <w:r w:rsidR="00F979FB">
        <w:t xml:space="preserve">The PCC is aware of the risks involved with investing in pooled funds that hold underlying investments in equities and property.  When the PCC began to specifically target higher returns from a proportion of its investments, it also established an Investment Risk Reserve to mitigate the risk of an irrecoverable fall in the value of these investments. The balance held in this reserve is currently £0.24m. </w:t>
      </w:r>
    </w:p>
    <w:p w14:paraId="466EB08F" w14:textId="77777777" w:rsidR="008A7646" w:rsidRDefault="008A7646">
      <w:pPr>
        <w:pStyle w:val="Heading1"/>
        <w:ind w:left="715"/>
      </w:pPr>
    </w:p>
    <w:p w14:paraId="1F782CED" w14:textId="77777777" w:rsidR="005345BC" w:rsidRDefault="00F979FB" w:rsidP="008A7646">
      <w:pPr>
        <w:pStyle w:val="Heading1"/>
        <w:ind w:left="0"/>
      </w:pPr>
      <w:r>
        <w:t>Investment limits</w:t>
      </w:r>
      <w:r>
        <w:rPr>
          <w:b w:val="0"/>
        </w:rPr>
        <w:t xml:space="preserve"> </w:t>
      </w:r>
    </w:p>
    <w:p w14:paraId="606044CE" w14:textId="22CB55E4" w:rsidR="005345BC" w:rsidRDefault="001605E8" w:rsidP="008A7646">
      <w:pPr>
        <w:spacing w:after="32"/>
        <w:ind w:left="0" w:right="175" w:firstLine="0"/>
      </w:pPr>
      <w:r>
        <w:t>7.</w:t>
      </w:r>
      <w:r w:rsidR="008A7646">
        <w:t xml:space="preserve">19. </w:t>
      </w:r>
      <w:r w:rsidR="00F979FB">
        <w:t xml:space="preserve">The maximum that will be lent to any one organisation (other than the UK Government) will be £18m, which is an increase in comparison to the previous TMSS due to forecast increased investment balances in 2024/25. Table 1 indicates that treasury balances are forecast to reduce over the longer term, however this investment strategy needs to contain investment limits that allow flexibility to manage higher mid-year investment balances as well as to ensure that all of the PCC’s cash can be invested in accordance with this TMSS.  </w:t>
      </w:r>
    </w:p>
    <w:p w14:paraId="450551D2" w14:textId="77777777" w:rsidR="001605E8" w:rsidRDefault="001605E8" w:rsidP="008A7646">
      <w:pPr>
        <w:ind w:left="0" w:right="476" w:firstLine="0"/>
      </w:pPr>
    </w:p>
    <w:p w14:paraId="361FED25" w14:textId="77777777" w:rsidR="001605E8" w:rsidRDefault="001605E8" w:rsidP="008A7646">
      <w:pPr>
        <w:ind w:left="0" w:right="476" w:firstLine="0"/>
      </w:pPr>
      <w:r>
        <w:t>7.</w:t>
      </w:r>
      <w:r w:rsidR="008A7646">
        <w:t xml:space="preserve">20. </w:t>
      </w:r>
      <w:r w:rsidR="00F979FB">
        <w:t xml:space="preserve">A group of entities under the same ownership will be treated as a single organisation for limit purposes.  Limits are also placed on fund managers as shown in </w:t>
      </w:r>
    </w:p>
    <w:p w14:paraId="683C8254" w14:textId="22FA6B0C" w:rsidR="008A7646" w:rsidRDefault="00F979FB" w:rsidP="008A7646">
      <w:pPr>
        <w:ind w:left="0" w:right="476" w:firstLine="0"/>
      </w:pPr>
      <w:r>
        <w:t xml:space="preserve">Table 3. </w:t>
      </w:r>
    </w:p>
    <w:p w14:paraId="7460B524" w14:textId="77777777" w:rsidR="008A7646" w:rsidRDefault="008A7646" w:rsidP="008A7646">
      <w:pPr>
        <w:ind w:left="0" w:right="476" w:firstLine="0"/>
      </w:pPr>
    </w:p>
    <w:p w14:paraId="3D12241C" w14:textId="77777777" w:rsidR="005345BC" w:rsidRDefault="00F979FB" w:rsidP="008A7646">
      <w:pPr>
        <w:ind w:left="0" w:right="476" w:firstLine="0"/>
      </w:pPr>
      <w:r>
        <w:rPr>
          <w:b/>
        </w:rPr>
        <w:t>Table 3: Investment limits</w:t>
      </w:r>
      <w:r>
        <w:t xml:space="preserve"> </w:t>
      </w:r>
    </w:p>
    <w:p w14:paraId="7C000DBA" w14:textId="77777777" w:rsidR="005345BC" w:rsidRDefault="00F979FB">
      <w:pPr>
        <w:spacing w:after="0" w:line="259" w:lineRule="auto"/>
        <w:ind w:left="0" w:right="1476" w:firstLine="0"/>
        <w:jc w:val="right"/>
      </w:pPr>
      <w:r>
        <w:rPr>
          <w:b/>
        </w:rPr>
        <w:t xml:space="preserve"> </w:t>
      </w:r>
      <w:r>
        <w:t xml:space="preserve"> </w:t>
      </w:r>
    </w:p>
    <w:tbl>
      <w:tblPr>
        <w:tblStyle w:val="TableGrid"/>
        <w:tblW w:w="8765" w:type="dxa"/>
        <w:tblInd w:w="391" w:type="dxa"/>
        <w:tblCellMar>
          <w:top w:w="58" w:type="dxa"/>
          <w:left w:w="106" w:type="dxa"/>
          <w:right w:w="115" w:type="dxa"/>
        </w:tblCellMar>
        <w:tblLook w:val="04A0" w:firstRow="1" w:lastRow="0" w:firstColumn="1" w:lastColumn="0" w:noHBand="0" w:noVBand="1"/>
      </w:tblPr>
      <w:tblGrid>
        <w:gridCol w:w="6310"/>
        <w:gridCol w:w="2455"/>
      </w:tblGrid>
      <w:tr w:rsidR="005345BC" w14:paraId="3CF281ED" w14:textId="77777777">
        <w:trPr>
          <w:trHeight w:val="367"/>
        </w:trPr>
        <w:tc>
          <w:tcPr>
            <w:tcW w:w="6310" w:type="dxa"/>
            <w:tcBorders>
              <w:top w:val="single" w:sz="8" w:space="0" w:color="000000"/>
              <w:left w:val="single" w:sz="8" w:space="0" w:color="000000"/>
              <w:bottom w:val="single" w:sz="8" w:space="0" w:color="000000"/>
              <w:right w:val="single" w:sz="8" w:space="0" w:color="000000"/>
            </w:tcBorders>
          </w:tcPr>
          <w:p w14:paraId="291B8452" w14:textId="77777777" w:rsidR="005345BC" w:rsidRDefault="00F979FB">
            <w:pPr>
              <w:spacing w:after="0" w:line="259" w:lineRule="auto"/>
              <w:ind w:left="0" w:firstLine="0"/>
            </w:pPr>
            <w:r>
              <w:rPr>
                <w:b/>
              </w:rPr>
              <w:t xml:space="preserve"> </w:t>
            </w:r>
            <w:r>
              <w:t xml:space="preserve"> </w:t>
            </w:r>
          </w:p>
        </w:tc>
        <w:tc>
          <w:tcPr>
            <w:tcW w:w="2455" w:type="dxa"/>
            <w:tcBorders>
              <w:top w:val="single" w:sz="8" w:space="0" w:color="000000"/>
              <w:left w:val="single" w:sz="8" w:space="0" w:color="000000"/>
              <w:bottom w:val="single" w:sz="8" w:space="0" w:color="000000"/>
              <w:right w:val="single" w:sz="8" w:space="0" w:color="000000"/>
            </w:tcBorders>
          </w:tcPr>
          <w:p w14:paraId="1FAFF90F" w14:textId="77777777" w:rsidR="005345BC" w:rsidRDefault="00F979FB">
            <w:pPr>
              <w:spacing w:after="0" w:line="259" w:lineRule="auto"/>
              <w:ind w:left="10" w:firstLine="0"/>
              <w:jc w:val="center"/>
            </w:pPr>
            <w:r>
              <w:rPr>
                <w:b/>
              </w:rPr>
              <w:t>Cash limit</w:t>
            </w:r>
            <w:r>
              <w:t xml:space="preserve"> </w:t>
            </w:r>
          </w:p>
        </w:tc>
      </w:tr>
      <w:tr w:rsidR="005345BC" w14:paraId="122F6F3B" w14:textId="77777777">
        <w:trPr>
          <w:trHeight w:val="653"/>
        </w:trPr>
        <w:tc>
          <w:tcPr>
            <w:tcW w:w="6310" w:type="dxa"/>
            <w:tcBorders>
              <w:top w:val="single" w:sz="8" w:space="0" w:color="000000"/>
              <w:left w:val="single" w:sz="8" w:space="0" w:color="000000"/>
              <w:bottom w:val="single" w:sz="8" w:space="0" w:color="000000"/>
              <w:right w:val="single" w:sz="8" w:space="0" w:color="000000"/>
            </w:tcBorders>
          </w:tcPr>
          <w:p w14:paraId="3E6F33E5" w14:textId="77777777" w:rsidR="005345BC" w:rsidRDefault="00F979FB">
            <w:pPr>
              <w:spacing w:after="19" w:line="259" w:lineRule="auto"/>
              <w:ind w:left="0" w:firstLine="0"/>
            </w:pPr>
            <w:r>
              <w:t xml:space="preserve">Any single organisation, except the UK Central </w:t>
            </w:r>
          </w:p>
          <w:p w14:paraId="4B26A704" w14:textId="77777777" w:rsidR="005345BC" w:rsidRDefault="00F979FB">
            <w:pPr>
              <w:spacing w:after="0" w:line="259" w:lineRule="auto"/>
              <w:ind w:left="0" w:firstLine="0"/>
            </w:pPr>
            <w:r>
              <w:t xml:space="preserve">Government </w:t>
            </w:r>
          </w:p>
        </w:tc>
        <w:tc>
          <w:tcPr>
            <w:tcW w:w="2455" w:type="dxa"/>
            <w:tcBorders>
              <w:top w:val="single" w:sz="8" w:space="0" w:color="000000"/>
              <w:left w:val="single" w:sz="8" w:space="0" w:color="000000"/>
              <w:bottom w:val="single" w:sz="8" w:space="0" w:color="000000"/>
              <w:right w:val="single" w:sz="8" w:space="0" w:color="000000"/>
            </w:tcBorders>
            <w:vAlign w:val="center"/>
          </w:tcPr>
          <w:p w14:paraId="24E22197" w14:textId="77777777" w:rsidR="005345BC" w:rsidRDefault="00F979FB">
            <w:pPr>
              <w:spacing w:after="0" w:line="259" w:lineRule="auto"/>
              <w:ind w:left="11" w:firstLine="0"/>
              <w:jc w:val="center"/>
            </w:pPr>
            <w:r>
              <w:t xml:space="preserve">£18m each </w:t>
            </w:r>
          </w:p>
        </w:tc>
      </w:tr>
      <w:tr w:rsidR="005345BC" w14:paraId="51A43B2A" w14:textId="77777777">
        <w:trPr>
          <w:trHeight w:val="365"/>
        </w:trPr>
        <w:tc>
          <w:tcPr>
            <w:tcW w:w="6310" w:type="dxa"/>
            <w:tcBorders>
              <w:top w:val="single" w:sz="8" w:space="0" w:color="000000"/>
              <w:left w:val="single" w:sz="8" w:space="0" w:color="000000"/>
              <w:bottom w:val="single" w:sz="8" w:space="0" w:color="000000"/>
              <w:right w:val="single" w:sz="8" w:space="0" w:color="000000"/>
            </w:tcBorders>
          </w:tcPr>
          <w:p w14:paraId="40CAE7F3" w14:textId="77777777" w:rsidR="005345BC" w:rsidRDefault="00F979FB">
            <w:pPr>
              <w:spacing w:after="0" w:line="259" w:lineRule="auto"/>
              <w:ind w:left="0" w:firstLine="0"/>
            </w:pPr>
            <w:r>
              <w:t xml:space="preserve">UK Central Government </w:t>
            </w:r>
          </w:p>
        </w:tc>
        <w:tc>
          <w:tcPr>
            <w:tcW w:w="2455" w:type="dxa"/>
            <w:tcBorders>
              <w:top w:val="single" w:sz="8" w:space="0" w:color="000000"/>
              <w:left w:val="single" w:sz="8" w:space="0" w:color="000000"/>
              <w:bottom w:val="single" w:sz="8" w:space="0" w:color="000000"/>
              <w:right w:val="single" w:sz="8" w:space="0" w:color="000000"/>
            </w:tcBorders>
          </w:tcPr>
          <w:p w14:paraId="433133FD" w14:textId="77777777" w:rsidR="005345BC" w:rsidRDefault="00F979FB">
            <w:pPr>
              <w:spacing w:after="0" w:line="259" w:lineRule="auto"/>
              <w:ind w:left="9" w:firstLine="0"/>
              <w:jc w:val="center"/>
            </w:pPr>
            <w:r>
              <w:t xml:space="preserve">unlimited </w:t>
            </w:r>
          </w:p>
        </w:tc>
      </w:tr>
      <w:tr w:rsidR="005345BC" w14:paraId="3707872D" w14:textId="77777777">
        <w:trPr>
          <w:trHeight w:val="365"/>
        </w:trPr>
        <w:tc>
          <w:tcPr>
            <w:tcW w:w="6310" w:type="dxa"/>
            <w:tcBorders>
              <w:top w:val="single" w:sz="8" w:space="0" w:color="000000"/>
              <w:left w:val="single" w:sz="8" w:space="0" w:color="000000"/>
              <w:bottom w:val="single" w:sz="8" w:space="0" w:color="000000"/>
              <w:right w:val="single" w:sz="8" w:space="0" w:color="000000"/>
            </w:tcBorders>
          </w:tcPr>
          <w:p w14:paraId="247E9453" w14:textId="77777777" w:rsidR="005345BC" w:rsidRDefault="00F979FB">
            <w:pPr>
              <w:spacing w:after="0" w:line="259" w:lineRule="auto"/>
              <w:ind w:left="0" w:firstLine="0"/>
            </w:pPr>
            <w:r>
              <w:t xml:space="preserve">Any group of pooled funds under the same management </w:t>
            </w:r>
          </w:p>
        </w:tc>
        <w:tc>
          <w:tcPr>
            <w:tcW w:w="2455" w:type="dxa"/>
            <w:tcBorders>
              <w:top w:val="single" w:sz="8" w:space="0" w:color="000000"/>
              <w:left w:val="single" w:sz="8" w:space="0" w:color="000000"/>
              <w:bottom w:val="single" w:sz="8" w:space="0" w:color="000000"/>
              <w:right w:val="single" w:sz="8" w:space="0" w:color="000000"/>
            </w:tcBorders>
          </w:tcPr>
          <w:p w14:paraId="270CF45E" w14:textId="77777777" w:rsidR="005345BC" w:rsidRDefault="00F979FB">
            <w:pPr>
              <w:spacing w:after="0" w:line="259" w:lineRule="auto"/>
              <w:ind w:left="108" w:firstLine="0"/>
            </w:pPr>
            <w:r>
              <w:t xml:space="preserve">£45m per manager </w:t>
            </w:r>
          </w:p>
        </w:tc>
      </w:tr>
    </w:tbl>
    <w:p w14:paraId="36D998B3" w14:textId="77777777" w:rsidR="005345BC" w:rsidRDefault="00F979FB">
      <w:pPr>
        <w:spacing w:after="41" w:line="259" w:lineRule="auto"/>
        <w:ind w:left="497" w:firstLine="0"/>
      </w:pPr>
      <w:r>
        <w:t xml:space="preserve">  </w:t>
      </w:r>
      <w:r>
        <w:tab/>
        <w:t xml:space="preserve">  </w:t>
      </w:r>
    </w:p>
    <w:p w14:paraId="54C3CC37" w14:textId="77777777" w:rsidR="005345BC" w:rsidRDefault="00F979FB" w:rsidP="008A7646">
      <w:pPr>
        <w:pStyle w:val="Heading1"/>
        <w:ind w:left="0"/>
      </w:pPr>
      <w:r>
        <w:t>Approved Counterparties</w:t>
      </w:r>
      <w:r>
        <w:rPr>
          <w:b w:val="0"/>
        </w:rPr>
        <w:t xml:space="preserve"> </w:t>
      </w:r>
    </w:p>
    <w:p w14:paraId="767E34DE" w14:textId="62AADE77" w:rsidR="005345BC" w:rsidRDefault="001605E8" w:rsidP="008A7646">
      <w:pPr>
        <w:ind w:left="0" w:right="175" w:hanging="17"/>
      </w:pPr>
      <w:r>
        <w:t>7.</w:t>
      </w:r>
      <w:r w:rsidR="008A7646">
        <w:t xml:space="preserve">21. </w:t>
      </w:r>
      <w:r w:rsidR="00F979FB">
        <w:t xml:space="preserve">The PCC may invest its surplus funds with any of the counterparty types in Table 4, subject to the limits shown. </w:t>
      </w:r>
    </w:p>
    <w:p w14:paraId="62BF0F26" w14:textId="77777777" w:rsidR="008A7646" w:rsidRDefault="008A7646" w:rsidP="008A7646">
      <w:pPr>
        <w:ind w:left="0" w:right="175" w:hanging="17"/>
      </w:pPr>
    </w:p>
    <w:p w14:paraId="56B5113A" w14:textId="77777777" w:rsidR="005345BC" w:rsidRDefault="00F979FB">
      <w:pPr>
        <w:pStyle w:val="Heading1"/>
        <w:spacing w:after="0"/>
        <w:ind w:left="118"/>
      </w:pPr>
      <w:r>
        <w:t>Table 4: Sector and counterparty limits</w:t>
      </w:r>
      <w:r>
        <w:rPr>
          <w:b w:val="0"/>
        </w:rPr>
        <w:t xml:space="preserve"> </w:t>
      </w:r>
    </w:p>
    <w:tbl>
      <w:tblPr>
        <w:tblStyle w:val="TableGrid"/>
        <w:tblW w:w="9360" w:type="dxa"/>
        <w:tblInd w:w="0" w:type="dxa"/>
        <w:tblCellMar>
          <w:top w:w="51" w:type="dxa"/>
          <w:left w:w="108" w:type="dxa"/>
          <w:right w:w="66" w:type="dxa"/>
        </w:tblCellMar>
        <w:tblLook w:val="04A0" w:firstRow="1" w:lastRow="0" w:firstColumn="1" w:lastColumn="0" w:noHBand="0" w:noVBand="1"/>
      </w:tblPr>
      <w:tblGrid>
        <w:gridCol w:w="4460"/>
        <w:gridCol w:w="1634"/>
        <w:gridCol w:w="1632"/>
        <w:gridCol w:w="1634"/>
      </w:tblGrid>
      <w:tr w:rsidR="005345BC" w14:paraId="39856CDE" w14:textId="77777777">
        <w:trPr>
          <w:trHeight w:val="602"/>
        </w:trPr>
        <w:tc>
          <w:tcPr>
            <w:tcW w:w="4459" w:type="dxa"/>
            <w:tcBorders>
              <w:top w:val="single" w:sz="8" w:space="0" w:color="000000"/>
              <w:left w:val="single" w:sz="8" w:space="0" w:color="000000"/>
              <w:bottom w:val="single" w:sz="8" w:space="0" w:color="000000"/>
              <w:right w:val="single" w:sz="8" w:space="0" w:color="000000"/>
            </w:tcBorders>
          </w:tcPr>
          <w:p w14:paraId="7B62B18A" w14:textId="77777777" w:rsidR="005345BC" w:rsidRDefault="00F979FB">
            <w:pPr>
              <w:spacing w:after="0" w:line="259" w:lineRule="auto"/>
              <w:ind w:left="0" w:firstLine="0"/>
            </w:pPr>
            <w:r>
              <w:rPr>
                <w:b/>
                <w:sz w:val="22"/>
              </w:rPr>
              <w:t>Sector</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1441E250" w14:textId="77777777" w:rsidR="005345BC" w:rsidRDefault="00F979FB">
            <w:pPr>
              <w:spacing w:after="0" w:line="259" w:lineRule="auto"/>
              <w:ind w:left="0" w:right="43" w:firstLine="0"/>
              <w:jc w:val="center"/>
            </w:pPr>
            <w:r>
              <w:rPr>
                <w:b/>
                <w:sz w:val="22"/>
              </w:rPr>
              <w:t>Time limit</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3E93CF2F" w14:textId="77777777" w:rsidR="005345BC" w:rsidRDefault="00F979FB">
            <w:pPr>
              <w:spacing w:after="28" w:line="259" w:lineRule="auto"/>
              <w:ind w:left="17" w:firstLine="0"/>
            </w:pPr>
            <w:r>
              <w:rPr>
                <w:b/>
                <w:sz w:val="22"/>
              </w:rPr>
              <w:t xml:space="preserve">Counterparty </w:t>
            </w:r>
          </w:p>
          <w:p w14:paraId="478019C9" w14:textId="77777777" w:rsidR="005345BC" w:rsidRDefault="00F979FB">
            <w:pPr>
              <w:spacing w:after="0" w:line="259" w:lineRule="auto"/>
              <w:ind w:left="0" w:right="41" w:firstLine="0"/>
              <w:jc w:val="center"/>
            </w:pPr>
            <w:r>
              <w:rPr>
                <w:b/>
                <w:sz w:val="22"/>
              </w:rPr>
              <w:t>limit</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186A1A73" w14:textId="77777777" w:rsidR="005345BC" w:rsidRDefault="00F979FB">
            <w:pPr>
              <w:spacing w:after="0" w:line="259" w:lineRule="auto"/>
              <w:ind w:left="0" w:right="46" w:firstLine="0"/>
              <w:jc w:val="center"/>
            </w:pPr>
            <w:r>
              <w:rPr>
                <w:b/>
                <w:sz w:val="22"/>
              </w:rPr>
              <w:t>Sector limit</w:t>
            </w:r>
            <w:r>
              <w:t xml:space="preserve"> </w:t>
            </w:r>
          </w:p>
        </w:tc>
      </w:tr>
      <w:tr w:rsidR="005345BC" w14:paraId="025B3CAF"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4EAE583D" w14:textId="77777777" w:rsidR="005345BC" w:rsidRDefault="00F979FB">
            <w:pPr>
              <w:spacing w:after="0" w:line="259" w:lineRule="auto"/>
              <w:ind w:left="0" w:firstLine="0"/>
            </w:pPr>
            <w:r>
              <w:rPr>
                <w:sz w:val="22"/>
              </w:rPr>
              <w:t>The UK Government</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117C02F7" w14:textId="77777777" w:rsidR="005345BC" w:rsidRDefault="00F979FB">
            <w:pPr>
              <w:spacing w:after="0" w:line="259" w:lineRule="auto"/>
              <w:ind w:left="0" w:right="45" w:firstLine="0"/>
              <w:jc w:val="center"/>
            </w:pPr>
            <w:r>
              <w:rPr>
                <w:sz w:val="22"/>
              </w:rPr>
              <w:t>30 years</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5D8A794C" w14:textId="77777777" w:rsidR="005345BC" w:rsidRDefault="00F979FB">
            <w:pPr>
              <w:spacing w:after="0" w:line="259" w:lineRule="auto"/>
              <w:ind w:left="0" w:right="42" w:firstLine="0"/>
              <w:jc w:val="center"/>
            </w:pPr>
            <w:r>
              <w:rPr>
                <w:sz w:val="22"/>
              </w:rPr>
              <w:t>Unlimited</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45C41F6" w14:textId="77777777" w:rsidR="005345BC" w:rsidRDefault="00F979FB">
            <w:pPr>
              <w:spacing w:after="0" w:line="259" w:lineRule="auto"/>
              <w:ind w:left="0" w:right="46" w:firstLine="0"/>
              <w:jc w:val="center"/>
            </w:pPr>
            <w:r>
              <w:rPr>
                <w:sz w:val="22"/>
              </w:rPr>
              <w:t>N/A</w:t>
            </w:r>
            <w:r>
              <w:t xml:space="preserve"> </w:t>
            </w:r>
          </w:p>
        </w:tc>
      </w:tr>
      <w:tr w:rsidR="005345BC" w14:paraId="372C0513" w14:textId="77777777">
        <w:trPr>
          <w:trHeight w:val="602"/>
        </w:trPr>
        <w:tc>
          <w:tcPr>
            <w:tcW w:w="4459" w:type="dxa"/>
            <w:tcBorders>
              <w:top w:val="single" w:sz="8" w:space="0" w:color="000000"/>
              <w:left w:val="single" w:sz="8" w:space="0" w:color="000000"/>
              <w:bottom w:val="single" w:sz="8" w:space="0" w:color="000000"/>
              <w:right w:val="single" w:sz="8" w:space="0" w:color="000000"/>
            </w:tcBorders>
          </w:tcPr>
          <w:p w14:paraId="0133AF8A" w14:textId="77777777" w:rsidR="005345BC" w:rsidRDefault="00F979FB">
            <w:pPr>
              <w:spacing w:after="0" w:line="259" w:lineRule="auto"/>
              <w:ind w:left="0" w:firstLine="0"/>
            </w:pPr>
            <w:r>
              <w:rPr>
                <w:sz w:val="22"/>
              </w:rPr>
              <w:t>Local authorities &amp; other government entities</w:t>
            </w:r>
            <w:r>
              <w:t xml:space="preserve"> </w:t>
            </w:r>
          </w:p>
        </w:tc>
        <w:tc>
          <w:tcPr>
            <w:tcW w:w="1634" w:type="dxa"/>
            <w:tcBorders>
              <w:top w:val="single" w:sz="8" w:space="0" w:color="000000"/>
              <w:left w:val="single" w:sz="8" w:space="0" w:color="000000"/>
              <w:bottom w:val="single" w:sz="8" w:space="0" w:color="000000"/>
              <w:right w:val="single" w:sz="8" w:space="0" w:color="000000"/>
            </w:tcBorders>
            <w:vAlign w:val="center"/>
          </w:tcPr>
          <w:p w14:paraId="36E1E9D2" w14:textId="77777777" w:rsidR="005345BC" w:rsidRDefault="00F979FB">
            <w:pPr>
              <w:spacing w:after="0" w:line="259" w:lineRule="auto"/>
              <w:ind w:left="0" w:right="45" w:firstLine="0"/>
              <w:jc w:val="center"/>
            </w:pPr>
            <w:r>
              <w:rPr>
                <w:sz w:val="22"/>
              </w:rPr>
              <w:t>25 years</w:t>
            </w:r>
            <w:r>
              <w:t xml:space="preserve"> </w:t>
            </w:r>
          </w:p>
        </w:tc>
        <w:tc>
          <w:tcPr>
            <w:tcW w:w="1632" w:type="dxa"/>
            <w:tcBorders>
              <w:top w:val="single" w:sz="8" w:space="0" w:color="000000"/>
              <w:left w:val="single" w:sz="8" w:space="0" w:color="000000"/>
              <w:bottom w:val="single" w:sz="8" w:space="0" w:color="000000"/>
              <w:right w:val="single" w:sz="8" w:space="0" w:color="000000"/>
            </w:tcBorders>
            <w:vAlign w:val="center"/>
          </w:tcPr>
          <w:p w14:paraId="13D3FFF7" w14:textId="77777777" w:rsidR="005345BC" w:rsidRDefault="00F979FB">
            <w:pPr>
              <w:spacing w:after="0" w:line="259" w:lineRule="auto"/>
              <w:ind w:left="0" w:right="43" w:firstLine="0"/>
              <w:jc w:val="center"/>
            </w:pPr>
            <w:r>
              <w:rPr>
                <w:sz w:val="22"/>
              </w:rPr>
              <w:t>£18m</w:t>
            </w:r>
            <w:r>
              <w:t xml:space="preserve"> </w:t>
            </w:r>
          </w:p>
        </w:tc>
        <w:tc>
          <w:tcPr>
            <w:tcW w:w="1634" w:type="dxa"/>
            <w:tcBorders>
              <w:top w:val="single" w:sz="8" w:space="0" w:color="000000"/>
              <w:left w:val="single" w:sz="8" w:space="0" w:color="000000"/>
              <w:bottom w:val="single" w:sz="8" w:space="0" w:color="000000"/>
              <w:right w:val="single" w:sz="8" w:space="0" w:color="000000"/>
            </w:tcBorders>
            <w:vAlign w:val="center"/>
          </w:tcPr>
          <w:p w14:paraId="470F75EE" w14:textId="77777777" w:rsidR="005345BC" w:rsidRDefault="00F979FB">
            <w:pPr>
              <w:spacing w:after="0" w:line="259" w:lineRule="auto"/>
              <w:ind w:left="0" w:right="45" w:firstLine="0"/>
              <w:jc w:val="center"/>
            </w:pPr>
            <w:r>
              <w:rPr>
                <w:sz w:val="22"/>
              </w:rPr>
              <w:t>Unlimited</w:t>
            </w:r>
            <w:r>
              <w:t xml:space="preserve"> </w:t>
            </w:r>
          </w:p>
        </w:tc>
      </w:tr>
      <w:tr w:rsidR="005345BC" w14:paraId="1324A093" w14:textId="77777777">
        <w:trPr>
          <w:trHeight w:val="408"/>
        </w:trPr>
        <w:tc>
          <w:tcPr>
            <w:tcW w:w="4459" w:type="dxa"/>
            <w:tcBorders>
              <w:top w:val="single" w:sz="8" w:space="0" w:color="000000"/>
              <w:left w:val="single" w:sz="8" w:space="0" w:color="000000"/>
              <w:bottom w:val="single" w:sz="8" w:space="0" w:color="000000"/>
              <w:right w:val="single" w:sz="8" w:space="0" w:color="000000"/>
            </w:tcBorders>
          </w:tcPr>
          <w:p w14:paraId="2ECB8D09" w14:textId="77777777" w:rsidR="005345BC" w:rsidRDefault="00F979FB">
            <w:pPr>
              <w:spacing w:after="0" w:line="259" w:lineRule="auto"/>
              <w:ind w:left="0" w:firstLine="0"/>
            </w:pPr>
            <w:r>
              <w:rPr>
                <w:sz w:val="22"/>
              </w:rPr>
              <w:t>Secured investments *</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51EE51A8" w14:textId="77777777" w:rsidR="005345BC" w:rsidRDefault="00F979FB">
            <w:pPr>
              <w:spacing w:after="0" w:line="259" w:lineRule="auto"/>
              <w:ind w:left="0" w:right="45" w:firstLine="0"/>
              <w:jc w:val="center"/>
            </w:pPr>
            <w:r>
              <w:rPr>
                <w:sz w:val="22"/>
              </w:rPr>
              <w:t>25 years</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3EBF8D7F" w14:textId="77777777" w:rsidR="005345BC" w:rsidRDefault="00F979FB">
            <w:pPr>
              <w:spacing w:after="0" w:line="259" w:lineRule="auto"/>
              <w:ind w:left="0" w:right="43" w:firstLine="0"/>
              <w:jc w:val="center"/>
            </w:pPr>
            <w:r>
              <w:rPr>
                <w:sz w:val="22"/>
              </w:rPr>
              <w:t>£18m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55A41774" w14:textId="77777777" w:rsidR="005345BC" w:rsidRDefault="00F979FB">
            <w:pPr>
              <w:spacing w:after="0" w:line="259" w:lineRule="auto"/>
              <w:ind w:left="0" w:right="45" w:firstLine="0"/>
              <w:jc w:val="center"/>
            </w:pPr>
            <w:r>
              <w:rPr>
                <w:sz w:val="22"/>
              </w:rPr>
              <w:t>Unlimited</w:t>
            </w:r>
            <w:r>
              <w:t xml:space="preserve"> </w:t>
            </w:r>
          </w:p>
        </w:tc>
      </w:tr>
      <w:tr w:rsidR="005345BC" w14:paraId="701DED4A"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7F30DC4C" w14:textId="77777777" w:rsidR="005345BC" w:rsidRDefault="00F979FB">
            <w:pPr>
              <w:spacing w:after="0" w:line="259" w:lineRule="auto"/>
              <w:ind w:left="0" w:firstLine="0"/>
            </w:pPr>
            <w:r>
              <w:rPr>
                <w:sz w:val="22"/>
              </w:rPr>
              <w:t>Banks (unsecured) *</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108058F5" w14:textId="77777777" w:rsidR="005345BC" w:rsidRDefault="00F979FB">
            <w:pPr>
              <w:spacing w:after="0" w:line="259" w:lineRule="auto"/>
              <w:ind w:left="0" w:right="43" w:firstLine="0"/>
              <w:jc w:val="center"/>
            </w:pPr>
            <w:r>
              <w:rPr>
                <w:sz w:val="22"/>
              </w:rPr>
              <w:t>13 months</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26E16089" w14:textId="77777777" w:rsidR="005345BC" w:rsidRDefault="00F979FB">
            <w:pPr>
              <w:spacing w:after="0" w:line="259" w:lineRule="auto"/>
              <w:ind w:left="0" w:right="41" w:firstLine="0"/>
              <w:jc w:val="center"/>
            </w:pPr>
            <w:r>
              <w:rPr>
                <w:sz w:val="22"/>
              </w:rPr>
              <w:t>£9m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F411DB8" w14:textId="77777777" w:rsidR="005345BC" w:rsidRDefault="00F979FB">
            <w:pPr>
              <w:spacing w:after="0" w:line="259" w:lineRule="auto"/>
              <w:ind w:left="0" w:right="45" w:firstLine="0"/>
              <w:jc w:val="center"/>
            </w:pPr>
            <w:r>
              <w:rPr>
                <w:sz w:val="22"/>
              </w:rPr>
              <w:t>Unlimited</w:t>
            </w:r>
            <w:r>
              <w:t xml:space="preserve"> </w:t>
            </w:r>
          </w:p>
        </w:tc>
      </w:tr>
      <w:tr w:rsidR="005345BC" w14:paraId="6F5806A4"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47251ABB" w14:textId="77777777" w:rsidR="005345BC" w:rsidRDefault="00F979FB">
            <w:pPr>
              <w:spacing w:after="0" w:line="259" w:lineRule="auto"/>
              <w:ind w:left="0" w:firstLine="0"/>
            </w:pPr>
            <w:r>
              <w:rPr>
                <w:sz w:val="22"/>
              </w:rPr>
              <w:t>Building societies (unsecured) *</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757F52AB" w14:textId="77777777" w:rsidR="005345BC" w:rsidRDefault="00F979FB">
            <w:pPr>
              <w:spacing w:after="0" w:line="259" w:lineRule="auto"/>
              <w:ind w:left="0" w:right="43" w:firstLine="0"/>
              <w:jc w:val="center"/>
            </w:pPr>
            <w:r>
              <w:rPr>
                <w:sz w:val="22"/>
              </w:rPr>
              <w:t>13 months</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3093690D" w14:textId="77777777" w:rsidR="005345BC" w:rsidRDefault="00F979FB">
            <w:pPr>
              <w:spacing w:after="0" w:line="259" w:lineRule="auto"/>
              <w:ind w:left="0" w:right="41" w:firstLine="0"/>
              <w:jc w:val="center"/>
            </w:pPr>
            <w:r>
              <w:rPr>
                <w:sz w:val="22"/>
              </w:rPr>
              <w:t>£9m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231E62D" w14:textId="77777777" w:rsidR="005345BC" w:rsidRDefault="00F979FB">
            <w:pPr>
              <w:spacing w:after="0" w:line="259" w:lineRule="auto"/>
              <w:ind w:left="0" w:right="46" w:firstLine="0"/>
              <w:jc w:val="center"/>
            </w:pPr>
            <w:r>
              <w:rPr>
                <w:sz w:val="22"/>
              </w:rPr>
              <w:t>£18m</w:t>
            </w:r>
            <w:r>
              <w:t xml:space="preserve"> </w:t>
            </w:r>
          </w:p>
        </w:tc>
      </w:tr>
      <w:tr w:rsidR="005345BC" w14:paraId="45C2D809"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1F03A78F" w14:textId="77777777" w:rsidR="005345BC" w:rsidRDefault="00F979FB">
            <w:pPr>
              <w:spacing w:after="0" w:line="259" w:lineRule="auto"/>
              <w:ind w:left="0" w:firstLine="0"/>
            </w:pPr>
            <w:r>
              <w:rPr>
                <w:sz w:val="22"/>
              </w:rPr>
              <w:t>Registered providers (unsecured) *</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6A3FD4AA" w14:textId="77777777" w:rsidR="005345BC" w:rsidRDefault="00F979FB">
            <w:pPr>
              <w:spacing w:after="0" w:line="259" w:lineRule="auto"/>
              <w:ind w:left="0" w:right="47" w:firstLine="0"/>
              <w:jc w:val="center"/>
            </w:pPr>
            <w:r>
              <w:rPr>
                <w:sz w:val="22"/>
              </w:rPr>
              <w:t>5 years</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2DCE750C" w14:textId="77777777" w:rsidR="005345BC" w:rsidRDefault="00F979FB">
            <w:pPr>
              <w:spacing w:after="0" w:line="259" w:lineRule="auto"/>
              <w:ind w:left="0" w:right="41" w:firstLine="0"/>
              <w:jc w:val="center"/>
            </w:pPr>
            <w:r>
              <w:rPr>
                <w:sz w:val="22"/>
              </w:rPr>
              <w:t>£9m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646D076D" w14:textId="77777777" w:rsidR="005345BC" w:rsidRDefault="00F979FB">
            <w:pPr>
              <w:spacing w:after="0" w:line="259" w:lineRule="auto"/>
              <w:ind w:left="0" w:right="46" w:firstLine="0"/>
              <w:jc w:val="center"/>
            </w:pPr>
            <w:r>
              <w:rPr>
                <w:sz w:val="22"/>
              </w:rPr>
              <w:t>£45m</w:t>
            </w:r>
            <w:r>
              <w:t xml:space="preserve"> </w:t>
            </w:r>
          </w:p>
        </w:tc>
      </w:tr>
      <w:tr w:rsidR="005345BC" w14:paraId="51760ABC"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5EE69946" w14:textId="77777777" w:rsidR="005345BC" w:rsidRDefault="00F979FB">
            <w:pPr>
              <w:spacing w:after="0" w:line="259" w:lineRule="auto"/>
              <w:ind w:left="0" w:firstLine="0"/>
            </w:pPr>
            <w:r>
              <w:rPr>
                <w:sz w:val="22"/>
              </w:rPr>
              <w:t>Money market funds *</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4F93019F" w14:textId="77777777" w:rsidR="005345BC" w:rsidRDefault="00F979FB">
            <w:pPr>
              <w:spacing w:after="0" w:line="259" w:lineRule="auto"/>
              <w:ind w:left="0" w:right="46" w:firstLine="0"/>
              <w:jc w:val="center"/>
            </w:pPr>
            <w:r>
              <w:rPr>
                <w:sz w:val="22"/>
              </w:rPr>
              <w:t>N/A</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55B21FE1" w14:textId="77777777" w:rsidR="005345BC" w:rsidRDefault="00F979FB">
            <w:pPr>
              <w:spacing w:after="0" w:line="259" w:lineRule="auto"/>
              <w:ind w:left="0" w:right="43" w:firstLine="0"/>
              <w:jc w:val="center"/>
            </w:pPr>
            <w:r>
              <w:rPr>
                <w:sz w:val="22"/>
              </w:rPr>
              <w:t>£18m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D7DE2E4" w14:textId="77777777" w:rsidR="005345BC" w:rsidRDefault="00F979FB">
            <w:pPr>
              <w:spacing w:after="0" w:line="259" w:lineRule="auto"/>
              <w:ind w:left="0" w:right="45" w:firstLine="0"/>
              <w:jc w:val="center"/>
            </w:pPr>
            <w:r>
              <w:rPr>
                <w:sz w:val="22"/>
              </w:rPr>
              <w:t>Unlimited</w:t>
            </w:r>
            <w:r>
              <w:t xml:space="preserve"> </w:t>
            </w:r>
          </w:p>
        </w:tc>
      </w:tr>
      <w:tr w:rsidR="005345BC" w14:paraId="0F346834" w14:textId="77777777">
        <w:trPr>
          <w:trHeight w:val="410"/>
        </w:trPr>
        <w:tc>
          <w:tcPr>
            <w:tcW w:w="4459" w:type="dxa"/>
            <w:tcBorders>
              <w:top w:val="single" w:sz="8" w:space="0" w:color="000000"/>
              <w:left w:val="single" w:sz="8" w:space="0" w:color="000000"/>
              <w:bottom w:val="single" w:sz="8" w:space="0" w:color="000000"/>
              <w:right w:val="single" w:sz="8" w:space="0" w:color="000000"/>
            </w:tcBorders>
          </w:tcPr>
          <w:p w14:paraId="3886BA32" w14:textId="77777777" w:rsidR="005345BC" w:rsidRDefault="00F979FB">
            <w:pPr>
              <w:spacing w:after="0" w:line="259" w:lineRule="auto"/>
              <w:ind w:left="0" w:firstLine="0"/>
            </w:pPr>
            <w:r>
              <w:rPr>
                <w:sz w:val="22"/>
              </w:rPr>
              <w:t>Strategic pooled funds</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23A1D939" w14:textId="77777777" w:rsidR="005345BC" w:rsidRDefault="00F979FB">
            <w:pPr>
              <w:spacing w:after="0" w:line="259" w:lineRule="auto"/>
              <w:ind w:left="0" w:right="46" w:firstLine="0"/>
              <w:jc w:val="center"/>
            </w:pPr>
            <w:r>
              <w:rPr>
                <w:sz w:val="22"/>
              </w:rPr>
              <w:t>N/A</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13171702" w14:textId="77777777" w:rsidR="005345BC" w:rsidRDefault="00F979FB">
            <w:pPr>
              <w:spacing w:after="0" w:line="259" w:lineRule="auto"/>
              <w:ind w:left="0" w:right="43" w:firstLine="0"/>
              <w:jc w:val="center"/>
            </w:pPr>
            <w:r>
              <w:rPr>
                <w:sz w:val="22"/>
              </w:rPr>
              <w:t>£18m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77DA5D26" w14:textId="77777777" w:rsidR="005345BC" w:rsidRDefault="00F979FB">
            <w:pPr>
              <w:spacing w:after="0" w:line="259" w:lineRule="auto"/>
              <w:ind w:left="0" w:right="46" w:firstLine="0"/>
              <w:jc w:val="center"/>
            </w:pPr>
            <w:r>
              <w:rPr>
                <w:sz w:val="22"/>
              </w:rPr>
              <w:t>£90m</w:t>
            </w:r>
            <w:r>
              <w:t xml:space="preserve"> </w:t>
            </w:r>
          </w:p>
        </w:tc>
      </w:tr>
      <w:tr w:rsidR="005345BC" w14:paraId="1C5FB458" w14:textId="77777777">
        <w:trPr>
          <w:trHeight w:val="408"/>
        </w:trPr>
        <w:tc>
          <w:tcPr>
            <w:tcW w:w="4459" w:type="dxa"/>
            <w:tcBorders>
              <w:top w:val="single" w:sz="8" w:space="0" w:color="000000"/>
              <w:left w:val="single" w:sz="8" w:space="0" w:color="000000"/>
              <w:bottom w:val="single" w:sz="8" w:space="0" w:color="000000"/>
              <w:right w:val="single" w:sz="8" w:space="0" w:color="000000"/>
            </w:tcBorders>
          </w:tcPr>
          <w:p w14:paraId="688E4DDB" w14:textId="77777777" w:rsidR="005345BC" w:rsidRDefault="00F979FB">
            <w:pPr>
              <w:spacing w:after="0" w:line="259" w:lineRule="auto"/>
              <w:ind w:left="0" w:firstLine="0"/>
            </w:pPr>
            <w:r>
              <w:rPr>
                <w:sz w:val="22"/>
              </w:rPr>
              <w:t>Real estate investment trusts</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364DC8E3" w14:textId="77777777" w:rsidR="005345BC" w:rsidRDefault="00F979FB">
            <w:pPr>
              <w:spacing w:after="0" w:line="259" w:lineRule="auto"/>
              <w:ind w:left="0" w:right="46" w:firstLine="0"/>
              <w:jc w:val="center"/>
            </w:pPr>
            <w:r>
              <w:rPr>
                <w:sz w:val="22"/>
              </w:rPr>
              <w:t>N/A</w:t>
            </w:r>
            <w:r>
              <w:t xml:space="preserve"> </w:t>
            </w:r>
          </w:p>
        </w:tc>
        <w:tc>
          <w:tcPr>
            <w:tcW w:w="1632" w:type="dxa"/>
            <w:tcBorders>
              <w:top w:val="single" w:sz="8" w:space="0" w:color="000000"/>
              <w:left w:val="single" w:sz="8" w:space="0" w:color="000000"/>
              <w:bottom w:val="single" w:sz="8" w:space="0" w:color="000000"/>
              <w:right w:val="single" w:sz="8" w:space="0" w:color="000000"/>
            </w:tcBorders>
          </w:tcPr>
          <w:p w14:paraId="61208FBE" w14:textId="77777777" w:rsidR="005345BC" w:rsidRDefault="00F979FB">
            <w:pPr>
              <w:spacing w:after="0" w:line="259" w:lineRule="auto"/>
              <w:ind w:left="0" w:right="43" w:firstLine="0"/>
              <w:jc w:val="center"/>
            </w:pPr>
            <w:r>
              <w:rPr>
                <w:sz w:val="22"/>
              </w:rPr>
              <w:t>£18m</w:t>
            </w:r>
            <w:r>
              <w:t xml:space="preserve"> </w:t>
            </w:r>
          </w:p>
        </w:tc>
        <w:tc>
          <w:tcPr>
            <w:tcW w:w="1634" w:type="dxa"/>
            <w:tcBorders>
              <w:top w:val="single" w:sz="8" w:space="0" w:color="000000"/>
              <w:left w:val="single" w:sz="8" w:space="0" w:color="000000"/>
              <w:bottom w:val="single" w:sz="8" w:space="0" w:color="000000"/>
              <w:right w:val="single" w:sz="8" w:space="0" w:color="000000"/>
            </w:tcBorders>
          </w:tcPr>
          <w:p w14:paraId="39375FB7" w14:textId="77777777" w:rsidR="005345BC" w:rsidRDefault="00F979FB">
            <w:pPr>
              <w:spacing w:after="0" w:line="259" w:lineRule="auto"/>
              <w:ind w:left="0" w:right="46" w:firstLine="0"/>
              <w:jc w:val="center"/>
            </w:pPr>
            <w:r>
              <w:rPr>
                <w:sz w:val="22"/>
              </w:rPr>
              <w:t>£45m</w:t>
            </w:r>
            <w:r>
              <w:t xml:space="preserve"> </w:t>
            </w:r>
          </w:p>
        </w:tc>
      </w:tr>
      <w:tr w:rsidR="005345BC" w14:paraId="71C4601D" w14:textId="77777777">
        <w:trPr>
          <w:trHeight w:val="413"/>
        </w:trPr>
        <w:tc>
          <w:tcPr>
            <w:tcW w:w="4459" w:type="dxa"/>
            <w:tcBorders>
              <w:top w:val="single" w:sz="8" w:space="0" w:color="000000"/>
              <w:left w:val="single" w:sz="8" w:space="0" w:color="000000"/>
              <w:bottom w:val="single" w:sz="8" w:space="0" w:color="000000"/>
              <w:right w:val="single" w:sz="8" w:space="0" w:color="000000"/>
            </w:tcBorders>
            <w:vAlign w:val="center"/>
          </w:tcPr>
          <w:p w14:paraId="1E9644AD" w14:textId="77777777" w:rsidR="005345BC" w:rsidRDefault="00F979FB">
            <w:pPr>
              <w:spacing w:after="0" w:line="259" w:lineRule="auto"/>
              <w:ind w:left="0" w:firstLine="0"/>
            </w:pPr>
            <w:r>
              <w:rPr>
                <w:sz w:val="22"/>
              </w:rPr>
              <w:t>Other investments *</w:t>
            </w:r>
            <w:r>
              <w:t xml:space="preserve"> </w:t>
            </w:r>
          </w:p>
        </w:tc>
        <w:tc>
          <w:tcPr>
            <w:tcW w:w="1634" w:type="dxa"/>
            <w:tcBorders>
              <w:top w:val="single" w:sz="8" w:space="0" w:color="000000"/>
              <w:left w:val="single" w:sz="8" w:space="0" w:color="000000"/>
              <w:bottom w:val="single" w:sz="8" w:space="0" w:color="000000"/>
              <w:right w:val="single" w:sz="8" w:space="0" w:color="000000"/>
            </w:tcBorders>
            <w:vAlign w:val="center"/>
          </w:tcPr>
          <w:p w14:paraId="05D556E0" w14:textId="77777777" w:rsidR="005345BC" w:rsidRDefault="00F979FB">
            <w:pPr>
              <w:spacing w:after="0" w:line="259" w:lineRule="auto"/>
              <w:ind w:left="0" w:right="47" w:firstLine="0"/>
              <w:jc w:val="center"/>
            </w:pPr>
            <w:r>
              <w:rPr>
                <w:sz w:val="22"/>
              </w:rPr>
              <w:t>5 years</w:t>
            </w:r>
            <w:r>
              <w:t xml:space="preserve"> </w:t>
            </w:r>
          </w:p>
        </w:tc>
        <w:tc>
          <w:tcPr>
            <w:tcW w:w="1632" w:type="dxa"/>
            <w:tcBorders>
              <w:top w:val="single" w:sz="8" w:space="0" w:color="000000"/>
              <w:left w:val="single" w:sz="8" w:space="0" w:color="000000"/>
              <w:bottom w:val="single" w:sz="8" w:space="0" w:color="000000"/>
              <w:right w:val="single" w:sz="8" w:space="0" w:color="000000"/>
            </w:tcBorders>
            <w:vAlign w:val="center"/>
          </w:tcPr>
          <w:p w14:paraId="6472816D" w14:textId="77777777" w:rsidR="005345BC" w:rsidRDefault="00F979FB">
            <w:pPr>
              <w:spacing w:after="0" w:line="259" w:lineRule="auto"/>
              <w:ind w:left="0" w:right="41" w:firstLine="0"/>
              <w:jc w:val="center"/>
            </w:pPr>
            <w:r>
              <w:rPr>
                <w:sz w:val="22"/>
              </w:rPr>
              <w:t>£9m</w:t>
            </w:r>
            <w:r>
              <w:t xml:space="preserve"> </w:t>
            </w:r>
          </w:p>
        </w:tc>
        <w:tc>
          <w:tcPr>
            <w:tcW w:w="1634" w:type="dxa"/>
            <w:tcBorders>
              <w:top w:val="single" w:sz="8" w:space="0" w:color="000000"/>
              <w:left w:val="single" w:sz="8" w:space="0" w:color="000000"/>
              <w:bottom w:val="single" w:sz="8" w:space="0" w:color="000000"/>
              <w:right w:val="single" w:sz="8" w:space="0" w:color="000000"/>
            </w:tcBorders>
            <w:vAlign w:val="center"/>
          </w:tcPr>
          <w:p w14:paraId="17DC1954" w14:textId="77777777" w:rsidR="005345BC" w:rsidRDefault="00F979FB">
            <w:pPr>
              <w:spacing w:after="0" w:line="259" w:lineRule="auto"/>
              <w:ind w:left="0" w:right="46" w:firstLine="0"/>
              <w:jc w:val="center"/>
            </w:pPr>
            <w:r>
              <w:rPr>
                <w:sz w:val="22"/>
              </w:rPr>
              <w:t>£18m</w:t>
            </w:r>
            <w:r>
              <w:t xml:space="preserve"> </w:t>
            </w:r>
          </w:p>
        </w:tc>
      </w:tr>
    </w:tbl>
    <w:p w14:paraId="15A82602" w14:textId="77777777" w:rsidR="005345BC" w:rsidRDefault="00F979FB">
      <w:pPr>
        <w:spacing w:after="249"/>
        <w:ind w:left="720" w:right="175" w:firstLine="0"/>
      </w:pPr>
      <w:r>
        <w:t xml:space="preserve">This table must be read in conjunction with the notes below </w:t>
      </w:r>
    </w:p>
    <w:p w14:paraId="6EC6DCBC" w14:textId="77777777" w:rsidR="005345BC" w:rsidRDefault="00F979FB" w:rsidP="008A7646">
      <w:pPr>
        <w:pStyle w:val="Heading1"/>
        <w:ind w:left="0"/>
      </w:pPr>
      <w:r>
        <w:t>* Minimum credit rating</w:t>
      </w:r>
      <w:r>
        <w:rPr>
          <w:b w:val="0"/>
        </w:rPr>
        <w:t xml:space="preserve"> </w:t>
      </w:r>
    </w:p>
    <w:p w14:paraId="5E0F1979" w14:textId="7DAD96A8" w:rsidR="005345BC" w:rsidRDefault="001605E8" w:rsidP="008A7646">
      <w:pPr>
        <w:ind w:left="0" w:right="175" w:hanging="17"/>
      </w:pPr>
      <w:r>
        <w:t>7.</w:t>
      </w:r>
      <w:r w:rsidR="008A7646">
        <w:t xml:space="preserve">22. </w:t>
      </w:r>
      <w:r w:rsidR="00F979FB">
        <w:t xml:space="preserve">Treasury investments in the sectors marked with an asterisk will only be made with entities whose lowest published long-term credit rating is no lower than A-/A3. Where available, the credit rating relevant to the specific investment or class of investment is used, otherwise the counterparty credit rating is used. However, investment decisions are never made solely based on credit ratings, and all other relevant known factors including external advice will be taken into account. </w:t>
      </w:r>
    </w:p>
    <w:p w14:paraId="60467E94" w14:textId="77777777" w:rsidR="001605E8" w:rsidRDefault="001605E8" w:rsidP="008A7646">
      <w:pPr>
        <w:ind w:left="0" w:right="175" w:hanging="17"/>
      </w:pPr>
    </w:p>
    <w:p w14:paraId="35D8A9F4" w14:textId="49FA47EA" w:rsidR="008A7646" w:rsidRDefault="001605E8" w:rsidP="001605E8">
      <w:pPr>
        <w:ind w:left="0" w:right="175" w:hanging="17"/>
      </w:pPr>
      <w:r>
        <w:t>7.</w:t>
      </w:r>
      <w:r w:rsidR="008A7646">
        <w:t xml:space="preserve">23. </w:t>
      </w:r>
      <w:r w:rsidR="00F979FB">
        <w:t xml:space="preserve">For entities without published credit ratings, investments may be made where external advice indicates the entity to be of similar credit quality. </w:t>
      </w:r>
      <w:r>
        <w:br/>
      </w:r>
    </w:p>
    <w:p w14:paraId="53FCC8BC" w14:textId="77777777" w:rsidR="005345BC" w:rsidRDefault="00F979FB" w:rsidP="008A7646">
      <w:pPr>
        <w:pStyle w:val="Heading1"/>
        <w:ind w:left="0"/>
      </w:pPr>
      <w:r>
        <w:t>Government</w:t>
      </w:r>
      <w:r>
        <w:rPr>
          <w:b w:val="0"/>
        </w:rPr>
        <w:t xml:space="preserve"> </w:t>
      </w:r>
    </w:p>
    <w:p w14:paraId="23ADBEFF" w14:textId="2B1286FE" w:rsidR="005345BC" w:rsidRDefault="001605E8" w:rsidP="008A7646">
      <w:pPr>
        <w:ind w:left="0" w:right="175" w:hanging="17"/>
      </w:pPr>
      <w:r>
        <w:t>7.</w:t>
      </w:r>
      <w:r w:rsidR="008A7646">
        <w:t xml:space="preserve">24. </w:t>
      </w:r>
      <w:r w:rsidR="00F979FB">
        <w:t xml:space="preserve">Loans, bonds and bills issued or guaranteed by national governments, regional and local authorities and multilateral development banks.  These investments are not subject to bail-in, and there is generally a lower risk of insolvency, although they are not zero risk.  Investments with the UK Government are deemed to be zero credit risk due to its ability to create additional currency and therefore may be made in unlimited amounts for up to 30 years. </w:t>
      </w:r>
    </w:p>
    <w:p w14:paraId="5B850949" w14:textId="77777777" w:rsidR="008A7646" w:rsidRDefault="008A7646" w:rsidP="008A7646">
      <w:pPr>
        <w:ind w:left="0" w:right="175" w:hanging="17"/>
      </w:pPr>
    </w:p>
    <w:p w14:paraId="19C22EC2" w14:textId="77777777" w:rsidR="005345BC" w:rsidRDefault="00F979FB" w:rsidP="008A7646">
      <w:pPr>
        <w:pStyle w:val="Heading1"/>
        <w:ind w:left="0"/>
      </w:pPr>
      <w:r>
        <w:t>Secured investments</w:t>
      </w:r>
      <w:r>
        <w:rPr>
          <w:b w:val="0"/>
        </w:rPr>
        <w:t xml:space="preserve"> </w:t>
      </w:r>
    </w:p>
    <w:p w14:paraId="498877E8" w14:textId="74D5070C" w:rsidR="005345BC" w:rsidRDefault="001605E8" w:rsidP="008A7646">
      <w:pPr>
        <w:ind w:left="0" w:right="175" w:hanging="17"/>
      </w:pPr>
      <w:r>
        <w:t>7.</w:t>
      </w:r>
      <w:r w:rsidR="008A7646">
        <w:t xml:space="preserve">25. </w:t>
      </w:r>
      <w:r w:rsidR="00F979FB">
        <w:t xml:space="preserve">Investments secured on the borrower’s assets, which limits the potential losses in the event of insolvency. The amount and quality of the security will be a key factor in the investment decision. Covered bonds and reverse repurchase agreements with banks and building societies are exempt from bail-in. Where there is no investment specific credit rating, but the collateral upon which the investment is secured has a credit rating, the higher of the collateral credit rating and the counterparty credit rating will be used. The combined secured and unsecured investments with any one counterparty will not exceed the cash limit for secured investments. </w:t>
      </w:r>
    </w:p>
    <w:p w14:paraId="136CD84D" w14:textId="77777777" w:rsidR="008A7646" w:rsidRDefault="008A7646">
      <w:pPr>
        <w:ind w:left="1435" w:right="175"/>
      </w:pPr>
    </w:p>
    <w:p w14:paraId="51B2AD5B" w14:textId="77777777" w:rsidR="005345BC" w:rsidRDefault="00F979FB" w:rsidP="008A7646">
      <w:pPr>
        <w:pStyle w:val="Heading1"/>
        <w:ind w:left="0"/>
      </w:pPr>
      <w:r>
        <w:t>Banks and building societies (unsecured)</w:t>
      </w:r>
      <w:r>
        <w:rPr>
          <w:b w:val="0"/>
        </w:rPr>
        <w:t xml:space="preserve"> </w:t>
      </w:r>
    </w:p>
    <w:p w14:paraId="4EB15C6A" w14:textId="0F3F1F7A" w:rsidR="005345BC" w:rsidRDefault="001605E8" w:rsidP="008A7646">
      <w:pPr>
        <w:ind w:left="0" w:right="175" w:hanging="17"/>
      </w:pPr>
      <w:r>
        <w:t>7.</w:t>
      </w:r>
      <w:r w:rsidR="008A7646">
        <w:t xml:space="preserve">26. </w:t>
      </w:r>
      <w:r w:rsidR="00F979FB">
        <w:t xml:space="preserve">Accounts, deposits, certificates of deposit and senior unsecured bonds with banks and building societies, other than multilateral development banks.  These investments are subject to the risk of credit loss via a bail-in should the regulator determine that the bank is failing or likely to fail. See below for arrangements relating to operational bank accounts. </w:t>
      </w:r>
    </w:p>
    <w:p w14:paraId="05333EFB" w14:textId="03A756B4" w:rsidR="005345BC" w:rsidRDefault="001605E8" w:rsidP="008A7646">
      <w:pPr>
        <w:pStyle w:val="Heading1"/>
        <w:ind w:left="0"/>
      </w:pPr>
      <w:r>
        <w:br/>
      </w:r>
      <w:r w:rsidR="00F979FB">
        <w:t>Registered providers (unsecured)</w:t>
      </w:r>
      <w:r w:rsidR="00F979FB">
        <w:rPr>
          <w:b w:val="0"/>
        </w:rPr>
        <w:t xml:space="preserve"> </w:t>
      </w:r>
    </w:p>
    <w:p w14:paraId="1A03C8F3" w14:textId="45D0E3CD" w:rsidR="008A7646" w:rsidRDefault="001605E8" w:rsidP="008A7646">
      <w:pPr>
        <w:ind w:left="0" w:right="175" w:hanging="17"/>
      </w:pPr>
      <w:r>
        <w:t>7.</w:t>
      </w:r>
      <w:r w:rsidR="008A7646">
        <w:t xml:space="preserve">27. </w:t>
      </w:r>
      <w:r w:rsidR="00F979FB">
        <w:t xml:space="preserve">Loans and bonds issued by, guaranteed by or secured on the assets of registered providers of social housing and registered social landlords, formerly known as housing associations. These bodies are regulated by the Regulator of Social Housing (in England), the Scottish Housing Regulator, the Welsh Government and the Department for Communities (in Northern Ireland).  As providers of public services, they retain the likelihood of receiving government support if needed. </w:t>
      </w:r>
    </w:p>
    <w:p w14:paraId="1E40DABC" w14:textId="77777777" w:rsidR="005345BC" w:rsidRDefault="00F979FB" w:rsidP="008A7646">
      <w:pPr>
        <w:ind w:left="0" w:right="175" w:hanging="17"/>
      </w:pPr>
      <w:r>
        <w:t xml:space="preserve">  </w:t>
      </w:r>
    </w:p>
    <w:p w14:paraId="39142A93" w14:textId="77777777" w:rsidR="005345BC" w:rsidRDefault="00F979FB" w:rsidP="008A7646">
      <w:pPr>
        <w:pStyle w:val="Heading1"/>
        <w:ind w:left="0"/>
      </w:pPr>
      <w:r>
        <w:t>Money market funds</w:t>
      </w:r>
      <w:r>
        <w:rPr>
          <w:b w:val="0"/>
        </w:rPr>
        <w:t xml:space="preserve"> </w:t>
      </w:r>
    </w:p>
    <w:p w14:paraId="55B21FCB" w14:textId="0ACFEE94" w:rsidR="005345BC" w:rsidRDefault="001605E8" w:rsidP="008A7646">
      <w:pPr>
        <w:ind w:left="0" w:right="175" w:hanging="17"/>
      </w:pPr>
      <w:r>
        <w:t>7.</w:t>
      </w:r>
      <w:r w:rsidR="008A7646">
        <w:t xml:space="preserve">28. </w:t>
      </w:r>
      <w:r w:rsidR="00F979FB">
        <w:t xml:space="preserve">Pooled funds that offer same-day or short notice liquidity and very low or no price volatility by investing in short-term money markets. They have the advantage over bank accounts of providing wide diversification of investment risks, coupled with the services of a professional fund manager in return for a small fee. Although no sector limit applies to money market funds, the PCC will take care to diversify its liquid investments over a variety of providers to ensure access to cash at all times.  </w:t>
      </w:r>
    </w:p>
    <w:p w14:paraId="2D7A9925" w14:textId="77777777" w:rsidR="008A7646" w:rsidRDefault="008A7646" w:rsidP="008A7646">
      <w:pPr>
        <w:ind w:left="0" w:right="175" w:hanging="17"/>
      </w:pPr>
    </w:p>
    <w:p w14:paraId="5351F795" w14:textId="77777777" w:rsidR="005345BC" w:rsidRDefault="00F979FB" w:rsidP="008A7646">
      <w:pPr>
        <w:pStyle w:val="Heading1"/>
        <w:ind w:left="0"/>
      </w:pPr>
      <w:r>
        <w:t>Strategic pooled funds</w:t>
      </w:r>
      <w:r>
        <w:rPr>
          <w:b w:val="0"/>
        </w:rPr>
        <w:t xml:space="preserve"> </w:t>
      </w:r>
    </w:p>
    <w:p w14:paraId="0A93F27D" w14:textId="64FA34F3" w:rsidR="005345BC" w:rsidRDefault="001605E8" w:rsidP="008A7646">
      <w:pPr>
        <w:ind w:left="0" w:right="175" w:hanging="17"/>
      </w:pPr>
      <w:r>
        <w:t>7.</w:t>
      </w:r>
      <w:r w:rsidR="008A7646">
        <w:t xml:space="preserve">29. </w:t>
      </w:r>
      <w:r w:rsidR="00F979FB">
        <w:t xml:space="preserve">Shares or units in diversified investment vehicles consisting of bond, equity and property investments. These funds offer enhanced returns over the longer term but are more volatile in the short term and allow the PCC to diversify into asset classes other than cash without the need to own and manage the underlying investments. This sector also includes cash plus funds which are also a type of pooled fund, but are used for short-term funds, with a lower risk appetite.  Because strategic pooled funds have no defined maturity date, but are available for withdrawal after a notice period; their performance and continued suitability in meeting the PCC’s investment objectives will be monitored regularly.   </w:t>
      </w:r>
    </w:p>
    <w:p w14:paraId="68CA5357" w14:textId="77777777" w:rsidR="008A7646" w:rsidRDefault="008A7646" w:rsidP="008A7646">
      <w:pPr>
        <w:ind w:left="0" w:right="175" w:hanging="17"/>
      </w:pPr>
    </w:p>
    <w:p w14:paraId="34EC17B5" w14:textId="77777777" w:rsidR="005345BC" w:rsidRDefault="00F979FB" w:rsidP="008A7646">
      <w:pPr>
        <w:pStyle w:val="Heading1"/>
        <w:ind w:left="0"/>
      </w:pPr>
      <w:r>
        <w:t>Real estate investment trusts (REITs)</w:t>
      </w:r>
      <w:r>
        <w:rPr>
          <w:b w:val="0"/>
        </w:rPr>
        <w:t xml:space="preserve"> </w:t>
      </w:r>
    </w:p>
    <w:p w14:paraId="60565232" w14:textId="0626AD07" w:rsidR="005345BC" w:rsidRDefault="001605E8" w:rsidP="008A7646">
      <w:pPr>
        <w:ind w:left="0" w:right="175" w:hanging="17"/>
      </w:pPr>
      <w:r>
        <w:t>7.</w:t>
      </w:r>
      <w:r w:rsidR="008A7646">
        <w:t xml:space="preserve">30. </w:t>
      </w:r>
      <w:r w:rsidR="00F979FB">
        <w:t xml:space="preserve">Shares in companies that invest mainly in real estate and pay the majority of their rental income to investors in a similar manner to pooled property funds.  As with property funds, REITs offer enhanced returns over the longer term, but are more volatile especially as the share price reflects changing demand for the shares as well as changes in the value of the underlying properties.  </w:t>
      </w:r>
    </w:p>
    <w:p w14:paraId="6A9C2107" w14:textId="77777777" w:rsidR="008A7646" w:rsidRDefault="008A7646" w:rsidP="008A7646">
      <w:pPr>
        <w:ind w:left="0" w:right="175" w:hanging="17"/>
      </w:pPr>
    </w:p>
    <w:p w14:paraId="02ABF3B8" w14:textId="77777777" w:rsidR="005345BC" w:rsidRDefault="00F979FB" w:rsidP="008A7646">
      <w:pPr>
        <w:pStyle w:val="Heading1"/>
        <w:ind w:left="0"/>
      </w:pPr>
      <w:r>
        <w:t>Other investments</w:t>
      </w:r>
      <w:r>
        <w:rPr>
          <w:b w:val="0"/>
        </w:rPr>
        <w:t xml:space="preserve"> </w:t>
      </w:r>
    </w:p>
    <w:p w14:paraId="19B19C15" w14:textId="324E7E77" w:rsidR="005345BC" w:rsidRDefault="00976EAF" w:rsidP="008A7646">
      <w:pPr>
        <w:ind w:left="0" w:right="175" w:hanging="17"/>
      </w:pPr>
      <w:r>
        <w:t>7.</w:t>
      </w:r>
      <w:r w:rsidR="008A7646">
        <w:t xml:space="preserve">31. </w:t>
      </w:r>
      <w:r w:rsidR="00F979FB">
        <w:t xml:space="preserve">This category covers treasury investments not listed above, for example unsecured corporate bonds and company loans. Non-bank companies cannot be bailed-in but can become insolvent placing the PCC’s investment at risk. </w:t>
      </w:r>
    </w:p>
    <w:p w14:paraId="4DBD9AFC" w14:textId="77777777" w:rsidR="008A7646" w:rsidRDefault="008A7646" w:rsidP="008A7646">
      <w:pPr>
        <w:ind w:left="0" w:right="175" w:hanging="17"/>
      </w:pPr>
    </w:p>
    <w:p w14:paraId="7DEF9FB8" w14:textId="77777777" w:rsidR="005345BC" w:rsidRDefault="00F979FB" w:rsidP="008A7646">
      <w:pPr>
        <w:pStyle w:val="Heading1"/>
        <w:ind w:left="0"/>
      </w:pPr>
      <w:r>
        <w:t>Operational bank accounts</w:t>
      </w:r>
      <w:r>
        <w:rPr>
          <w:b w:val="0"/>
        </w:rPr>
        <w:t xml:space="preserve"> </w:t>
      </w:r>
    </w:p>
    <w:p w14:paraId="6CCF3E71" w14:textId="6AB832EC" w:rsidR="005345BC" w:rsidRDefault="00976EAF" w:rsidP="008A7646">
      <w:pPr>
        <w:ind w:left="0" w:right="175" w:hanging="17"/>
      </w:pPr>
      <w:r>
        <w:t>7.</w:t>
      </w:r>
      <w:r w:rsidR="008A7646">
        <w:t xml:space="preserve">32. </w:t>
      </w:r>
      <w:r w:rsidR="00F979FB">
        <w:t xml:space="preserve">The PCC may incur operational exposures, for example though current accounts, to any UK bank with credit ratings no lower than BBB- and with assets greater than £25 billion.  These are not classed as investments but are still subject to the risk of a bank bail-in, and balances will therefore be kept low.  The PCC’s operational bank account is with National Westminster and aims to keep the overnight balances held in current accounts positive, and as close to £0 as possible.  The Bank of England has stated that in the event of failure, banks with assets greater than £25 billion are more likely to be bailed-in than made insolvent, increasing the chance of the PCC maintaining operational continuity. </w:t>
      </w:r>
    </w:p>
    <w:p w14:paraId="659B64C4" w14:textId="77777777" w:rsidR="008A7646" w:rsidRDefault="008A7646" w:rsidP="008A7646">
      <w:pPr>
        <w:ind w:left="0" w:right="175" w:hanging="17"/>
      </w:pPr>
    </w:p>
    <w:p w14:paraId="1575ACD1" w14:textId="77777777" w:rsidR="005345BC" w:rsidRDefault="00F979FB" w:rsidP="008A7646">
      <w:pPr>
        <w:pStyle w:val="Heading1"/>
        <w:ind w:left="0"/>
      </w:pPr>
      <w:r>
        <w:t>Risk assessment and credit ratings</w:t>
      </w:r>
      <w:r>
        <w:rPr>
          <w:b w:val="0"/>
        </w:rPr>
        <w:t xml:space="preserve"> </w:t>
      </w:r>
    </w:p>
    <w:p w14:paraId="5E7379D5" w14:textId="7C7D3DDC" w:rsidR="005345BC" w:rsidRDefault="00976EAF" w:rsidP="008A7646">
      <w:pPr>
        <w:ind w:left="0" w:right="175" w:hanging="17"/>
      </w:pPr>
      <w:r>
        <w:t>7.</w:t>
      </w:r>
      <w:r w:rsidR="008A7646">
        <w:t xml:space="preserve">33. </w:t>
      </w:r>
      <w:r w:rsidR="00F979FB">
        <w:t xml:space="preserve">Credit ratings are obtained and monitored by the PCC’s treasury advisers, who will notify changes in ratings as they occur. Where an entity has its credit rating downgraded so that it fails to meet the approved investment criteria then: </w:t>
      </w:r>
    </w:p>
    <w:p w14:paraId="0F15CB28" w14:textId="77777777" w:rsidR="005345BC" w:rsidRDefault="00F979FB">
      <w:pPr>
        <w:numPr>
          <w:ilvl w:val="0"/>
          <w:numId w:val="4"/>
        </w:numPr>
        <w:ind w:right="175" w:hanging="360"/>
      </w:pPr>
      <w:r>
        <w:t xml:space="preserve">no new investments will be made, </w:t>
      </w:r>
    </w:p>
    <w:p w14:paraId="521F6ACA" w14:textId="77777777" w:rsidR="005345BC" w:rsidRDefault="00F979FB">
      <w:pPr>
        <w:numPr>
          <w:ilvl w:val="0"/>
          <w:numId w:val="4"/>
        </w:numPr>
        <w:ind w:right="175" w:hanging="360"/>
      </w:pPr>
      <w:r>
        <w:t xml:space="preserve">any existing investments that can be recalled or sold at no cost will be, and </w:t>
      </w:r>
    </w:p>
    <w:p w14:paraId="1A509623" w14:textId="6BBB0D31" w:rsidR="005345BC" w:rsidRDefault="00F979FB">
      <w:pPr>
        <w:numPr>
          <w:ilvl w:val="0"/>
          <w:numId w:val="4"/>
        </w:numPr>
        <w:ind w:right="175" w:hanging="360"/>
      </w:pPr>
      <w:r>
        <w:t xml:space="preserve">full consideration will be given to the recall or sale of all other existing investments with the affected counterparty. </w:t>
      </w:r>
    </w:p>
    <w:p w14:paraId="01F5FCC7" w14:textId="77777777" w:rsidR="00976EAF" w:rsidRDefault="00976EAF" w:rsidP="00976EAF">
      <w:pPr>
        <w:ind w:left="720" w:right="175" w:firstLine="0"/>
      </w:pPr>
    </w:p>
    <w:p w14:paraId="209C6C85" w14:textId="75F2988D" w:rsidR="005345BC" w:rsidRDefault="00976EAF" w:rsidP="008A7646">
      <w:pPr>
        <w:ind w:left="0" w:right="175" w:hanging="17"/>
      </w:pPr>
      <w:r>
        <w:t>7.</w:t>
      </w:r>
      <w:r w:rsidR="008A7646">
        <w:t xml:space="preserve">34. </w:t>
      </w:r>
      <w:r w:rsidR="00F979FB">
        <w:t xml:space="preserve">Where a credit rating agency announces that a credit rating is on review for possible downgrade (also known as “negative watch”) so that it may fall below the approved rating criteria, then only investments that can be withdrawn on the next working day will be made with that organisation until the outcome of the review is announced.  This policy will not apply to negative outlooks, which indicate a long-term direction of travel rather than an imminent change of rating. </w:t>
      </w:r>
    </w:p>
    <w:p w14:paraId="2BFBFFD0" w14:textId="77777777" w:rsidR="008A7646" w:rsidRDefault="008A7646" w:rsidP="008A7646">
      <w:pPr>
        <w:ind w:left="0" w:right="175" w:hanging="17"/>
      </w:pPr>
    </w:p>
    <w:p w14:paraId="7D918BB3" w14:textId="77777777" w:rsidR="005345BC" w:rsidRDefault="00F979FB" w:rsidP="008A7646">
      <w:pPr>
        <w:pStyle w:val="Heading1"/>
        <w:ind w:left="0"/>
      </w:pPr>
      <w:r>
        <w:t>Other Information on the security of investments</w:t>
      </w:r>
      <w:r>
        <w:rPr>
          <w:b w:val="0"/>
        </w:rPr>
        <w:t xml:space="preserve"> </w:t>
      </w:r>
    </w:p>
    <w:p w14:paraId="53A95A9F" w14:textId="5BAFA67E" w:rsidR="005345BC" w:rsidRDefault="00976EAF" w:rsidP="008A7646">
      <w:pPr>
        <w:ind w:left="0" w:right="175" w:hanging="17"/>
      </w:pPr>
      <w:r>
        <w:t>7.</w:t>
      </w:r>
      <w:r w:rsidR="008A7646">
        <w:t>35. T</w:t>
      </w:r>
      <w:r w:rsidR="00F979FB">
        <w:t xml:space="preserve">he PCC understands that credit ratings are good, but not perfect, predictors of investment default.  Full regard will therefore be given to other available information on the credit quality of the organisations in which it invests, including credit default swap prices, financial statements, information on potential government support and reports in the quality financial press and analysis and advice from the PCC’s treasury management adviser.  No investments will be made with an organisation if there are substantive doubts about its credit quality, even though it may otherwise meet the above criteria. </w:t>
      </w:r>
    </w:p>
    <w:p w14:paraId="230664B3" w14:textId="77777777" w:rsidR="008A7646" w:rsidRDefault="008A7646" w:rsidP="008A7646">
      <w:pPr>
        <w:ind w:left="0" w:right="175" w:hanging="17"/>
      </w:pPr>
    </w:p>
    <w:p w14:paraId="4751DFD3" w14:textId="30C65EA9" w:rsidR="005345BC" w:rsidRDefault="00976EAF" w:rsidP="008A7646">
      <w:pPr>
        <w:ind w:left="0" w:right="175" w:hanging="17"/>
      </w:pPr>
      <w:r>
        <w:t>7.</w:t>
      </w:r>
      <w:r w:rsidR="00F979FB">
        <w:t>36.</w:t>
      </w:r>
      <w:r w:rsidR="008A7646">
        <w:t xml:space="preserve"> </w:t>
      </w:r>
      <w:r w:rsidR="00F979FB">
        <w:t xml:space="preserve">When deteriorating financial market conditions affect the creditworthiness of all organisations, as happened in 2008, 2020 and 2022, this is not generally reflected in credit ratings, but can be seen in other market measures.  In these circumstances, the PCC will restrict its investments to those organisations of higher credit quality and reduce the maximum duration of its investments to maintain the required level of security.  The extent of these restrictions will be in line with prevailing financial market conditions.  If these restrictions mean that insufficient commercial organisations of high credit quality are available to invest the PCC’s cash balances, then the surplus will be deposited with the UK Government, via the Debt Management Office, or invested in government treasury bills for example, or with other local authorities.  This will likely lead to investment returns falling but will protect the principal sum invested. </w:t>
      </w:r>
    </w:p>
    <w:p w14:paraId="2B046F5B" w14:textId="77777777" w:rsidR="008A7646" w:rsidRDefault="008A7646" w:rsidP="008A7646">
      <w:pPr>
        <w:ind w:left="0" w:right="175" w:hanging="17"/>
      </w:pPr>
    </w:p>
    <w:p w14:paraId="6430B765" w14:textId="77777777" w:rsidR="005345BC" w:rsidRDefault="00F979FB" w:rsidP="008A7646">
      <w:pPr>
        <w:pStyle w:val="Heading1"/>
        <w:ind w:left="0"/>
      </w:pPr>
      <w:r>
        <w:t>Reputational aspects</w:t>
      </w:r>
      <w:r>
        <w:rPr>
          <w:b w:val="0"/>
        </w:rPr>
        <w:t xml:space="preserve"> </w:t>
      </w:r>
    </w:p>
    <w:p w14:paraId="3BF88684" w14:textId="26C4463E" w:rsidR="005345BC" w:rsidRDefault="00976EAF" w:rsidP="008A7646">
      <w:pPr>
        <w:ind w:left="0" w:right="175" w:hanging="17"/>
      </w:pPr>
      <w:r>
        <w:t>7.37</w:t>
      </w:r>
      <w:r w:rsidR="008A7646">
        <w:t xml:space="preserve">. </w:t>
      </w:r>
      <w:r w:rsidR="00F979FB">
        <w:t xml:space="preserve">The PCC is aware that investment with certain counterparties, while considered secure from a purely financial perspective, may leave it open to criticism, valid or otherwise, that may affect its public reputation, and this risk will therefore be taken into account when making investment decisions. </w:t>
      </w:r>
    </w:p>
    <w:p w14:paraId="484D5436" w14:textId="77777777" w:rsidR="008A7646" w:rsidRDefault="008A7646" w:rsidP="008A7646">
      <w:pPr>
        <w:ind w:left="0" w:right="175" w:hanging="17"/>
      </w:pPr>
    </w:p>
    <w:p w14:paraId="59A488C9" w14:textId="77777777" w:rsidR="005345BC" w:rsidRDefault="00F979FB" w:rsidP="008A7646">
      <w:pPr>
        <w:pStyle w:val="Heading1"/>
        <w:ind w:left="0"/>
      </w:pPr>
      <w:r>
        <w:t>Liquidity management</w:t>
      </w:r>
      <w:r>
        <w:rPr>
          <w:b w:val="0"/>
        </w:rPr>
        <w:t xml:space="preserve"> </w:t>
      </w:r>
    </w:p>
    <w:p w14:paraId="182079D0" w14:textId="28CEBF7A" w:rsidR="005345BC" w:rsidRDefault="00976EAF" w:rsidP="008A7646">
      <w:pPr>
        <w:ind w:left="0" w:right="175" w:hanging="17"/>
      </w:pPr>
      <w:r>
        <w:t xml:space="preserve">7.38. </w:t>
      </w:r>
      <w:r w:rsidR="00F979FB">
        <w:t xml:space="preserve">The PCC has due regard for its future cash flows when determining the maximum period for which funds may prudently be committed.  Historical cash flows are analysed in addition to significant future cash movements, such as payroll, grant income and council tax precept.  Limits on long-term investments are set by reference to the PCC’s medium term financial position (summarised in Table 1) and forecast short-term balances. The Chief Finance Officer will continue to review cashflows and overall reserves and balances throughout the financial year. </w:t>
      </w:r>
    </w:p>
    <w:p w14:paraId="30EDDE88" w14:textId="77777777" w:rsidR="008A7646" w:rsidRDefault="008A7646" w:rsidP="008A7646">
      <w:pPr>
        <w:ind w:left="0" w:right="175" w:hanging="17"/>
      </w:pPr>
    </w:p>
    <w:p w14:paraId="307EC333" w14:textId="663F48AC" w:rsidR="005345BC" w:rsidRDefault="00976EAF" w:rsidP="008A7646">
      <w:pPr>
        <w:ind w:left="0" w:right="175" w:hanging="17"/>
      </w:pPr>
      <w:r>
        <w:t>7.39.</w:t>
      </w:r>
      <w:r w:rsidR="008A7646">
        <w:t xml:space="preserve"> T</w:t>
      </w:r>
      <w:r w:rsidR="00F979FB">
        <w:t xml:space="preserve">he PCC will spread its liquid cash over at least four providers (e.g. bank accounts and money market funds) to ensure that access to cash is maintained in the event of operational difficulties at any one provider, except in cases of extreme market stress whereby the PCC will be able to invest all of its liquid cash in one provider only, being the Debt Management Office. </w:t>
      </w:r>
    </w:p>
    <w:p w14:paraId="6E342D3E" w14:textId="77777777" w:rsidR="00976EAF" w:rsidRDefault="00976EAF" w:rsidP="008A7646">
      <w:pPr>
        <w:pStyle w:val="Heading1"/>
        <w:ind w:left="0"/>
      </w:pPr>
    </w:p>
    <w:p w14:paraId="0A13536C" w14:textId="24D3D8E2" w:rsidR="005345BC" w:rsidRDefault="00F979FB" w:rsidP="008A7646">
      <w:pPr>
        <w:pStyle w:val="Heading1"/>
        <w:ind w:left="0"/>
      </w:pPr>
      <w:r>
        <w:t xml:space="preserve">8. Treasury Management Prudential Indicators </w:t>
      </w:r>
    </w:p>
    <w:p w14:paraId="22740C2F" w14:textId="31DE03DD" w:rsidR="005345BC" w:rsidRDefault="00240A56" w:rsidP="008A7646">
      <w:pPr>
        <w:ind w:left="0" w:right="175" w:hanging="17"/>
      </w:pPr>
      <w:r>
        <w:t>8</w:t>
      </w:r>
      <w:r w:rsidR="008A7646">
        <w:t xml:space="preserve">.1. </w:t>
      </w:r>
      <w:r w:rsidR="00F979FB">
        <w:t xml:space="preserve">The PCC measures and manages its exposures to treasury management risks using the following indicators. </w:t>
      </w:r>
    </w:p>
    <w:p w14:paraId="59043885" w14:textId="77777777" w:rsidR="008A7646" w:rsidRDefault="008A7646" w:rsidP="008A7646">
      <w:pPr>
        <w:ind w:left="0" w:right="175" w:hanging="17"/>
      </w:pPr>
    </w:p>
    <w:p w14:paraId="11F9312B" w14:textId="77777777" w:rsidR="005345BC" w:rsidRDefault="00F979FB" w:rsidP="008A7646">
      <w:pPr>
        <w:pStyle w:val="Heading1"/>
        <w:ind w:left="0"/>
      </w:pPr>
      <w:r>
        <w:t>Interest rate exposures</w:t>
      </w:r>
      <w:r>
        <w:rPr>
          <w:b w:val="0"/>
        </w:rPr>
        <w:t xml:space="preserve"> </w:t>
      </w:r>
    </w:p>
    <w:p w14:paraId="1FDFF2D9" w14:textId="5CEB8DB1" w:rsidR="005345BC" w:rsidRDefault="00240A56" w:rsidP="008A7646">
      <w:pPr>
        <w:ind w:left="0" w:right="175" w:hanging="17"/>
      </w:pPr>
      <w:r>
        <w:t>8.</w:t>
      </w:r>
      <w:r w:rsidR="008A7646">
        <w:t xml:space="preserve">2. </w:t>
      </w:r>
      <w:r w:rsidR="00F979FB">
        <w:t xml:space="preserve">The following indicator shows the sensitivity of the PCC’s current investments and borrowing to a change in interest rates.  Fixed rate investments maturing during the year are assumed to be variable for the remainder of the year. </w:t>
      </w:r>
    </w:p>
    <w:p w14:paraId="6D743975" w14:textId="77777777" w:rsidR="008A7646" w:rsidRDefault="008A7646" w:rsidP="008A7646">
      <w:pPr>
        <w:ind w:left="0" w:right="175" w:hanging="17"/>
      </w:pPr>
    </w:p>
    <w:p w14:paraId="1ECD3A69" w14:textId="77777777" w:rsidR="005345BC" w:rsidRDefault="00F979FB" w:rsidP="008A7646">
      <w:pPr>
        <w:pStyle w:val="Heading1"/>
        <w:spacing w:after="147"/>
        <w:ind w:left="0"/>
      </w:pPr>
      <w:r>
        <w:t>Table 5: Interest rate risk indicator</w:t>
      </w:r>
      <w:r>
        <w:rPr>
          <w:b w:val="0"/>
        </w:rPr>
        <w:t xml:space="preserve"> </w:t>
      </w:r>
    </w:p>
    <w:p w14:paraId="4246A031" w14:textId="77777777" w:rsidR="005345BC" w:rsidRDefault="00F979FB">
      <w:pPr>
        <w:spacing w:after="0" w:line="259" w:lineRule="auto"/>
        <w:ind w:left="1507" w:firstLine="0"/>
        <w:jc w:val="center"/>
      </w:pPr>
      <w:r>
        <w:t xml:space="preserve">  </w:t>
      </w:r>
    </w:p>
    <w:tbl>
      <w:tblPr>
        <w:tblStyle w:val="TableGrid"/>
        <w:tblW w:w="9293" w:type="dxa"/>
        <w:tblInd w:w="132" w:type="dxa"/>
        <w:tblCellMar>
          <w:top w:w="58" w:type="dxa"/>
          <w:left w:w="106" w:type="dxa"/>
          <w:right w:w="75" w:type="dxa"/>
        </w:tblCellMar>
        <w:tblLook w:val="04A0" w:firstRow="1" w:lastRow="0" w:firstColumn="1" w:lastColumn="0" w:noHBand="0" w:noVBand="1"/>
      </w:tblPr>
      <w:tblGrid>
        <w:gridCol w:w="4440"/>
        <w:gridCol w:w="1870"/>
        <w:gridCol w:w="2983"/>
      </w:tblGrid>
      <w:tr w:rsidR="005345BC" w14:paraId="73347912" w14:textId="77777777" w:rsidTr="008A7646">
        <w:trPr>
          <w:trHeight w:val="1116"/>
        </w:trPr>
        <w:tc>
          <w:tcPr>
            <w:tcW w:w="4440" w:type="dxa"/>
            <w:tcBorders>
              <w:top w:val="single" w:sz="8" w:space="0" w:color="000000"/>
              <w:left w:val="single" w:sz="8" w:space="0" w:color="000000"/>
              <w:bottom w:val="single" w:sz="8" w:space="0" w:color="000000"/>
              <w:right w:val="single" w:sz="8" w:space="0" w:color="000000"/>
            </w:tcBorders>
          </w:tcPr>
          <w:p w14:paraId="2A7C4DAC" w14:textId="77777777" w:rsidR="005345BC" w:rsidRDefault="00F979FB" w:rsidP="008A7646">
            <w:pPr>
              <w:spacing w:after="0" w:line="259" w:lineRule="auto"/>
              <w:ind w:left="-640" w:firstLine="0"/>
              <w:jc w:val="center"/>
            </w:pPr>
            <w:r>
              <w:t xml:space="preserve">  </w:t>
            </w:r>
          </w:p>
        </w:tc>
        <w:tc>
          <w:tcPr>
            <w:tcW w:w="1870" w:type="dxa"/>
            <w:tcBorders>
              <w:top w:val="single" w:sz="8" w:space="0" w:color="000000"/>
              <w:left w:val="single" w:sz="8" w:space="0" w:color="000000"/>
              <w:bottom w:val="single" w:sz="8" w:space="0" w:color="000000"/>
              <w:right w:val="single" w:sz="8" w:space="0" w:color="000000"/>
            </w:tcBorders>
          </w:tcPr>
          <w:p w14:paraId="7DBC791A" w14:textId="77777777" w:rsidR="005345BC" w:rsidRDefault="00F979FB">
            <w:pPr>
              <w:spacing w:after="24" w:line="259" w:lineRule="auto"/>
              <w:ind w:left="79" w:firstLine="0"/>
            </w:pPr>
            <w:r>
              <w:rPr>
                <w:b/>
              </w:rPr>
              <w:t xml:space="preserve">31 December </w:t>
            </w:r>
          </w:p>
          <w:p w14:paraId="427ECE6F" w14:textId="77777777" w:rsidR="005345BC" w:rsidRDefault="00F979FB">
            <w:pPr>
              <w:spacing w:after="21" w:line="259" w:lineRule="auto"/>
              <w:ind w:left="0" w:right="32" w:firstLine="0"/>
              <w:jc w:val="center"/>
            </w:pPr>
            <w:r>
              <w:rPr>
                <w:b/>
              </w:rPr>
              <w:t>2023</w:t>
            </w:r>
            <w:r>
              <w:t xml:space="preserve"> </w:t>
            </w:r>
          </w:p>
          <w:p w14:paraId="15C2590F" w14:textId="77777777" w:rsidR="005345BC" w:rsidRDefault="00F979FB">
            <w:pPr>
              <w:spacing w:after="0" w:line="259" w:lineRule="auto"/>
              <w:ind w:left="0" w:right="36" w:firstLine="0"/>
              <w:jc w:val="center"/>
            </w:pPr>
            <w:r>
              <w:rPr>
                <w:b/>
              </w:rPr>
              <w:t xml:space="preserve"> £m</w:t>
            </w:r>
            <w:r>
              <w:t xml:space="preserve">  </w:t>
            </w:r>
          </w:p>
        </w:tc>
        <w:tc>
          <w:tcPr>
            <w:tcW w:w="2983" w:type="dxa"/>
            <w:tcBorders>
              <w:top w:val="single" w:sz="8" w:space="0" w:color="000000"/>
              <w:left w:val="single" w:sz="8" w:space="0" w:color="000000"/>
              <w:bottom w:val="single" w:sz="8" w:space="0" w:color="000000"/>
              <w:right w:val="single" w:sz="8" w:space="0" w:color="000000"/>
            </w:tcBorders>
          </w:tcPr>
          <w:p w14:paraId="5BDF5B08" w14:textId="77777777" w:rsidR="005345BC" w:rsidRDefault="00F979FB">
            <w:pPr>
              <w:spacing w:after="0" w:line="280" w:lineRule="auto"/>
              <w:ind w:left="0" w:firstLine="0"/>
              <w:jc w:val="center"/>
            </w:pPr>
            <w:r>
              <w:rPr>
                <w:b/>
              </w:rPr>
              <w:t>Impact of +/-1% interest rate change</w:t>
            </w:r>
            <w:r>
              <w:t xml:space="preserve"> </w:t>
            </w:r>
          </w:p>
          <w:p w14:paraId="22B41FCB" w14:textId="77777777" w:rsidR="005345BC" w:rsidRDefault="00F979FB">
            <w:pPr>
              <w:spacing w:after="0" w:line="259" w:lineRule="auto"/>
              <w:ind w:left="0" w:right="31" w:firstLine="0"/>
              <w:jc w:val="center"/>
            </w:pPr>
            <w:r>
              <w:rPr>
                <w:b/>
              </w:rPr>
              <w:t xml:space="preserve"> £m</w:t>
            </w:r>
            <w:r>
              <w:t xml:space="preserve">  </w:t>
            </w:r>
          </w:p>
        </w:tc>
      </w:tr>
      <w:tr w:rsidR="005345BC" w14:paraId="51246FAB" w14:textId="77777777" w:rsidTr="008A7646">
        <w:trPr>
          <w:trHeight w:val="475"/>
        </w:trPr>
        <w:tc>
          <w:tcPr>
            <w:tcW w:w="4440" w:type="dxa"/>
            <w:tcBorders>
              <w:top w:val="single" w:sz="8" w:space="0" w:color="000000"/>
              <w:left w:val="single" w:sz="8" w:space="0" w:color="000000"/>
              <w:bottom w:val="single" w:sz="8" w:space="0" w:color="000000"/>
              <w:right w:val="single" w:sz="8" w:space="0" w:color="000000"/>
            </w:tcBorders>
          </w:tcPr>
          <w:p w14:paraId="3F15AEEF" w14:textId="77777777" w:rsidR="005345BC" w:rsidRDefault="00F979FB">
            <w:pPr>
              <w:spacing w:after="0" w:line="259" w:lineRule="auto"/>
              <w:ind w:left="0" w:firstLine="0"/>
            </w:pPr>
            <w:r>
              <w:t xml:space="preserve">Sums subject to variable interest rates  </w:t>
            </w:r>
          </w:p>
        </w:tc>
        <w:tc>
          <w:tcPr>
            <w:tcW w:w="1870" w:type="dxa"/>
            <w:tcBorders>
              <w:top w:val="single" w:sz="8" w:space="0" w:color="000000"/>
              <w:left w:val="single" w:sz="8" w:space="0" w:color="000000"/>
              <w:bottom w:val="single" w:sz="8" w:space="0" w:color="000000"/>
              <w:right w:val="single" w:sz="8" w:space="0" w:color="000000"/>
            </w:tcBorders>
          </w:tcPr>
          <w:p w14:paraId="3DE4E95B" w14:textId="77777777" w:rsidR="005345BC" w:rsidRDefault="00F979FB">
            <w:pPr>
              <w:spacing w:after="0" w:line="259" w:lineRule="auto"/>
              <w:ind w:left="101" w:firstLine="0"/>
              <w:jc w:val="center"/>
            </w:pPr>
            <w:r>
              <w:t xml:space="preserve">  </w:t>
            </w:r>
          </w:p>
        </w:tc>
        <w:tc>
          <w:tcPr>
            <w:tcW w:w="2983" w:type="dxa"/>
            <w:tcBorders>
              <w:top w:val="single" w:sz="8" w:space="0" w:color="000000"/>
              <w:left w:val="single" w:sz="8" w:space="0" w:color="000000"/>
              <w:bottom w:val="single" w:sz="8" w:space="0" w:color="000000"/>
              <w:right w:val="single" w:sz="8" w:space="0" w:color="000000"/>
            </w:tcBorders>
          </w:tcPr>
          <w:p w14:paraId="11D91C6E" w14:textId="77777777" w:rsidR="005345BC" w:rsidRDefault="00F979FB">
            <w:pPr>
              <w:spacing w:after="0" w:line="259" w:lineRule="auto"/>
              <w:ind w:left="101" w:firstLine="0"/>
              <w:jc w:val="center"/>
            </w:pPr>
            <w:r>
              <w:t xml:space="preserve">  </w:t>
            </w:r>
          </w:p>
        </w:tc>
      </w:tr>
      <w:tr w:rsidR="005345BC" w14:paraId="23730AA3" w14:textId="77777777" w:rsidTr="008A7646">
        <w:trPr>
          <w:trHeight w:val="478"/>
        </w:trPr>
        <w:tc>
          <w:tcPr>
            <w:tcW w:w="4440" w:type="dxa"/>
            <w:tcBorders>
              <w:top w:val="single" w:sz="8" w:space="0" w:color="000000"/>
              <w:left w:val="single" w:sz="8" w:space="0" w:color="000000"/>
              <w:bottom w:val="single" w:sz="8" w:space="0" w:color="000000"/>
              <w:right w:val="single" w:sz="8" w:space="0" w:color="000000"/>
            </w:tcBorders>
          </w:tcPr>
          <w:p w14:paraId="7DDCC670" w14:textId="77777777" w:rsidR="005345BC" w:rsidRDefault="00F979FB">
            <w:pPr>
              <w:spacing w:after="0" w:line="259" w:lineRule="auto"/>
              <w:ind w:left="720" w:firstLine="0"/>
            </w:pPr>
            <w:r>
              <w:t xml:space="preserve">Investment  </w:t>
            </w:r>
          </w:p>
        </w:tc>
        <w:tc>
          <w:tcPr>
            <w:tcW w:w="1870" w:type="dxa"/>
            <w:tcBorders>
              <w:top w:val="single" w:sz="8" w:space="0" w:color="000000"/>
              <w:left w:val="single" w:sz="8" w:space="0" w:color="000000"/>
              <w:bottom w:val="single" w:sz="8" w:space="0" w:color="000000"/>
              <w:right w:val="single" w:sz="8" w:space="0" w:color="000000"/>
            </w:tcBorders>
          </w:tcPr>
          <w:p w14:paraId="19B5B64B" w14:textId="77777777" w:rsidR="005345BC" w:rsidRDefault="00F979FB">
            <w:pPr>
              <w:spacing w:after="0" w:line="259" w:lineRule="auto"/>
              <w:ind w:left="0" w:right="34" w:firstLine="0"/>
              <w:jc w:val="center"/>
            </w:pPr>
            <w:r>
              <w:t xml:space="preserve">91.8  </w:t>
            </w:r>
          </w:p>
        </w:tc>
        <w:tc>
          <w:tcPr>
            <w:tcW w:w="2983" w:type="dxa"/>
            <w:tcBorders>
              <w:top w:val="single" w:sz="8" w:space="0" w:color="000000"/>
              <w:left w:val="single" w:sz="8" w:space="0" w:color="000000"/>
              <w:bottom w:val="single" w:sz="8" w:space="0" w:color="000000"/>
              <w:right w:val="single" w:sz="8" w:space="0" w:color="000000"/>
            </w:tcBorders>
          </w:tcPr>
          <w:p w14:paraId="6B1F1B9B" w14:textId="77777777" w:rsidR="005345BC" w:rsidRDefault="00F979FB">
            <w:pPr>
              <w:spacing w:after="0" w:line="259" w:lineRule="auto"/>
              <w:ind w:left="0" w:right="32" w:firstLine="0"/>
              <w:jc w:val="center"/>
            </w:pPr>
            <w:r>
              <w:t xml:space="preserve">+/-0.9  </w:t>
            </w:r>
          </w:p>
        </w:tc>
      </w:tr>
      <w:tr w:rsidR="005345BC" w14:paraId="7DF80696" w14:textId="77777777" w:rsidTr="008A7646">
        <w:trPr>
          <w:trHeight w:val="475"/>
        </w:trPr>
        <w:tc>
          <w:tcPr>
            <w:tcW w:w="4440" w:type="dxa"/>
            <w:tcBorders>
              <w:top w:val="single" w:sz="8" w:space="0" w:color="000000"/>
              <w:left w:val="single" w:sz="8" w:space="0" w:color="000000"/>
              <w:bottom w:val="single" w:sz="8" w:space="0" w:color="000000"/>
              <w:right w:val="single" w:sz="8" w:space="0" w:color="000000"/>
            </w:tcBorders>
          </w:tcPr>
          <w:p w14:paraId="0F6BD67A" w14:textId="77777777" w:rsidR="005345BC" w:rsidRDefault="00F979FB">
            <w:pPr>
              <w:spacing w:after="0" w:line="259" w:lineRule="auto"/>
              <w:ind w:left="720" w:firstLine="0"/>
            </w:pPr>
            <w:r>
              <w:t xml:space="preserve">Borrowing  </w:t>
            </w:r>
          </w:p>
        </w:tc>
        <w:tc>
          <w:tcPr>
            <w:tcW w:w="1870" w:type="dxa"/>
            <w:tcBorders>
              <w:top w:val="single" w:sz="8" w:space="0" w:color="000000"/>
              <w:left w:val="single" w:sz="8" w:space="0" w:color="000000"/>
              <w:bottom w:val="single" w:sz="8" w:space="0" w:color="000000"/>
              <w:right w:val="single" w:sz="8" w:space="0" w:color="000000"/>
            </w:tcBorders>
          </w:tcPr>
          <w:p w14:paraId="370FAFD5" w14:textId="77777777" w:rsidR="005345BC" w:rsidRDefault="00F979FB">
            <w:pPr>
              <w:spacing w:after="0" w:line="259" w:lineRule="auto"/>
              <w:ind w:left="0" w:right="34" w:firstLine="0"/>
              <w:jc w:val="center"/>
            </w:pPr>
            <w:r>
              <w:t xml:space="preserve">0.0 </w:t>
            </w:r>
          </w:p>
        </w:tc>
        <w:tc>
          <w:tcPr>
            <w:tcW w:w="2983" w:type="dxa"/>
            <w:tcBorders>
              <w:top w:val="single" w:sz="8" w:space="0" w:color="000000"/>
              <w:left w:val="single" w:sz="8" w:space="0" w:color="000000"/>
              <w:bottom w:val="single" w:sz="8" w:space="0" w:color="000000"/>
              <w:right w:val="single" w:sz="8" w:space="0" w:color="000000"/>
            </w:tcBorders>
          </w:tcPr>
          <w:p w14:paraId="6FD949FB" w14:textId="77777777" w:rsidR="005345BC" w:rsidRDefault="00F979FB">
            <w:pPr>
              <w:spacing w:after="0" w:line="259" w:lineRule="auto"/>
              <w:ind w:left="0" w:right="32" w:firstLine="0"/>
              <w:jc w:val="center"/>
            </w:pPr>
            <w:r>
              <w:t xml:space="preserve">+/-0.0  </w:t>
            </w:r>
          </w:p>
        </w:tc>
      </w:tr>
    </w:tbl>
    <w:p w14:paraId="2F21919E" w14:textId="77777777" w:rsidR="005345BC" w:rsidRDefault="00F979FB">
      <w:pPr>
        <w:spacing w:after="165" w:line="259" w:lineRule="auto"/>
        <w:ind w:left="1637" w:firstLine="0"/>
      </w:pPr>
      <w:r>
        <w:t xml:space="preserve">  </w:t>
      </w:r>
      <w:r>
        <w:tab/>
        <w:t xml:space="preserve">  </w:t>
      </w:r>
      <w:r>
        <w:tab/>
        <w:t xml:space="preserve">  </w:t>
      </w:r>
    </w:p>
    <w:p w14:paraId="35DC2E3F" w14:textId="77777777" w:rsidR="005345BC" w:rsidRDefault="00F979FB" w:rsidP="008A7646">
      <w:pPr>
        <w:pStyle w:val="Heading1"/>
        <w:ind w:left="0"/>
      </w:pPr>
      <w:r>
        <w:t>Maturity structure of borrowing</w:t>
      </w:r>
      <w:r>
        <w:rPr>
          <w:b w:val="0"/>
        </w:rPr>
        <w:t xml:space="preserve"> </w:t>
      </w:r>
    </w:p>
    <w:p w14:paraId="5AE6E42D" w14:textId="62F3D6D6" w:rsidR="005345BC" w:rsidRDefault="00240A56" w:rsidP="008A7646">
      <w:pPr>
        <w:ind w:left="0" w:right="175" w:hanging="17"/>
      </w:pPr>
      <w:r>
        <w:t>8.</w:t>
      </w:r>
      <w:r w:rsidR="008A7646">
        <w:t xml:space="preserve">3. </w:t>
      </w:r>
      <w:r w:rsidR="00F979FB">
        <w:t xml:space="preserve">This indicator is set to control the PCC’s exposure to refinancing risk.  The upper and lower limits on the maturity structure of fixed rate borrowing will be: </w:t>
      </w:r>
    </w:p>
    <w:p w14:paraId="66CC8283" w14:textId="77777777" w:rsidR="008A7646" w:rsidRDefault="008A7646" w:rsidP="008A7646">
      <w:pPr>
        <w:ind w:left="0" w:right="175" w:hanging="17"/>
      </w:pPr>
    </w:p>
    <w:p w14:paraId="4EB7D892" w14:textId="77777777" w:rsidR="005345BC" w:rsidRDefault="00F979FB" w:rsidP="008A7646">
      <w:pPr>
        <w:pStyle w:val="Heading1"/>
        <w:spacing w:after="0"/>
        <w:ind w:left="0"/>
        <w:rPr>
          <w:b w:val="0"/>
        </w:rPr>
      </w:pPr>
      <w:r>
        <w:t>Table 6: Maturity Structure of Borrowing</w:t>
      </w:r>
      <w:r>
        <w:rPr>
          <w:b w:val="0"/>
        </w:rPr>
        <w:t xml:space="preserve"> </w:t>
      </w:r>
    </w:p>
    <w:p w14:paraId="7DFC31FA" w14:textId="77777777" w:rsidR="008A7646" w:rsidRPr="008A7646" w:rsidRDefault="008A7646" w:rsidP="008A7646"/>
    <w:tbl>
      <w:tblPr>
        <w:tblStyle w:val="TableGrid"/>
        <w:tblW w:w="7836" w:type="dxa"/>
        <w:tblInd w:w="132" w:type="dxa"/>
        <w:tblCellMar>
          <w:top w:w="58" w:type="dxa"/>
          <w:left w:w="108" w:type="dxa"/>
          <w:right w:w="115" w:type="dxa"/>
        </w:tblCellMar>
        <w:tblLook w:val="04A0" w:firstRow="1" w:lastRow="0" w:firstColumn="1" w:lastColumn="0" w:noHBand="0" w:noVBand="1"/>
      </w:tblPr>
      <w:tblGrid>
        <w:gridCol w:w="4920"/>
        <w:gridCol w:w="1459"/>
        <w:gridCol w:w="1457"/>
      </w:tblGrid>
      <w:tr w:rsidR="005345BC" w14:paraId="65551ABE" w14:textId="77777777" w:rsidTr="008A7646">
        <w:trPr>
          <w:trHeight w:val="475"/>
        </w:trPr>
        <w:tc>
          <w:tcPr>
            <w:tcW w:w="4920" w:type="dxa"/>
            <w:tcBorders>
              <w:top w:val="single" w:sz="8" w:space="0" w:color="000000"/>
              <w:left w:val="single" w:sz="8" w:space="0" w:color="000000"/>
              <w:bottom w:val="single" w:sz="8" w:space="0" w:color="000000"/>
              <w:right w:val="single" w:sz="8" w:space="0" w:color="000000"/>
            </w:tcBorders>
          </w:tcPr>
          <w:p w14:paraId="4F1634F6" w14:textId="77777777" w:rsidR="005345BC" w:rsidRDefault="00F979FB" w:rsidP="008A7646">
            <w:pPr>
              <w:spacing w:after="0" w:line="259" w:lineRule="auto"/>
              <w:ind w:left="-638" w:firstLine="0"/>
              <w:jc w:val="center"/>
            </w:pPr>
            <w:r>
              <w:t xml:space="preserve">  </w:t>
            </w:r>
          </w:p>
        </w:tc>
        <w:tc>
          <w:tcPr>
            <w:tcW w:w="1459" w:type="dxa"/>
            <w:tcBorders>
              <w:top w:val="single" w:sz="8" w:space="0" w:color="000000"/>
              <w:left w:val="single" w:sz="8" w:space="0" w:color="000000"/>
              <w:bottom w:val="single" w:sz="8" w:space="0" w:color="000000"/>
              <w:right w:val="single" w:sz="8" w:space="0" w:color="000000"/>
            </w:tcBorders>
          </w:tcPr>
          <w:p w14:paraId="21FAA5FF" w14:textId="77777777" w:rsidR="005345BC" w:rsidRDefault="00F979FB">
            <w:pPr>
              <w:spacing w:after="0" w:line="259" w:lineRule="auto"/>
              <w:ind w:left="5" w:firstLine="0"/>
              <w:jc w:val="center"/>
            </w:pPr>
            <w:r>
              <w:rPr>
                <w:b/>
              </w:rPr>
              <w:t>Upper</w:t>
            </w:r>
            <w:r>
              <w:t xml:space="preserve"> </w:t>
            </w:r>
          </w:p>
        </w:tc>
        <w:tc>
          <w:tcPr>
            <w:tcW w:w="1457" w:type="dxa"/>
            <w:tcBorders>
              <w:top w:val="single" w:sz="8" w:space="0" w:color="000000"/>
              <w:left w:val="single" w:sz="8" w:space="0" w:color="000000"/>
              <w:bottom w:val="single" w:sz="8" w:space="0" w:color="000000"/>
              <w:right w:val="single" w:sz="8" w:space="0" w:color="000000"/>
            </w:tcBorders>
          </w:tcPr>
          <w:p w14:paraId="27BEFF4E" w14:textId="77777777" w:rsidR="005345BC" w:rsidRDefault="00F979FB">
            <w:pPr>
              <w:spacing w:after="0" w:line="259" w:lineRule="auto"/>
              <w:ind w:left="5" w:firstLine="0"/>
              <w:jc w:val="center"/>
            </w:pPr>
            <w:r>
              <w:rPr>
                <w:b/>
              </w:rPr>
              <w:t>Lower</w:t>
            </w:r>
            <w:r>
              <w:t xml:space="preserve"> </w:t>
            </w:r>
          </w:p>
        </w:tc>
      </w:tr>
      <w:tr w:rsidR="005345BC" w14:paraId="359C56AA" w14:textId="77777777" w:rsidTr="008A7646">
        <w:trPr>
          <w:trHeight w:val="475"/>
        </w:trPr>
        <w:tc>
          <w:tcPr>
            <w:tcW w:w="4920" w:type="dxa"/>
            <w:tcBorders>
              <w:top w:val="single" w:sz="8" w:space="0" w:color="000000"/>
              <w:left w:val="single" w:sz="8" w:space="0" w:color="000000"/>
              <w:bottom w:val="single" w:sz="8" w:space="0" w:color="000000"/>
              <w:right w:val="single" w:sz="8" w:space="0" w:color="000000"/>
            </w:tcBorders>
          </w:tcPr>
          <w:p w14:paraId="0CEFC8D6" w14:textId="77777777" w:rsidR="005345BC" w:rsidRDefault="00F979FB">
            <w:pPr>
              <w:spacing w:after="0" w:line="259" w:lineRule="auto"/>
              <w:ind w:left="0" w:firstLine="0"/>
            </w:pPr>
            <w:r>
              <w:t xml:space="preserve">Under 12 months </w:t>
            </w:r>
          </w:p>
        </w:tc>
        <w:tc>
          <w:tcPr>
            <w:tcW w:w="1459" w:type="dxa"/>
            <w:tcBorders>
              <w:top w:val="single" w:sz="8" w:space="0" w:color="000000"/>
              <w:left w:val="single" w:sz="8" w:space="0" w:color="000000"/>
              <w:bottom w:val="single" w:sz="8" w:space="0" w:color="000000"/>
              <w:right w:val="single" w:sz="8" w:space="0" w:color="000000"/>
            </w:tcBorders>
          </w:tcPr>
          <w:p w14:paraId="65F87D1A" w14:textId="77777777" w:rsidR="005345BC" w:rsidRDefault="00F979FB">
            <w:pPr>
              <w:spacing w:after="0" w:line="259" w:lineRule="auto"/>
              <w:ind w:left="5" w:firstLine="0"/>
              <w:jc w:val="center"/>
            </w:pPr>
            <w:r>
              <w:t xml:space="preserve">50% </w:t>
            </w:r>
          </w:p>
        </w:tc>
        <w:tc>
          <w:tcPr>
            <w:tcW w:w="1457" w:type="dxa"/>
            <w:tcBorders>
              <w:top w:val="single" w:sz="8" w:space="0" w:color="000000"/>
              <w:left w:val="single" w:sz="8" w:space="0" w:color="000000"/>
              <w:bottom w:val="single" w:sz="8" w:space="0" w:color="000000"/>
              <w:right w:val="single" w:sz="8" w:space="0" w:color="000000"/>
            </w:tcBorders>
          </w:tcPr>
          <w:p w14:paraId="08E4339A" w14:textId="77777777" w:rsidR="005345BC" w:rsidRDefault="00F979FB">
            <w:pPr>
              <w:spacing w:after="0" w:line="259" w:lineRule="auto"/>
              <w:ind w:left="2" w:firstLine="0"/>
              <w:jc w:val="center"/>
            </w:pPr>
            <w:r>
              <w:t xml:space="preserve">0% </w:t>
            </w:r>
          </w:p>
        </w:tc>
      </w:tr>
      <w:tr w:rsidR="005345BC" w14:paraId="451A5376" w14:textId="77777777" w:rsidTr="008A7646">
        <w:trPr>
          <w:trHeight w:val="475"/>
        </w:trPr>
        <w:tc>
          <w:tcPr>
            <w:tcW w:w="4920" w:type="dxa"/>
            <w:tcBorders>
              <w:top w:val="single" w:sz="8" w:space="0" w:color="000000"/>
              <w:left w:val="single" w:sz="8" w:space="0" w:color="000000"/>
              <w:bottom w:val="single" w:sz="8" w:space="0" w:color="000000"/>
              <w:right w:val="single" w:sz="8" w:space="0" w:color="000000"/>
            </w:tcBorders>
          </w:tcPr>
          <w:p w14:paraId="49B588AE" w14:textId="77777777" w:rsidR="005345BC" w:rsidRDefault="00F979FB">
            <w:pPr>
              <w:spacing w:after="0" w:line="259" w:lineRule="auto"/>
              <w:ind w:left="0" w:firstLine="0"/>
            </w:pPr>
            <w:r>
              <w:t xml:space="preserve">12 months and within 24 months </w:t>
            </w:r>
          </w:p>
        </w:tc>
        <w:tc>
          <w:tcPr>
            <w:tcW w:w="1459" w:type="dxa"/>
            <w:tcBorders>
              <w:top w:val="single" w:sz="8" w:space="0" w:color="000000"/>
              <w:left w:val="single" w:sz="8" w:space="0" w:color="000000"/>
              <w:bottom w:val="single" w:sz="8" w:space="0" w:color="000000"/>
              <w:right w:val="single" w:sz="8" w:space="0" w:color="000000"/>
            </w:tcBorders>
          </w:tcPr>
          <w:p w14:paraId="54495BA5" w14:textId="77777777" w:rsidR="005345BC" w:rsidRDefault="00F979FB">
            <w:pPr>
              <w:spacing w:after="0" w:line="259" w:lineRule="auto"/>
              <w:ind w:left="5" w:firstLine="0"/>
              <w:jc w:val="center"/>
            </w:pPr>
            <w:r>
              <w:t xml:space="preserve">50% </w:t>
            </w:r>
          </w:p>
        </w:tc>
        <w:tc>
          <w:tcPr>
            <w:tcW w:w="1457" w:type="dxa"/>
            <w:tcBorders>
              <w:top w:val="single" w:sz="8" w:space="0" w:color="000000"/>
              <w:left w:val="single" w:sz="8" w:space="0" w:color="000000"/>
              <w:bottom w:val="single" w:sz="8" w:space="0" w:color="000000"/>
              <w:right w:val="single" w:sz="8" w:space="0" w:color="000000"/>
            </w:tcBorders>
          </w:tcPr>
          <w:p w14:paraId="1D4D9A04" w14:textId="77777777" w:rsidR="005345BC" w:rsidRDefault="00F979FB">
            <w:pPr>
              <w:spacing w:after="0" w:line="259" w:lineRule="auto"/>
              <w:ind w:left="2" w:firstLine="0"/>
              <w:jc w:val="center"/>
            </w:pPr>
            <w:r>
              <w:t xml:space="preserve">0% </w:t>
            </w:r>
          </w:p>
        </w:tc>
      </w:tr>
      <w:tr w:rsidR="005345BC" w14:paraId="56F9F41B" w14:textId="77777777" w:rsidTr="008A7646">
        <w:trPr>
          <w:trHeight w:val="478"/>
        </w:trPr>
        <w:tc>
          <w:tcPr>
            <w:tcW w:w="4920" w:type="dxa"/>
            <w:tcBorders>
              <w:top w:val="single" w:sz="8" w:space="0" w:color="000000"/>
              <w:left w:val="single" w:sz="8" w:space="0" w:color="000000"/>
              <w:bottom w:val="single" w:sz="8" w:space="0" w:color="000000"/>
              <w:right w:val="single" w:sz="8" w:space="0" w:color="000000"/>
            </w:tcBorders>
          </w:tcPr>
          <w:p w14:paraId="1E009EB3" w14:textId="77777777" w:rsidR="005345BC" w:rsidRDefault="00F979FB">
            <w:pPr>
              <w:spacing w:after="0" w:line="259" w:lineRule="auto"/>
              <w:ind w:left="0" w:firstLine="0"/>
            </w:pPr>
            <w:r>
              <w:t xml:space="preserve">24 months and within 5 years </w:t>
            </w:r>
          </w:p>
        </w:tc>
        <w:tc>
          <w:tcPr>
            <w:tcW w:w="1459" w:type="dxa"/>
            <w:tcBorders>
              <w:top w:val="single" w:sz="8" w:space="0" w:color="000000"/>
              <w:left w:val="single" w:sz="8" w:space="0" w:color="000000"/>
              <w:bottom w:val="single" w:sz="8" w:space="0" w:color="000000"/>
              <w:right w:val="single" w:sz="8" w:space="0" w:color="000000"/>
            </w:tcBorders>
          </w:tcPr>
          <w:p w14:paraId="18D501C9" w14:textId="77777777" w:rsidR="005345BC" w:rsidRDefault="00F979FB">
            <w:pPr>
              <w:spacing w:after="0" w:line="259" w:lineRule="auto"/>
              <w:ind w:left="5" w:firstLine="0"/>
              <w:jc w:val="center"/>
            </w:pPr>
            <w:r>
              <w:t xml:space="preserve">50% </w:t>
            </w:r>
          </w:p>
        </w:tc>
        <w:tc>
          <w:tcPr>
            <w:tcW w:w="1457" w:type="dxa"/>
            <w:tcBorders>
              <w:top w:val="single" w:sz="8" w:space="0" w:color="000000"/>
              <w:left w:val="single" w:sz="8" w:space="0" w:color="000000"/>
              <w:bottom w:val="single" w:sz="8" w:space="0" w:color="000000"/>
              <w:right w:val="single" w:sz="8" w:space="0" w:color="000000"/>
            </w:tcBorders>
          </w:tcPr>
          <w:p w14:paraId="3EB23DCF" w14:textId="77777777" w:rsidR="005345BC" w:rsidRDefault="00F979FB">
            <w:pPr>
              <w:spacing w:after="0" w:line="259" w:lineRule="auto"/>
              <w:ind w:left="2" w:firstLine="0"/>
              <w:jc w:val="center"/>
            </w:pPr>
            <w:r>
              <w:t xml:space="preserve">0% </w:t>
            </w:r>
          </w:p>
        </w:tc>
      </w:tr>
      <w:tr w:rsidR="005345BC" w14:paraId="4ED11CB5" w14:textId="77777777" w:rsidTr="008A7646">
        <w:trPr>
          <w:trHeight w:val="475"/>
        </w:trPr>
        <w:tc>
          <w:tcPr>
            <w:tcW w:w="4920" w:type="dxa"/>
            <w:tcBorders>
              <w:top w:val="single" w:sz="8" w:space="0" w:color="000000"/>
              <w:left w:val="single" w:sz="8" w:space="0" w:color="000000"/>
              <w:bottom w:val="single" w:sz="8" w:space="0" w:color="000000"/>
              <w:right w:val="single" w:sz="8" w:space="0" w:color="000000"/>
            </w:tcBorders>
          </w:tcPr>
          <w:p w14:paraId="4E169BB4" w14:textId="77777777" w:rsidR="005345BC" w:rsidRDefault="00F979FB">
            <w:pPr>
              <w:spacing w:after="0" w:line="259" w:lineRule="auto"/>
              <w:ind w:left="0" w:firstLine="0"/>
            </w:pPr>
            <w:r>
              <w:t xml:space="preserve">5 years and within 10 years </w:t>
            </w:r>
          </w:p>
        </w:tc>
        <w:tc>
          <w:tcPr>
            <w:tcW w:w="1459" w:type="dxa"/>
            <w:tcBorders>
              <w:top w:val="single" w:sz="8" w:space="0" w:color="000000"/>
              <w:left w:val="single" w:sz="8" w:space="0" w:color="000000"/>
              <w:bottom w:val="single" w:sz="8" w:space="0" w:color="000000"/>
              <w:right w:val="single" w:sz="8" w:space="0" w:color="000000"/>
            </w:tcBorders>
          </w:tcPr>
          <w:p w14:paraId="546037CF" w14:textId="77777777" w:rsidR="005345BC" w:rsidRDefault="00F979FB">
            <w:pPr>
              <w:spacing w:after="0" w:line="259" w:lineRule="auto"/>
              <w:ind w:left="5" w:firstLine="0"/>
              <w:jc w:val="center"/>
            </w:pPr>
            <w:r>
              <w:t xml:space="preserve">75% </w:t>
            </w:r>
          </w:p>
        </w:tc>
        <w:tc>
          <w:tcPr>
            <w:tcW w:w="1457" w:type="dxa"/>
            <w:tcBorders>
              <w:top w:val="single" w:sz="8" w:space="0" w:color="000000"/>
              <w:left w:val="single" w:sz="8" w:space="0" w:color="000000"/>
              <w:bottom w:val="single" w:sz="8" w:space="0" w:color="000000"/>
              <w:right w:val="single" w:sz="8" w:space="0" w:color="000000"/>
            </w:tcBorders>
          </w:tcPr>
          <w:p w14:paraId="0A49DDDD" w14:textId="77777777" w:rsidR="005345BC" w:rsidRDefault="00F979FB">
            <w:pPr>
              <w:spacing w:after="0" w:line="259" w:lineRule="auto"/>
              <w:ind w:left="2" w:firstLine="0"/>
              <w:jc w:val="center"/>
            </w:pPr>
            <w:r>
              <w:t xml:space="preserve">0% </w:t>
            </w:r>
          </w:p>
        </w:tc>
      </w:tr>
      <w:tr w:rsidR="005345BC" w14:paraId="49057C7E" w14:textId="77777777" w:rsidTr="008A7646">
        <w:trPr>
          <w:trHeight w:val="475"/>
        </w:trPr>
        <w:tc>
          <w:tcPr>
            <w:tcW w:w="4920" w:type="dxa"/>
            <w:tcBorders>
              <w:top w:val="single" w:sz="8" w:space="0" w:color="000000"/>
              <w:left w:val="single" w:sz="8" w:space="0" w:color="000000"/>
              <w:bottom w:val="single" w:sz="8" w:space="0" w:color="000000"/>
              <w:right w:val="single" w:sz="8" w:space="0" w:color="000000"/>
            </w:tcBorders>
          </w:tcPr>
          <w:p w14:paraId="47473926" w14:textId="77777777" w:rsidR="005345BC" w:rsidRDefault="00F979FB">
            <w:pPr>
              <w:spacing w:after="0" w:line="259" w:lineRule="auto"/>
              <w:ind w:left="0" w:firstLine="0"/>
            </w:pPr>
            <w:r>
              <w:t xml:space="preserve">10 years and within 20 years </w:t>
            </w:r>
          </w:p>
        </w:tc>
        <w:tc>
          <w:tcPr>
            <w:tcW w:w="1459" w:type="dxa"/>
            <w:tcBorders>
              <w:top w:val="single" w:sz="8" w:space="0" w:color="000000"/>
              <w:left w:val="single" w:sz="8" w:space="0" w:color="000000"/>
              <w:bottom w:val="single" w:sz="8" w:space="0" w:color="000000"/>
              <w:right w:val="single" w:sz="8" w:space="0" w:color="000000"/>
            </w:tcBorders>
          </w:tcPr>
          <w:p w14:paraId="12684824" w14:textId="77777777" w:rsidR="005345BC" w:rsidRDefault="00F979FB">
            <w:pPr>
              <w:spacing w:after="0" w:line="259" w:lineRule="auto"/>
              <w:ind w:left="5" w:firstLine="0"/>
              <w:jc w:val="center"/>
            </w:pPr>
            <w:r>
              <w:t xml:space="preserve">100% </w:t>
            </w:r>
          </w:p>
        </w:tc>
        <w:tc>
          <w:tcPr>
            <w:tcW w:w="1457" w:type="dxa"/>
            <w:tcBorders>
              <w:top w:val="single" w:sz="8" w:space="0" w:color="000000"/>
              <w:left w:val="single" w:sz="8" w:space="0" w:color="000000"/>
              <w:bottom w:val="single" w:sz="8" w:space="0" w:color="000000"/>
              <w:right w:val="single" w:sz="8" w:space="0" w:color="000000"/>
            </w:tcBorders>
          </w:tcPr>
          <w:p w14:paraId="45A43EAE" w14:textId="77777777" w:rsidR="005345BC" w:rsidRDefault="00F979FB">
            <w:pPr>
              <w:spacing w:after="0" w:line="259" w:lineRule="auto"/>
              <w:ind w:left="2" w:firstLine="0"/>
              <w:jc w:val="center"/>
            </w:pPr>
            <w:r>
              <w:t xml:space="preserve">0% </w:t>
            </w:r>
          </w:p>
        </w:tc>
      </w:tr>
      <w:tr w:rsidR="005345BC" w14:paraId="525E57AD" w14:textId="77777777" w:rsidTr="008A7646">
        <w:trPr>
          <w:trHeight w:val="478"/>
        </w:trPr>
        <w:tc>
          <w:tcPr>
            <w:tcW w:w="4920" w:type="dxa"/>
            <w:tcBorders>
              <w:top w:val="single" w:sz="8" w:space="0" w:color="000000"/>
              <w:left w:val="single" w:sz="8" w:space="0" w:color="000000"/>
              <w:bottom w:val="single" w:sz="8" w:space="0" w:color="000000"/>
              <w:right w:val="single" w:sz="8" w:space="0" w:color="000000"/>
            </w:tcBorders>
          </w:tcPr>
          <w:p w14:paraId="7285BB19" w14:textId="77777777" w:rsidR="005345BC" w:rsidRDefault="00F979FB">
            <w:pPr>
              <w:spacing w:after="0" w:line="259" w:lineRule="auto"/>
              <w:ind w:left="0" w:firstLine="0"/>
            </w:pPr>
            <w:r>
              <w:t xml:space="preserve">20 years and above </w:t>
            </w:r>
          </w:p>
        </w:tc>
        <w:tc>
          <w:tcPr>
            <w:tcW w:w="1459" w:type="dxa"/>
            <w:tcBorders>
              <w:top w:val="single" w:sz="8" w:space="0" w:color="000000"/>
              <w:left w:val="single" w:sz="8" w:space="0" w:color="000000"/>
              <w:bottom w:val="single" w:sz="8" w:space="0" w:color="000000"/>
              <w:right w:val="single" w:sz="8" w:space="0" w:color="000000"/>
            </w:tcBorders>
          </w:tcPr>
          <w:p w14:paraId="0F67994F" w14:textId="77777777" w:rsidR="005345BC" w:rsidRDefault="00F979FB">
            <w:pPr>
              <w:spacing w:after="0" w:line="259" w:lineRule="auto"/>
              <w:ind w:left="5" w:firstLine="0"/>
              <w:jc w:val="center"/>
            </w:pPr>
            <w:r>
              <w:t xml:space="preserve">100% </w:t>
            </w:r>
          </w:p>
        </w:tc>
        <w:tc>
          <w:tcPr>
            <w:tcW w:w="1457" w:type="dxa"/>
            <w:tcBorders>
              <w:top w:val="single" w:sz="8" w:space="0" w:color="000000"/>
              <w:left w:val="single" w:sz="8" w:space="0" w:color="000000"/>
              <w:bottom w:val="single" w:sz="8" w:space="0" w:color="000000"/>
              <w:right w:val="single" w:sz="8" w:space="0" w:color="000000"/>
            </w:tcBorders>
          </w:tcPr>
          <w:p w14:paraId="14711C7B" w14:textId="77777777" w:rsidR="005345BC" w:rsidRDefault="00F979FB">
            <w:pPr>
              <w:spacing w:after="0" w:line="259" w:lineRule="auto"/>
              <w:ind w:left="2" w:firstLine="0"/>
              <w:jc w:val="center"/>
            </w:pPr>
            <w:r>
              <w:t xml:space="preserve">0% </w:t>
            </w:r>
          </w:p>
        </w:tc>
      </w:tr>
    </w:tbl>
    <w:p w14:paraId="08565C25" w14:textId="77777777" w:rsidR="005345BC" w:rsidRDefault="00F979FB">
      <w:pPr>
        <w:spacing w:after="0" w:line="259" w:lineRule="auto"/>
        <w:ind w:left="720" w:firstLine="0"/>
      </w:pPr>
      <w:r>
        <w:t xml:space="preserve">  </w:t>
      </w:r>
    </w:p>
    <w:p w14:paraId="7419B82D" w14:textId="46D80B40" w:rsidR="005345BC" w:rsidRDefault="00240A56" w:rsidP="008A7646">
      <w:pPr>
        <w:ind w:left="0" w:right="175" w:hanging="17"/>
      </w:pPr>
      <w:r>
        <w:t>8.</w:t>
      </w:r>
      <w:r w:rsidR="008A7646">
        <w:t xml:space="preserve">4. </w:t>
      </w:r>
      <w:r w:rsidR="00F979FB">
        <w:t xml:space="preserve">Time periods start on the first day of each financial year.  The maturity date of borrowing is the earliest date on which the lender can demand repayment. </w:t>
      </w:r>
    </w:p>
    <w:p w14:paraId="19BB9428" w14:textId="77777777" w:rsidR="008A7646" w:rsidRDefault="008A7646" w:rsidP="008A7646">
      <w:pPr>
        <w:ind w:left="0" w:right="175" w:hanging="17"/>
      </w:pPr>
    </w:p>
    <w:p w14:paraId="4C2F751C" w14:textId="77777777" w:rsidR="005345BC" w:rsidRDefault="00F979FB" w:rsidP="008A7646">
      <w:pPr>
        <w:pStyle w:val="Heading1"/>
        <w:ind w:left="0"/>
      </w:pPr>
      <w:r>
        <w:t>Principal sums invested for periods longer than a year</w:t>
      </w:r>
      <w:r>
        <w:rPr>
          <w:b w:val="0"/>
        </w:rPr>
        <w:t xml:space="preserve"> </w:t>
      </w:r>
    </w:p>
    <w:p w14:paraId="53AC7DF3" w14:textId="496470E9" w:rsidR="005345BC" w:rsidRDefault="00240A56" w:rsidP="008A7646">
      <w:pPr>
        <w:ind w:left="0" w:right="175" w:hanging="17"/>
      </w:pPr>
      <w:r>
        <w:t>8.5</w:t>
      </w:r>
      <w:r w:rsidR="008A7646">
        <w:t xml:space="preserve">. </w:t>
      </w:r>
      <w:r w:rsidR="00F979FB">
        <w:t xml:space="preserve">The purpose of this indicator is to control the PCC’s exposure to the risk of incurring losses by seeking early repayment of its investments.  The limits on the long-term principal sum invested to final maturities beyond the period end will be: </w:t>
      </w:r>
    </w:p>
    <w:p w14:paraId="1B68B7C2" w14:textId="77777777" w:rsidR="008A7646" w:rsidRDefault="008A7646" w:rsidP="008A7646">
      <w:pPr>
        <w:ind w:left="0" w:right="175" w:hanging="17"/>
      </w:pPr>
    </w:p>
    <w:p w14:paraId="1B5E5735" w14:textId="77777777" w:rsidR="008A7646" w:rsidRDefault="00F979FB">
      <w:pPr>
        <w:pStyle w:val="Heading1"/>
        <w:tabs>
          <w:tab w:val="center" w:pos="8328"/>
        </w:tabs>
        <w:spacing w:after="0"/>
        <w:ind w:left="0" w:firstLine="0"/>
        <w:rPr>
          <w:b w:val="0"/>
        </w:rPr>
      </w:pPr>
      <w:r>
        <w:t>Table 7: Price risk indicator</w:t>
      </w:r>
      <w:r>
        <w:rPr>
          <w:b w:val="0"/>
        </w:rPr>
        <w:t xml:space="preserve"> </w:t>
      </w:r>
    </w:p>
    <w:p w14:paraId="0D445BE8" w14:textId="77777777" w:rsidR="005345BC" w:rsidRDefault="00F979FB">
      <w:pPr>
        <w:pStyle w:val="Heading1"/>
        <w:tabs>
          <w:tab w:val="center" w:pos="8328"/>
        </w:tabs>
        <w:spacing w:after="0"/>
        <w:ind w:left="0" w:firstLine="0"/>
      </w:pPr>
      <w:r>
        <w:rPr>
          <w:b w:val="0"/>
        </w:rPr>
        <w:tab/>
      </w:r>
      <w:r>
        <w:t xml:space="preserve"> </w:t>
      </w:r>
      <w:r>
        <w:rPr>
          <w:b w:val="0"/>
        </w:rPr>
        <w:t xml:space="preserve"> </w:t>
      </w:r>
    </w:p>
    <w:tbl>
      <w:tblPr>
        <w:tblStyle w:val="TableGrid"/>
        <w:tblW w:w="9358" w:type="dxa"/>
        <w:tblInd w:w="0" w:type="dxa"/>
        <w:tblCellMar>
          <w:top w:w="58" w:type="dxa"/>
          <w:left w:w="108" w:type="dxa"/>
          <w:right w:w="68" w:type="dxa"/>
        </w:tblCellMar>
        <w:tblLook w:val="04A0" w:firstRow="1" w:lastRow="0" w:firstColumn="1" w:lastColumn="0" w:noHBand="0" w:noVBand="1"/>
      </w:tblPr>
      <w:tblGrid>
        <w:gridCol w:w="4806"/>
        <w:gridCol w:w="1138"/>
        <w:gridCol w:w="1138"/>
        <w:gridCol w:w="1138"/>
        <w:gridCol w:w="1138"/>
      </w:tblGrid>
      <w:tr w:rsidR="005345BC" w14:paraId="0FBA17D6" w14:textId="77777777">
        <w:trPr>
          <w:trHeight w:val="1118"/>
        </w:trPr>
        <w:tc>
          <w:tcPr>
            <w:tcW w:w="4807" w:type="dxa"/>
            <w:tcBorders>
              <w:top w:val="single" w:sz="8" w:space="0" w:color="000000"/>
              <w:left w:val="single" w:sz="8" w:space="0" w:color="000000"/>
              <w:bottom w:val="single" w:sz="8" w:space="0" w:color="000000"/>
              <w:right w:val="single" w:sz="8" w:space="0" w:color="000000"/>
            </w:tcBorders>
          </w:tcPr>
          <w:p w14:paraId="128689FB" w14:textId="77777777" w:rsidR="005345BC" w:rsidRDefault="00F979FB">
            <w:pPr>
              <w:spacing w:after="0" w:line="259" w:lineRule="auto"/>
              <w:ind w:left="91" w:firstLine="0"/>
              <w:jc w:val="center"/>
            </w:pPr>
            <w:r>
              <w:t xml:space="preserve">  </w:t>
            </w:r>
          </w:p>
        </w:tc>
        <w:tc>
          <w:tcPr>
            <w:tcW w:w="1138" w:type="dxa"/>
            <w:tcBorders>
              <w:top w:val="single" w:sz="8" w:space="0" w:color="000000"/>
              <w:left w:val="single" w:sz="8" w:space="0" w:color="000000"/>
              <w:bottom w:val="single" w:sz="8" w:space="0" w:color="000000"/>
              <w:right w:val="single" w:sz="8" w:space="0" w:color="000000"/>
            </w:tcBorders>
          </w:tcPr>
          <w:p w14:paraId="4E682C96" w14:textId="77777777" w:rsidR="005345BC" w:rsidRDefault="00F979FB">
            <w:pPr>
              <w:spacing w:after="0" w:line="259" w:lineRule="auto"/>
              <w:ind w:left="24" w:firstLine="0"/>
            </w:pPr>
            <w:r>
              <w:rPr>
                <w:b/>
              </w:rPr>
              <w:t>2024/25</w:t>
            </w:r>
            <w:r>
              <w:t xml:space="preserve"> </w:t>
            </w:r>
          </w:p>
        </w:tc>
        <w:tc>
          <w:tcPr>
            <w:tcW w:w="1138" w:type="dxa"/>
            <w:tcBorders>
              <w:top w:val="single" w:sz="8" w:space="0" w:color="000000"/>
              <w:left w:val="single" w:sz="8" w:space="0" w:color="000000"/>
              <w:bottom w:val="single" w:sz="8" w:space="0" w:color="000000"/>
              <w:right w:val="single" w:sz="8" w:space="0" w:color="000000"/>
            </w:tcBorders>
          </w:tcPr>
          <w:p w14:paraId="0D835E7F" w14:textId="77777777" w:rsidR="005345BC" w:rsidRDefault="00F979FB">
            <w:pPr>
              <w:spacing w:after="0" w:line="259" w:lineRule="auto"/>
              <w:ind w:left="26" w:firstLine="0"/>
            </w:pPr>
            <w:r>
              <w:rPr>
                <w:b/>
              </w:rPr>
              <w:t>2025/26</w:t>
            </w:r>
            <w:r>
              <w:t xml:space="preserve"> </w:t>
            </w:r>
          </w:p>
        </w:tc>
        <w:tc>
          <w:tcPr>
            <w:tcW w:w="1138" w:type="dxa"/>
            <w:tcBorders>
              <w:top w:val="single" w:sz="8" w:space="0" w:color="000000"/>
              <w:left w:val="single" w:sz="8" w:space="0" w:color="000000"/>
              <w:bottom w:val="single" w:sz="8" w:space="0" w:color="000000"/>
              <w:right w:val="single" w:sz="8" w:space="0" w:color="000000"/>
            </w:tcBorders>
          </w:tcPr>
          <w:p w14:paraId="03CCE61D" w14:textId="77777777" w:rsidR="005345BC" w:rsidRDefault="00F979FB">
            <w:pPr>
              <w:spacing w:after="0" w:line="259" w:lineRule="auto"/>
              <w:ind w:left="26" w:firstLine="0"/>
            </w:pPr>
            <w:r>
              <w:rPr>
                <w:b/>
              </w:rPr>
              <w:t>2026/27</w:t>
            </w:r>
            <w:r>
              <w:t xml:space="preserve"> </w:t>
            </w:r>
          </w:p>
        </w:tc>
        <w:tc>
          <w:tcPr>
            <w:tcW w:w="1138" w:type="dxa"/>
            <w:tcBorders>
              <w:top w:val="single" w:sz="8" w:space="0" w:color="000000"/>
              <w:left w:val="single" w:sz="8" w:space="0" w:color="000000"/>
              <w:bottom w:val="single" w:sz="8" w:space="0" w:color="000000"/>
              <w:right w:val="single" w:sz="8" w:space="0" w:color="000000"/>
            </w:tcBorders>
          </w:tcPr>
          <w:p w14:paraId="66A48DF2" w14:textId="77777777" w:rsidR="005345BC" w:rsidRDefault="00F979FB">
            <w:pPr>
              <w:spacing w:after="24" w:line="259" w:lineRule="auto"/>
              <w:ind w:left="0" w:right="42" w:firstLine="0"/>
              <w:jc w:val="center"/>
            </w:pPr>
            <w:r>
              <w:rPr>
                <w:b/>
              </w:rPr>
              <w:t xml:space="preserve">No </w:t>
            </w:r>
          </w:p>
          <w:p w14:paraId="51E66B95" w14:textId="77777777" w:rsidR="005345BC" w:rsidRDefault="00F979FB">
            <w:pPr>
              <w:spacing w:after="0" w:line="259" w:lineRule="auto"/>
              <w:ind w:left="0" w:firstLine="0"/>
              <w:jc w:val="center"/>
            </w:pPr>
            <w:r>
              <w:rPr>
                <w:b/>
              </w:rPr>
              <w:t>fixed date</w:t>
            </w:r>
            <w:r>
              <w:t xml:space="preserve"> </w:t>
            </w:r>
          </w:p>
        </w:tc>
      </w:tr>
      <w:tr w:rsidR="005345BC" w14:paraId="79B94356" w14:textId="77777777">
        <w:trPr>
          <w:trHeight w:val="475"/>
        </w:trPr>
        <w:tc>
          <w:tcPr>
            <w:tcW w:w="4807" w:type="dxa"/>
            <w:tcBorders>
              <w:top w:val="single" w:sz="8" w:space="0" w:color="000000"/>
              <w:left w:val="single" w:sz="8" w:space="0" w:color="000000"/>
              <w:bottom w:val="single" w:sz="8" w:space="0" w:color="000000"/>
              <w:right w:val="single" w:sz="8" w:space="0" w:color="000000"/>
            </w:tcBorders>
          </w:tcPr>
          <w:p w14:paraId="71312503" w14:textId="77777777" w:rsidR="005345BC" w:rsidRDefault="00F979FB">
            <w:pPr>
              <w:spacing w:after="0" w:line="259" w:lineRule="auto"/>
              <w:ind w:left="0" w:firstLine="0"/>
            </w:pPr>
            <w:r>
              <w:t xml:space="preserve">Limit on principal invested beyond a year </w:t>
            </w:r>
          </w:p>
        </w:tc>
        <w:tc>
          <w:tcPr>
            <w:tcW w:w="1138" w:type="dxa"/>
            <w:tcBorders>
              <w:top w:val="single" w:sz="8" w:space="0" w:color="000000"/>
              <w:left w:val="single" w:sz="8" w:space="0" w:color="000000"/>
              <w:bottom w:val="single" w:sz="8" w:space="0" w:color="000000"/>
              <w:right w:val="single" w:sz="8" w:space="0" w:color="000000"/>
            </w:tcBorders>
          </w:tcPr>
          <w:p w14:paraId="0565CDBE" w14:textId="77777777" w:rsidR="005345BC" w:rsidRDefault="00F979FB">
            <w:pPr>
              <w:spacing w:after="0" w:line="259" w:lineRule="auto"/>
              <w:ind w:left="158" w:firstLine="0"/>
            </w:pPr>
            <w:r>
              <w:t xml:space="preserve">£45m </w:t>
            </w:r>
          </w:p>
        </w:tc>
        <w:tc>
          <w:tcPr>
            <w:tcW w:w="1138" w:type="dxa"/>
            <w:tcBorders>
              <w:top w:val="single" w:sz="8" w:space="0" w:color="000000"/>
              <w:left w:val="single" w:sz="8" w:space="0" w:color="000000"/>
              <w:bottom w:val="single" w:sz="8" w:space="0" w:color="000000"/>
              <w:right w:val="single" w:sz="8" w:space="0" w:color="000000"/>
            </w:tcBorders>
          </w:tcPr>
          <w:p w14:paraId="2D92A9FF" w14:textId="77777777" w:rsidR="005345BC" w:rsidRDefault="00F979FB">
            <w:pPr>
              <w:spacing w:after="0" w:line="259" w:lineRule="auto"/>
              <w:ind w:left="0" w:right="40" w:firstLine="0"/>
              <w:jc w:val="center"/>
            </w:pPr>
            <w:r>
              <w:t xml:space="preserve">£45m </w:t>
            </w:r>
          </w:p>
        </w:tc>
        <w:tc>
          <w:tcPr>
            <w:tcW w:w="1138" w:type="dxa"/>
            <w:tcBorders>
              <w:top w:val="single" w:sz="8" w:space="0" w:color="000000"/>
              <w:left w:val="single" w:sz="8" w:space="0" w:color="000000"/>
              <w:bottom w:val="single" w:sz="8" w:space="0" w:color="000000"/>
              <w:right w:val="single" w:sz="8" w:space="0" w:color="000000"/>
            </w:tcBorders>
          </w:tcPr>
          <w:p w14:paraId="6E906969" w14:textId="77777777" w:rsidR="005345BC" w:rsidRDefault="00F979FB">
            <w:pPr>
              <w:spacing w:after="0" w:line="259" w:lineRule="auto"/>
              <w:ind w:left="0" w:right="40" w:firstLine="0"/>
              <w:jc w:val="center"/>
            </w:pPr>
            <w:r>
              <w:t xml:space="preserve">£45m </w:t>
            </w:r>
          </w:p>
        </w:tc>
        <w:tc>
          <w:tcPr>
            <w:tcW w:w="1138" w:type="dxa"/>
            <w:tcBorders>
              <w:top w:val="single" w:sz="8" w:space="0" w:color="000000"/>
              <w:left w:val="single" w:sz="8" w:space="0" w:color="000000"/>
              <w:bottom w:val="single" w:sz="8" w:space="0" w:color="000000"/>
              <w:right w:val="single" w:sz="8" w:space="0" w:color="000000"/>
            </w:tcBorders>
          </w:tcPr>
          <w:p w14:paraId="3528CFD1" w14:textId="77777777" w:rsidR="005345BC" w:rsidRDefault="00F979FB">
            <w:pPr>
              <w:spacing w:after="0" w:line="259" w:lineRule="auto"/>
              <w:ind w:left="0" w:right="42" w:firstLine="0"/>
              <w:jc w:val="center"/>
            </w:pPr>
            <w:r>
              <w:t xml:space="preserve">£5m </w:t>
            </w:r>
          </w:p>
        </w:tc>
      </w:tr>
    </w:tbl>
    <w:p w14:paraId="53594635" w14:textId="77777777" w:rsidR="005345BC" w:rsidRDefault="00F979FB">
      <w:pPr>
        <w:spacing w:after="165" w:line="259" w:lineRule="auto"/>
        <w:ind w:left="108" w:firstLine="0"/>
      </w:pPr>
      <w:r>
        <w:t xml:space="preserve">  </w:t>
      </w:r>
      <w:r>
        <w:tab/>
        <w:t xml:space="preserve">  </w:t>
      </w:r>
      <w:r>
        <w:tab/>
        <w:t xml:space="preserve">  </w:t>
      </w:r>
      <w:r>
        <w:tab/>
        <w:t xml:space="preserve">  </w:t>
      </w:r>
      <w:r>
        <w:tab/>
        <w:t xml:space="preserve">  </w:t>
      </w:r>
    </w:p>
    <w:p w14:paraId="22E744C9" w14:textId="77777777" w:rsidR="005345BC" w:rsidRDefault="00F979FB" w:rsidP="008A7646">
      <w:pPr>
        <w:pStyle w:val="Heading1"/>
        <w:spacing w:after="34"/>
        <w:ind w:left="0"/>
      </w:pPr>
      <w:r>
        <w:t xml:space="preserve">9. Related Matters </w:t>
      </w:r>
    </w:p>
    <w:p w14:paraId="1D468B38" w14:textId="32A2E1E0" w:rsidR="005345BC" w:rsidRDefault="00193E02" w:rsidP="008A7646">
      <w:pPr>
        <w:ind w:left="0" w:right="175" w:hanging="17"/>
      </w:pPr>
      <w:r>
        <w:t>9.</w:t>
      </w:r>
      <w:r w:rsidR="008A7646">
        <w:t xml:space="preserve">1. </w:t>
      </w:r>
      <w:r w:rsidR="00F979FB">
        <w:t xml:space="preserve">The CIPFA Code requires the PCC to include the following in its TMSS. </w:t>
      </w:r>
    </w:p>
    <w:p w14:paraId="36579FA9" w14:textId="77777777" w:rsidR="008A7646" w:rsidRDefault="008A7646" w:rsidP="008A7646">
      <w:pPr>
        <w:ind w:left="0" w:right="175" w:hanging="17"/>
      </w:pPr>
    </w:p>
    <w:p w14:paraId="5A94F8B3" w14:textId="77777777" w:rsidR="005345BC" w:rsidRDefault="00F979FB" w:rsidP="008A7646">
      <w:pPr>
        <w:pStyle w:val="Heading1"/>
        <w:ind w:left="0"/>
      </w:pPr>
      <w:r>
        <w:t>Policy on Use of Financial Derivatives</w:t>
      </w:r>
      <w:r>
        <w:rPr>
          <w:b w:val="0"/>
        </w:rPr>
        <w:t xml:space="preserve"> </w:t>
      </w:r>
    </w:p>
    <w:p w14:paraId="2015D0DB" w14:textId="23CFB709" w:rsidR="005345BC" w:rsidRDefault="00193E02" w:rsidP="008A7646">
      <w:pPr>
        <w:ind w:left="0" w:right="175" w:hanging="17"/>
      </w:pPr>
      <w:r>
        <w:t>9.</w:t>
      </w:r>
      <w:r w:rsidR="008A7646">
        <w:t xml:space="preserve">2. </w:t>
      </w:r>
      <w:r w:rsidR="00F979FB">
        <w:t xml:space="preserve">In the absence of any explicit legal power to do so, the PCC will not use standalone financial derivatives (such as swaps, forwards, futures and options).  Derivatives embedded into loans and investments, including pooled funds and forward starting transactions, may be used, and the risks that they present will be managed in line with the overall treasury risk management strategy. </w:t>
      </w:r>
    </w:p>
    <w:p w14:paraId="7FFA35A0" w14:textId="77777777" w:rsidR="008A7646" w:rsidRDefault="008A7646" w:rsidP="008A7646">
      <w:pPr>
        <w:ind w:left="0" w:right="175" w:hanging="17"/>
      </w:pPr>
    </w:p>
    <w:p w14:paraId="3CE833AF" w14:textId="77777777" w:rsidR="005345BC" w:rsidRDefault="00F979FB" w:rsidP="008A7646">
      <w:pPr>
        <w:pStyle w:val="Heading1"/>
        <w:ind w:left="0"/>
      </w:pPr>
      <w:r>
        <w:t>Markets in Financial Instruments Directive</w:t>
      </w:r>
      <w:r>
        <w:rPr>
          <w:b w:val="0"/>
        </w:rPr>
        <w:t xml:space="preserve"> </w:t>
      </w:r>
    </w:p>
    <w:p w14:paraId="3313A474" w14:textId="2B302430" w:rsidR="008A7646" w:rsidRDefault="00193E02" w:rsidP="008A7646">
      <w:pPr>
        <w:ind w:left="0" w:right="175" w:hanging="17"/>
      </w:pPr>
      <w:r>
        <w:t>9.</w:t>
      </w:r>
      <w:r w:rsidR="008A7646">
        <w:t xml:space="preserve">3. </w:t>
      </w:r>
      <w:r w:rsidR="00F979FB">
        <w:t>The PCC has opted up to professional client status with its providers of financial services, including advisers, banks, brokers and fund managers, allowing it access to a greater range of services but without the greater regulatory protections afforded to individuals and smaller companies. Given the size and range of the PCC’s treasury management activities, the Chief Financial Officer believes this to be the most appropriate status.</w:t>
      </w:r>
    </w:p>
    <w:p w14:paraId="1398D4DA" w14:textId="77777777" w:rsidR="005345BC" w:rsidRDefault="00F979FB" w:rsidP="008A7646">
      <w:pPr>
        <w:ind w:left="0" w:right="175" w:hanging="17"/>
      </w:pPr>
      <w:r>
        <w:t xml:space="preserve"> </w:t>
      </w:r>
    </w:p>
    <w:p w14:paraId="692A7972" w14:textId="77777777" w:rsidR="005345BC" w:rsidRDefault="00F979FB" w:rsidP="008A7646">
      <w:pPr>
        <w:pStyle w:val="Heading1"/>
        <w:spacing w:after="34"/>
        <w:ind w:left="0"/>
      </w:pPr>
      <w:r>
        <w:t xml:space="preserve">10. Financial implications </w:t>
      </w:r>
    </w:p>
    <w:p w14:paraId="1D820AD8" w14:textId="366094F7" w:rsidR="005345BC" w:rsidRDefault="008A7646" w:rsidP="008A7646">
      <w:pPr>
        <w:spacing w:after="0" w:line="282" w:lineRule="auto"/>
        <w:ind w:left="0" w:hanging="22"/>
      </w:pPr>
      <w:r>
        <w:t>1</w:t>
      </w:r>
      <w:r w:rsidR="003C6F22">
        <w:t>0</w:t>
      </w:r>
      <w:r>
        <w:t>.1</w:t>
      </w:r>
      <w:r w:rsidR="003C6F22">
        <w:t xml:space="preserve">. The </w:t>
      </w:r>
      <w:r w:rsidR="003C6F22" w:rsidRPr="00BD1F01">
        <w:rPr>
          <w:szCs w:val="24"/>
        </w:rPr>
        <w:t>budget for investment income in 2024/25 is £2m, whilst the budget for debt interest paid in 2024/25 is £1.276m</w:t>
      </w:r>
      <w:r w:rsidR="003C6F22">
        <w:t xml:space="preserve"> </w:t>
      </w:r>
      <w:r w:rsidR="00F979FB">
        <w:t xml:space="preserve">which is based on the expected fixed interest costs of the current debt portfolio.  If actual levels of investments and borrowing, or actual interest rates, differ from those forecast, performance against budget will be correspondingly different.  </w:t>
      </w:r>
    </w:p>
    <w:p w14:paraId="20E6C0AF" w14:textId="77777777" w:rsidR="008A7646" w:rsidRDefault="008A7646" w:rsidP="008A7646">
      <w:pPr>
        <w:spacing w:after="0" w:line="282" w:lineRule="auto"/>
        <w:ind w:left="0" w:hanging="22"/>
      </w:pPr>
    </w:p>
    <w:p w14:paraId="4F7AC69A" w14:textId="77777777" w:rsidR="005345BC" w:rsidRDefault="00F979FB" w:rsidP="008A7646">
      <w:pPr>
        <w:pStyle w:val="Heading1"/>
        <w:spacing w:after="34"/>
        <w:ind w:left="0"/>
      </w:pPr>
      <w:r>
        <w:t xml:space="preserve">11. Other Options Considered </w:t>
      </w:r>
    </w:p>
    <w:p w14:paraId="3421D14C" w14:textId="77777777" w:rsidR="008A7646" w:rsidRPr="008A7646" w:rsidRDefault="008A7646" w:rsidP="008A7646"/>
    <w:p w14:paraId="106711CD" w14:textId="323F962E" w:rsidR="005345BC" w:rsidRDefault="008A7646" w:rsidP="008A7646">
      <w:pPr>
        <w:ind w:left="0" w:right="175" w:hanging="17"/>
      </w:pPr>
      <w:r>
        <w:t>1</w:t>
      </w:r>
      <w:r w:rsidR="003C6F22">
        <w:t>1</w:t>
      </w:r>
      <w:r>
        <w:t xml:space="preserve">.1. </w:t>
      </w:r>
      <w:r w:rsidR="00F979FB">
        <w:t xml:space="preserve">The CIPFA Code does not prescribe any particular treasury management strategy for local authorities to adopt. The Chief Financial Officer believes that the above strategy represents an appropriate balance between risk management and cost effectiveness.  Some alternative strategies, with their financial and risk management implications, are listed in Table 8. </w:t>
      </w:r>
    </w:p>
    <w:p w14:paraId="5D2299FF" w14:textId="77777777" w:rsidR="008A7646" w:rsidRDefault="008A7646" w:rsidP="008A7646">
      <w:pPr>
        <w:ind w:left="0" w:right="175" w:hanging="17"/>
      </w:pPr>
    </w:p>
    <w:tbl>
      <w:tblPr>
        <w:tblStyle w:val="TableGrid"/>
        <w:tblW w:w="9137" w:type="dxa"/>
        <w:tblInd w:w="670" w:type="dxa"/>
        <w:tblCellMar>
          <w:top w:w="58" w:type="dxa"/>
          <w:left w:w="108" w:type="dxa"/>
          <w:right w:w="56" w:type="dxa"/>
        </w:tblCellMar>
        <w:tblLook w:val="04A0" w:firstRow="1" w:lastRow="0" w:firstColumn="1" w:lastColumn="0" w:noHBand="0" w:noVBand="1"/>
      </w:tblPr>
      <w:tblGrid>
        <w:gridCol w:w="3045"/>
        <w:gridCol w:w="3046"/>
        <w:gridCol w:w="3046"/>
      </w:tblGrid>
      <w:tr w:rsidR="005345BC" w14:paraId="6510D522" w14:textId="77777777">
        <w:trPr>
          <w:trHeight w:val="581"/>
        </w:trPr>
        <w:tc>
          <w:tcPr>
            <w:tcW w:w="9137" w:type="dxa"/>
            <w:gridSpan w:val="3"/>
            <w:tcBorders>
              <w:top w:val="single" w:sz="8" w:space="0" w:color="000000"/>
              <w:left w:val="single" w:sz="8" w:space="0" w:color="000000"/>
              <w:bottom w:val="single" w:sz="8" w:space="0" w:color="000000"/>
              <w:right w:val="single" w:sz="8" w:space="0" w:color="000000"/>
            </w:tcBorders>
            <w:vAlign w:val="center"/>
          </w:tcPr>
          <w:p w14:paraId="137AB224" w14:textId="77777777" w:rsidR="005345BC" w:rsidRDefault="00F979FB">
            <w:pPr>
              <w:spacing w:after="0" w:line="259" w:lineRule="auto"/>
              <w:ind w:left="0" w:firstLine="0"/>
            </w:pPr>
            <w:r>
              <w:rPr>
                <w:b/>
              </w:rPr>
              <w:t>Table 8: Alternative strategies and their implications</w:t>
            </w:r>
            <w:r>
              <w:t xml:space="preserve"> </w:t>
            </w:r>
          </w:p>
        </w:tc>
      </w:tr>
      <w:tr w:rsidR="005345BC" w14:paraId="35DAEA24" w14:textId="77777777">
        <w:trPr>
          <w:trHeight w:val="797"/>
        </w:trPr>
        <w:tc>
          <w:tcPr>
            <w:tcW w:w="3046" w:type="dxa"/>
            <w:tcBorders>
              <w:top w:val="single" w:sz="8" w:space="0" w:color="000000"/>
              <w:left w:val="single" w:sz="8" w:space="0" w:color="000000"/>
              <w:bottom w:val="single" w:sz="8" w:space="0" w:color="000000"/>
              <w:right w:val="single" w:sz="8" w:space="0" w:color="000000"/>
            </w:tcBorders>
          </w:tcPr>
          <w:p w14:paraId="51CD732F" w14:textId="77777777" w:rsidR="005345BC" w:rsidRDefault="00F979FB">
            <w:pPr>
              <w:spacing w:after="0" w:line="259" w:lineRule="auto"/>
              <w:ind w:left="0" w:right="56" w:firstLine="0"/>
              <w:jc w:val="center"/>
            </w:pPr>
            <w:r>
              <w:rPr>
                <w:b/>
              </w:rPr>
              <w:t>Alternative</w:t>
            </w:r>
            <w: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51C8B940" w14:textId="77777777" w:rsidR="005345BC" w:rsidRDefault="00F979FB">
            <w:pPr>
              <w:spacing w:after="0" w:line="259" w:lineRule="auto"/>
              <w:ind w:left="0" w:firstLine="0"/>
              <w:jc w:val="center"/>
            </w:pPr>
            <w:r>
              <w:rPr>
                <w:b/>
              </w:rPr>
              <w:t>Impact on income and expenditure</w:t>
            </w:r>
            <w: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1C77AAAA" w14:textId="77777777" w:rsidR="005345BC" w:rsidRDefault="00F979FB">
            <w:pPr>
              <w:spacing w:after="0" w:line="259" w:lineRule="auto"/>
              <w:ind w:left="0" w:firstLine="0"/>
              <w:jc w:val="center"/>
            </w:pPr>
            <w:r>
              <w:rPr>
                <w:b/>
              </w:rPr>
              <w:t>Impact on risk management</w:t>
            </w:r>
            <w:r>
              <w:t xml:space="preserve"> </w:t>
            </w:r>
          </w:p>
        </w:tc>
      </w:tr>
      <w:tr w:rsidR="005345BC" w14:paraId="11198D98" w14:textId="77777777">
        <w:trPr>
          <w:trHeight w:val="1438"/>
        </w:trPr>
        <w:tc>
          <w:tcPr>
            <w:tcW w:w="3046" w:type="dxa"/>
            <w:tcBorders>
              <w:top w:val="single" w:sz="8" w:space="0" w:color="000000"/>
              <w:left w:val="single" w:sz="8" w:space="0" w:color="000000"/>
              <w:bottom w:val="single" w:sz="8" w:space="0" w:color="000000"/>
              <w:right w:val="single" w:sz="8" w:space="0" w:color="000000"/>
            </w:tcBorders>
          </w:tcPr>
          <w:p w14:paraId="2A552B44" w14:textId="77777777" w:rsidR="005345BC" w:rsidRDefault="00F979FB">
            <w:pPr>
              <w:spacing w:after="0" w:line="259" w:lineRule="auto"/>
              <w:ind w:left="0" w:right="94" w:firstLine="0"/>
              <w:jc w:val="both"/>
            </w:pPr>
            <w:r>
              <w:t xml:space="preserve">Invest in a narrower range of counterparties and/or for shorter times </w:t>
            </w:r>
          </w:p>
        </w:tc>
        <w:tc>
          <w:tcPr>
            <w:tcW w:w="3046" w:type="dxa"/>
            <w:tcBorders>
              <w:top w:val="single" w:sz="8" w:space="0" w:color="000000"/>
              <w:left w:val="single" w:sz="8" w:space="0" w:color="000000"/>
              <w:bottom w:val="single" w:sz="8" w:space="0" w:color="000000"/>
              <w:right w:val="single" w:sz="8" w:space="0" w:color="000000"/>
            </w:tcBorders>
          </w:tcPr>
          <w:p w14:paraId="20698E6C" w14:textId="77777777" w:rsidR="005345BC" w:rsidRDefault="00F979FB">
            <w:pPr>
              <w:spacing w:after="0" w:line="259" w:lineRule="auto"/>
              <w:ind w:left="0" w:firstLine="0"/>
            </w:pPr>
            <w:r>
              <w:t xml:space="preserve">Interest income will be lower </w:t>
            </w:r>
          </w:p>
        </w:tc>
        <w:tc>
          <w:tcPr>
            <w:tcW w:w="3046" w:type="dxa"/>
            <w:tcBorders>
              <w:top w:val="single" w:sz="8" w:space="0" w:color="000000"/>
              <w:left w:val="single" w:sz="8" w:space="0" w:color="000000"/>
              <w:bottom w:val="single" w:sz="8" w:space="0" w:color="000000"/>
              <w:right w:val="single" w:sz="8" w:space="0" w:color="000000"/>
            </w:tcBorders>
          </w:tcPr>
          <w:p w14:paraId="0C8979FD" w14:textId="77777777" w:rsidR="005345BC" w:rsidRDefault="00F979FB">
            <w:pPr>
              <w:spacing w:after="0" w:line="259" w:lineRule="auto"/>
              <w:ind w:left="0" w:firstLine="0"/>
            </w:pPr>
            <w:r>
              <w:t xml:space="preserve">Lower chance of losses from credit related defaults, but any such losses may be greater </w:t>
            </w:r>
          </w:p>
        </w:tc>
      </w:tr>
      <w:tr w:rsidR="005345BC" w14:paraId="7DC4CEE7" w14:textId="77777777">
        <w:trPr>
          <w:trHeight w:val="1440"/>
        </w:trPr>
        <w:tc>
          <w:tcPr>
            <w:tcW w:w="3046" w:type="dxa"/>
            <w:tcBorders>
              <w:top w:val="single" w:sz="8" w:space="0" w:color="000000"/>
              <w:left w:val="single" w:sz="8" w:space="0" w:color="000000"/>
              <w:bottom w:val="single" w:sz="8" w:space="0" w:color="000000"/>
              <w:right w:val="single" w:sz="8" w:space="0" w:color="000000"/>
            </w:tcBorders>
          </w:tcPr>
          <w:p w14:paraId="1C59B9EB" w14:textId="77777777" w:rsidR="005345BC" w:rsidRDefault="00F979FB">
            <w:pPr>
              <w:spacing w:after="0" w:line="259" w:lineRule="auto"/>
              <w:ind w:left="0" w:firstLine="0"/>
            </w:pPr>
            <w:r>
              <w:t xml:space="preserve">Invest in a wider range of counterparties and/or for longer times </w:t>
            </w:r>
          </w:p>
        </w:tc>
        <w:tc>
          <w:tcPr>
            <w:tcW w:w="3046" w:type="dxa"/>
            <w:tcBorders>
              <w:top w:val="single" w:sz="8" w:space="0" w:color="000000"/>
              <w:left w:val="single" w:sz="8" w:space="0" w:color="000000"/>
              <w:bottom w:val="single" w:sz="8" w:space="0" w:color="000000"/>
              <w:right w:val="single" w:sz="8" w:space="0" w:color="000000"/>
            </w:tcBorders>
          </w:tcPr>
          <w:p w14:paraId="393E1A9A" w14:textId="77777777" w:rsidR="005345BC" w:rsidRDefault="00F979FB">
            <w:pPr>
              <w:spacing w:after="0" w:line="259" w:lineRule="auto"/>
              <w:ind w:left="0" w:firstLine="0"/>
            </w:pPr>
            <w:r>
              <w:t xml:space="preserve">Interest income will be higher </w:t>
            </w:r>
          </w:p>
        </w:tc>
        <w:tc>
          <w:tcPr>
            <w:tcW w:w="3046" w:type="dxa"/>
            <w:tcBorders>
              <w:top w:val="single" w:sz="8" w:space="0" w:color="000000"/>
              <w:left w:val="single" w:sz="8" w:space="0" w:color="000000"/>
              <w:bottom w:val="single" w:sz="8" w:space="0" w:color="000000"/>
              <w:right w:val="single" w:sz="8" w:space="0" w:color="000000"/>
            </w:tcBorders>
          </w:tcPr>
          <w:p w14:paraId="1E8F628F" w14:textId="77777777" w:rsidR="005345BC" w:rsidRDefault="00F979FB">
            <w:pPr>
              <w:spacing w:after="0" w:line="259" w:lineRule="auto"/>
              <w:ind w:left="0" w:firstLine="0"/>
            </w:pPr>
            <w:r>
              <w:t xml:space="preserve">Increased risk of losses from credit related defaults, but any such losses may be smaller </w:t>
            </w:r>
          </w:p>
        </w:tc>
      </w:tr>
      <w:tr w:rsidR="005345BC" w14:paraId="6961D468" w14:textId="77777777">
        <w:trPr>
          <w:trHeight w:val="2078"/>
        </w:trPr>
        <w:tc>
          <w:tcPr>
            <w:tcW w:w="3046" w:type="dxa"/>
            <w:tcBorders>
              <w:top w:val="single" w:sz="8" w:space="0" w:color="000000"/>
              <w:left w:val="single" w:sz="8" w:space="0" w:color="000000"/>
              <w:bottom w:val="single" w:sz="8" w:space="0" w:color="000000"/>
              <w:right w:val="single" w:sz="8" w:space="0" w:color="000000"/>
            </w:tcBorders>
          </w:tcPr>
          <w:p w14:paraId="024274A6" w14:textId="77777777" w:rsidR="005345BC" w:rsidRDefault="00F979FB">
            <w:pPr>
              <w:spacing w:after="0" w:line="259" w:lineRule="auto"/>
              <w:ind w:left="0" w:firstLine="0"/>
            </w:pPr>
            <w:r>
              <w:t xml:space="preserve">Borrow additional sums at long-term fixed interest rates </w:t>
            </w:r>
          </w:p>
        </w:tc>
        <w:tc>
          <w:tcPr>
            <w:tcW w:w="3046" w:type="dxa"/>
            <w:tcBorders>
              <w:top w:val="single" w:sz="8" w:space="0" w:color="000000"/>
              <w:left w:val="single" w:sz="8" w:space="0" w:color="000000"/>
              <w:bottom w:val="single" w:sz="8" w:space="0" w:color="000000"/>
              <w:right w:val="single" w:sz="8" w:space="0" w:color="000000"/>
            </w:tcBorders>
          </w:tcPr>
          <w:p w14:paraId="4A81BA2E" w14:textId="77777777" w:rsidR="005345BC" w:rsidRDefault="00F979FB">
            <w:pPr>
              <w:spacing w:after="0" w:line="259" w:lineRule="auto"/>
              <w:ind w:left="0" w:right="10" w:firstLine="0"/>
            </w:pPr>
            <w:r>
              <w:t xml:space="preserve">Debt interest costs will rise; this is unlikely to be offset by higher investment income </w:t>
            </w:r>
          </w:p>
        </w:tc>
        <w:tc>
          <w:tcPr>
            <w:tcW w:w="3046" w:type="dxa"/>
            <w:tcBorders>
              <w:top w:val="single" w:sz="8" w:space="0" w:color="000000"/>
              <w:left w:val="single" w:sz="8" w:space="0" w:color="000000"/>
              <w:bottom w:val="single" w:sz="8" w:space="0" w:color="000000"/>
              <w:right w:val="single" w:sz="8" w:space="0" w:color="000000"/>
            </w:tcBorders>
          </w:tcPr>
          <w:p w14:paraId="6DD04131" w14:textId="77777777" w:rsidR="005345BC" w:rsidRDefault="00F979FB">
            <w:pPr>
              <w:spacing w:after="0" w:line="259" w:lineRule="auto"/>
              <w:ind w:left="0" w:right="37" w:firstLine="0"/>
            </w:pPr>
            <w:r>
              <w:t xml:space="preserve">Higher investment balance leading to a higher impact in the event of a default; however longterm interest costs may be more certain </w:t>
            </w:r>
          </w:p>
        </w:tc>
      </w:tr>
      <w:tr w:rsidR="005345BC" w14:paraId="0832C601" w14:textId="77777777">
        <w:trPr>
          <w:trHeight w:val="2081"/>
        </w:trPr>
        <w:tc>
          <w:tcPr>
            <w:tcW w:w="3046" w:type="dxa"/>
            <w:tcBorders>
              <w:top w:val="single" w:sz="8" w:space="0" w:color="000000"/>
              <w:left w:val="single" w:sz="8" w:space="0" w:color="000000"/>
              <w:bottom w:val="single" w:sz="8" w:space="0" w:color="000000"/>
              <w:right w:val="single" w:sz="8" w:space="0" w:color="000000"/>
            </w:tcBorders>
          </w:tcPr>
          <w:p w14:paraId="691E914A" w14:textId="77777777" w:rsidR="005345BC" w:rsidRDefault="00F979FB">
            <w:pPr>
              <w:spacing w:after="0" w:line="259" w:lineRule="auto"/>
              <w:ind w:left="0" w:firstLine="0"/>
            </w:pPr>
            <w:r>
              <w:t xml:space="preserve">Borrow short-term or variable loans instead of long-term fixed rates </w:t>
            </w:r>
          </w:p>
        </w:tc>
        <w:tc>
          <w:tcPr>
            <w:tcW w:w="3046" w:type="dxa"/>
            <w:tcBorders>
              <w:top w:val="single" w:sz="8" w:space="0" w:color="000000"/>
              <w:left w:val="single" w:sz="8" w:space="0" w:color="000000"/>
              <w:bottom w:val="single" w:sz="8" w:space="0" w:color="000000"/>
              <w:right w:val="single" w:sz="8" w:space="0" w:color="000000"/>
            </w:tcBorders>
          </w:tcPr>
          <w:p w14:paraId="54B8B938" w14:textId="77777777" w:rsidR="005345BC" w:rsidRDefault="00F979FB">
            <w:pPr>
              <w:spacing w:after="0" w:line="259" w:lineRule="auto"/>
              <w:ind w:left="0" w:firstLine="0"/>
            </w:pPr>
            <w:r>
              <w:t xml:space="preserve">Debt interest costs will initially be lower </w:t>
            </w:r>
          </w:p>
        </w:tc>
        <w:tc>
          <w:tcPr>
            <w:tcW w:w="3046" w:type="dxa"/>
            <w:tcBorders>
              <w:top w:val="single" w:sz="8" w:space="0" w:color="000000"/>
              <w:left w:val="single" w:sz="8" w:space="0" w:color="000000"/>
              <w:bottom w:val="single" w:sz="8" w:space="0" w:color="000000"/>
              <w:right w:val="single" w:sz="8" w:space="0" w:color="000000"/>
            </w:tcBorders>
          </w:tcPr>
          <w:p w14:paraId="4DA6846A" w14:textId="77777777" w:rsidR="005345BC" w:rsidRDefault="00F979FB">
            <w:pPr>
              <w:spacing w:after="0" w:line="259" w:lineRule="auto"/>
              <w:ind w:left="0" w:firstLine="0"/>
            </w:pPr>
            <w:r>
              <w:t xml:space="preserve">Increases in debt interest costs will be broadly offset by rising investment income in the medium term, but long-term costs may be less certain </w:t>
            </w:r>
          </w:p>
        </w:tc>
      </w:tr>
      <w:tr w:rsidR="005345BC" w14:paraId="41DD3813" w14:textId="77777777">
        <w:trPr>
          <w:trHeight w:val="1303"/>
        </w:trPr>
        <w:tc>
          <w:tcPr>
            <w:tcW w:w="3046" w:type="dxa"/>
            <w:tcBorders>
              <w:top w:val="single" w:sz="8" w:space="0" w:color="000000"/>
              <w:left w:val="single" w:sz="8" w:space="0" w:color="000000"/>
              <w:bottom w:val="single" w:sz="8" w:space="0" w:color="000000"/>
              <w:right w:val="single" w:sz="8" w:space="0" w:color="000000"/>
            </w:tcBorders>
          </w:tcPr>
          <w:p w14:paraId="1EE2D2A2" w14:textId="77777777" w:rsidR="005345BC" w:rsidRDefault="00F979FB">
            <w:pPr>
              <w:spacing w:after="0" w:line="259" w:lineRule="auto"/>
              <w:ind w:left="0" w:firstLine="0"/>
              <w:jc w:val="both"/>
            </w:pPr>
            <w:r>
              <w:t xml:space="preserve">Reduce level of borrowing </w:t>
            </w:r>
          </w:p>
        </w:tc>
        <w:tc>
          <w:tcPr>
            <w:tcW w:w="3046" w:type="dxa"/>
            <w:tcBorders>
              <w:top w:val="single" w:sz="8" w:space="0" w:color="000000"/>
              <w:left w:val="single" w:sz="8" w:space="0" w:color="000000"/>
              <w:bottom w:val="single" w:sz="8" w:space="0" w:color="000000"/>
              <w:right w:val="single" w:sz="8" w:space="0" w:color="000000"/>
            </w:tcBorders>
          </w:tcPr>
          <w:p w14:paraId="7EB74227" w14:textId="77777777" w:rsidR="005345BC" w:rsidRDefault="00F979FB">
            <w:pPr>
              <w:spacing w:after="0" w:line="259" w:lineRule="auto"/>
              <w:ind w:left="0" w:firstLine="0"/>
            </w:pPr>
            <w:r>
              <w:t xml:space="preserve">Saving on debt interest is likely to exceed lost investment income </w:t>
            </w:r>
          </w:p>
        </w:tc>
        <w:tc>
          <w:tcPr>
            <w:tcW w:w="3046" w:type="dxa"/>
            <w:tcBorders>
              <w:top w:val="single" w:sz="8" w:space="0" w:color="000000"/>
              <w:left w:val="single" w:sz="8" w:space="0" w:color="000000"/>
              <w:bottom w:val="single" w:sz="8" w:space="0" w:color="000000"/>
              <w:right w:val="single" w:sz="8" w:space="0" w:color="000000"/>
            </w:tcBorders>
          </w:tcPr>
          <w:p w14:paraId="5771BFF0" w14:textId="77777777" w:rsidR="005345BC" w:rsidRDefault="00F979FB">
            <w:pPr>
              <w:spacing w:after="0" w:line="259" w:lineRule="auto"/>
              <w:ind w:left="0" w:firstLine="0"/>
            </w:pPr>
            <w:r>
              <w:t>Reduced investment balance leading to a lower impact in the event of a default; however long-</w:t>
            </w:r>
          </w:p>
        </w:tc>
      </w:tr>
      <w:tr w:rsidR="005345BC" w14:paraId="78280756" w14:textId="77777777">
        <w:trPr>
          <w:trHeight w:val="797"/>
        </w:trPr>
        <w:tc>
          <w:tcPr>
            <w:tcW w:w="3046" w:type="dxa"/>
            <w:tcBorders>
              <w:top w:val="single" w:sz="8" w:space="0" w:color="000000"/>
              <w:left w:val="single" w:sz="8" w:space="0" w:color="000000"/>
              <w:bottom w:val="single" w:sz="8" w:space="0" w:color="000000"/>
              <w:right w:val="single" w:sz="8" w:space="0" w:color="000000"/>
            </w:tcBorders>
          </w:tcPr>
          <w:p w14:paraId="5EBCFB3B" w14:textId="77777777" w:rsidR="005345BC" w:rsidRDefault="005345BC">
            <w:pPr>
              <w:spacing w:after="160" w:line="259" w:lineRule="auto"/>
              <w:ind w:left="0" w:firstLine="0"/>
            </w:pPr>
          </w:p>
        </w:tc>
        <w:tc>
          <w:tcPr>
            <w:tcW w:w="3046" w:type="dxa"/>
            <w:tcBorders>
              <w:top w:val="single" w:sz="8" w:space="0" w:color="000000"/>
              <w:left w:val="single" w:sz="8" w:space="0" w:color="000000"/>
              <w:bottom w:val="single" w:sz="8" w:space="0" w:color="000000"/>
              <w:right w:val="single" w:sz="8" w:space="0" w:color="000000"/>
            </w:tcBorders>
          </w:tcPr>
          <w:p w14:paraId="12FEE778" w14:textId="77777777" w:rsidR="005345BC" w:rsidRDefault="005345BC">
            <w:pPr>
              <w:spacing w:after="160" w:line="259" w:lineRule="auto"/>
              <w:ind w:left="0" w:firstLine="0"/>
            </w:pPr>
          </w:p>
        </w:tc>
        <w:tc>
          <w:tcPr>
            <w:tcW w:w="3046" w:type="dxa"/>
            <w:tcBorders>
              <w:top w:val="single" w:sz="8" w:space="0" w:color="000000"/>
              <w:left w:val="single" w:sz="8" w:space="0" w:color="000000"/>
              <w:bottom w:val="single" w:sz="8" w:space="0" w:color="000000"/>
              <w:right w:val="single" w:sz="8" w:space="0" w:color="000000"/>
            </w:tcBorders>
          </w:tcPr>
          <w:p w14:paraId="5802A2AF" w14:textId="77777777" w:rsidR="005345BC" w:rsidRDefault="00F979FB">
            <w:pPr>
              <w:spacing w:after="0" w:line="259" w:lineRule="auto"/>
              <w:ind w:left="0" w:firstLine="0"/>
            </w:pPr>
            <w:r>
              <w:t xml:space="preserve">term interest costs may be less certain </w:t>
            </w:r>
          </w:p>
        </w:tc>
      </w:tr>
    </w:tbl>
    <w:p w14:paraId="32AE606F" w14:textId="77777777" w:rsidR="005345BC" w:rsidRDefault="00F979FB">
      <w:pPr>
        <w:spacing w:after="216" w:line="259" w:lineRule="auto"/>
        <w:ind w:left="0" w:firstLine="0"/>
      </w:pPr>
      <w:r>
        <w:t xml:space="preserve"> </w:t>
      </w:r>
    </w:p>
    <w:p w14:paraId="66B65545" w14:textId="77777777" w:rsidR="005345BC" w:rsidRDefault="00F979FB">
      <w:pPr>
        <w:spacing w:after="101" w:line="259" w:lineRule="auto"/>
        <w:ind w:left="-5" w:hanging="10"/>
      </w:pPr>
      <w:r>
        <w:rPr>
          <w:b/>
          <w:color w:val="0F4761"/>
        </w:rPr>
        <w:t>Arlingclose Economic and Interest Rate Forecast December 2023</w:t>
      </w:r>
      <w:r>
        <w:rPr>
          <w:color w:val="0F4761"/>
          <w:sz w:val="28"/>
        </w:rPr>
        <w:t xml:space="preserve"> </w:t>
      </w:r>
    </w:p>
    <w:p w14:paraId="7BF214D3" w14:textId="77777777" w:rsidR="005345BC" w:rsidRDefault="00F979FB">
      <w:pPr>
        <w:spacing w:after="270" w:line="270" w:lineRule="auto"/>
        <w:ind w:left="10" w:hanging="10"/>
      </w:pPr>
      <w:r>
        <w:rPr>
          <w:b/>
        </w:rPr>
        <w:t xml:space="preserve">Underlying assumptions: </w:t>
      </w:r>
      <w:r>
        <w:t xml:space="preserve"> </w:t>
      </w:r>
    </w:p>
    <w:p w14:paraId="1115DDEA" w14:textId="77777777" w:rsidR="005345BC" w:rsidRDefault="00F979FB">
      <w:pPr>
        <w:numPr>
          <w:ilvl w:val="0"/>
          <w:numId w:val="5"/>
        </w:numPr>
        <w:ind w:right="175" w:hanging="360"/>
      </w:pPr>
      <w:r>
        <w:t xml:space="preserve">UK inflation and wage growth remain elevated but have eased over the past two months fuelling rate cuts expectations. Near-term rate cuts remain unlikely, although downside risks will increase as the UK economy likely slides into recession.  </w:t>
      </w:r>
    </w:p>
    <w:p w14:paraId="0EEF05D8" w14:textId="77777777" w:rsidR="005345BC" w:rsidRDefault="00F979FB">
      <w:pPr>
        <w:numPr>
          <w:ilvl w:val="0"/>
          <w:numId w:val="5"/>
        </w:numPr>
        <w:ind w:right="175" w:hanging="360"/>
      </w:pPr>
      <w:r>
        <w:t xml:space="preserve">The MPC’s message remains unchanged as the Committee seeks to maintain tighter financial conditions. Monetary policy will remain tight as inflation is expected to moderate to target slowly, although some wage and inflation measures are below the Bank’s last forecasts.  </w:t>
      </w:r>
    </w:p>
    <w:p w14:paraId="02BFECEA" w14:textId="77777777" w:rsidR="005345BC" w:rsidRDefault="00F979FB">
      <w:pPr>
        <w:numPr>
          <w:ilvl w:val="0"/>
          <w:numId w:val="5"/>
        </w:numPr>
        <w:ind w:right="175" w:hanging="360"/>
      </w:pPr>
      <w:r>
        <w:t xml:space="preserve">Despite some deterioration in activity data, the UK economy remains resilient in the face of tighter monetary policy. Recent data has been soft but mixed; the more timely PMI figures suggest that the services sector is recovering from a weak Q3. Tighter policy will however bear down on domestic and external activity as interest rates bite.  </w:t>
      </w:r>
    </w:p>
    <w:p w14:paraId="17F07E63" w14:textId="77777777" w:rsidR="005345BC" w:rsidRDefault="00F979FB">
      <w:pPr>
        <w:numPr>
          <w:ilvl w:val="0"/>
          <w:numId w:val="5"/>
        </w:numPr>
        <w:ind w:right="175" w:hanging="360"/>
      </w:pPr>
      <w:r>
        <w:t xml:space="preserve">Employment demand is easing. Anecdotal evidence suggests slowing recruitment and pay growth, and we expect unemployment to rise further. As unemployment rises and interest rates remain high, consumer sentiment will deteriorate. Household and business spending will therefore be weak.  </w:t>
      </w:r>
    </w:p>
    <w:p w14:paraId="002D6A59" w14:textId="77777777" w:rsidR="005345BC" w:rsidRDefault="00F979FB">
      <w:pPr>
        <w:numPr>
          <w:ilvl w:val="0"/>
          <w:numId w:val="5"/>
        </w:numPr>
        <w:ind w:right="175" w:hanging="360"/>
      </w:pPr>
      <w:r>
        <w:t xml:space="preserve">Inflation will fall over the next 12 months. The path to the target will not be smooth, with higher energy prices and base effects interrupting the downtrend at times. The MPC’s attention will remain on underlying inflation measures and wage data. We believe policy rates will remain at the peak for another 10 months, or until the MPC is comfortable the risk of further ‘second-round’ effects has diminished.  </w:t>
      </w:r>
    </w:p>
    <w:p w14:paraId="69557C4C" w14:textId="77777777" w:rsidR="005345BC" w:rsidRDefault="00F979FB">
      <w:pPr>
        <w:numPr>
          <w:ilvl w:val="0"/>
          <w:numId w:val="5"/>
        </w:numPr>
        <w:ind w:right="175" w:hanging="360"/>
      </w:pPr>
      <w:r>
        <w:t xml:space="preserve">Maintaining monetary policy in restrictive territory for so long, when the economy is already struggling, will require significant loosening in the future to boost activity.  </w:t>
      </w:r>
    </w:p>
    <w:p w14:paraId="0F8E50A5" w14:textId="77777777" w:rsidR="005345BC" w:rsidRDefault="00F979FB">
      <w:pPr>
        <w:numPr>
          <w:ilvl w:val="0"/>
          <w:numId w:val="5"/>
        </w:numPr>
        <w:ind w:right="175" w:hanging="360"/>
      </w:pPr>
      <w:r>
        <w:t xml:space="preserve">Global bond yields will remain volatile. Markets are currently running with expectations of near-term US rate cuts, fuelled somewhat unexpectedly by US policymakers themselves. Term premia and bond yields have experienced a marked decline. It would not be a surprise to see a reversal if data points do not support the narrative, but the current 10-year yield appears broadly reflective of a lower medium- term level for Bank Rate.  </w:t>
      </w:r>
    </w:p>
    <w:p w14:paraId="61B8946B" w14:textId="77777777" w:rsidR="005345BC" w:rsidRDefault="00F979FB">
      <w:pPr>
        <w:numPr>
          <w:ilvl w:val="0"/>
          <w:numId w:val="5"/>
        </w:numPr>
        <w:ind w:right="175" w:hanging="360"/>
      </w:pPr>
      <w:r>
        <w:t xml:space="preserve">There is a heightened risk of fiscal policy and/or geo-political events causing substantial volatility in yields. </w:t>
      </w:r>
    </w:p>
    <w:p w14:paraId="0122BBD8" w14:textId="77777777" w:rsidR="005345BC" w:rsidRDefault="00F979FB">
      <w:pPr>
        <w:spacing w:after="158" w:line="259" w:lineRule="auto"/>
        <w:ind w:left="720" w:firstLine="0"/>
      </w:pPr>
      <w:r>
        <w:t xml:space="preserve">  </w:t>
      </w:r>
    </w:p>
    <w:p w14:paraId="2C8D0152" w14:textId="77777777" w:rsidR="005345BC" w:rsidRDefault="00F979FB">
      <w:pPr>
        <w:spacing w:after="147" w:line="270" w:lineRule="auto"/>
        <w:ind w:left="10" w:hanging="10"/>
      </w:pPr>
      <w:r>
        <w:rPr>
          <w:b/>
        </w:rPr>
        <w:t xml:space="preserve">Forecast: </w:t>
      </w:r>
      <w:r>
        <w:t xml:space="preserve"> </w:t>
      </w:r>
    </w:p>
    <w:p w14:paraId="387874F1" w14:textId="77777777" w:rsidR="005345BC" w:rsidRDefault="00F979FB">
      <w:pPr>
        <w:numPr>
          <w:ilvl w:val="0"/>
          <w:numId w:val="5"/>
        </w:numPr>
        <w:ind w:right="175" w:hanging="360"/>
      </w:pPr>
      <w:r>
        <w:t xml:space="preserve">The MPC held Bank Rate at 5.25% in December. We believe this is the peak for Bank Rate. </w:t>
      </w:r>
    </w:p>
    <w:p w14:paraId="002B11D7" w14:textId="77777777" w:rsidR="005345BC" w:rsidRDefault="00F979FB">
      <w:pPr>
        <w:numPr>
          <w:ilvl w:val="0"/>
          <w:numId w:val="5"/>
        </w:numPr>
        <w:ind w:right="175" w:hanging="360"/>
      </w:pPr>
      <w:r>
        <w:t xml:space="preserve">The MPC will cut rates in the medium term to stimulate the UK economy but will be reluctant to do so until it is sure there will be no lingering second-round effects. We see rate cuts from Q3 2024 to a low of around 3% by early mid 2026. </w:t>
      </w:r>
    </w:p>
    <w:p w14:paraId="0F581D74" w14:textId="77777777" w:rsidR="005345BC" w:rsidRDefault="00F979FB">
      <w:pPr>
        <w:numPr>
          <w:ilvl w:val="0"/>
          <w:numId w:val="5"/>
        </w:numPr>
        <w:ind w:right="175" w:hanging="360"/>
      </w:pPr>
      <w:r>
        <w:t xml:space="preserve">The immediate risks around Bank Rate have become more balanced, due to the weakening UK economy and dampening effects on inflation. This shifts to the downside in the short term as the economy weakens. </w:t>
      </w:r>
    </w:p>
    <w:p w14:paraId="426EB565" w14:textId="77777777" w:rsidR="005345BC" w:rsidRDefault="00F979FB">
      <w:pPr>
        <w:numPr>
          <w:ilvl w:val="0"/>
          <w:numId w:val="5"/>
        </w:numPr>
        <w:ind w:right="175" w:hanging="360"/>
      </w:pPr>
      <w:r>
        <w:t xml:space="preserve">Long-term gilt yields are now substantially lower. Arlingclose expects yields to be flat from here over the short-term reflecting medium term Bank Rate forecasts. </w:t>
      </w:r>
    </w:p>
    <w:p w14:paraId="2C31CC20" w14:textId="2B293C72" w:rsidR="005345BC" w:rsidRDefault="00F979FB">
      <w:pPr>
        <w:ind w:left="720" w:right="175" w:firstLine="0"/>
      </w:pPr>
      <w:r>
        <w:t xml:space="preserve">Periodic volatility is likely. </w:t>
      </w:r>
    </w:p>
    <w:p w14:paraId="0D70AAEA" w14:textId="5DBE45EB" w:rsidR="005345BC" w:rsidRDefault="00193E02" w:rsidP="00193E02">
      <w:pPr>
        <w:ind w:left="720" w:right="175" w:firstLine="0"/>
      </w:pPr>
      <w:r w:rsidRPr="00995B30">
        <w:rPr>
          <w:noProof/>
          <w:szCs w:val="24"/>
        </w:rPr>
        <w:drawing>
          <wp:inline distT="0" distB="0" distL="0" distR="0" wp14:anchorId="6CF6DBEE" wp14:editId="55602355">
            <wp:extent cx="5969529" cy="3705225"/>
            <wp:effectExtent l="0" t="0" r="0" b="0"/>
            <wp:docPr id="245694460" name="Picture 245694460" descr="A table with numbers and a few red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94460" name="Picture 1" descr="A table with numbers and a few red and white text&#10;&#10;Description automatically generated with medium confidence"/>
                    <pic:cNvPicPr/>
                  </pic:nvPicPr>
                  <pic:blipFill>
                    <a:blip r:embed="rId6"/>
                    <a:stretch>
                      <a:fillRect/>
                    </a:stretch>
                  </pic:blipFill>
                  <pic:spPr>
                    <a:xfrm>
                      <a:off x="0" y="0"/>
                      <a:ext cx="5982545" cy="3713304"/>
                    </a:xfrm>
                    <a:prstGeom prst="rect">
                      <a:avLst/>
                    </a:prstGeom>
                  </pic:spPr>
                </pic:pic>
              </a:graphicData>
            </a:graphic>
          </wp:inline>
        </w:drawing>
      </w:r>
      <w:r w:rsidR="00F979FB">
        <w:t xml:space="preserve"> </w:t>
      </w:r>
    </w:p>
    <w:p w14:paraId="585235CC" w14:textId="77777777" w:rsidR="00193E02" w:rsidRDefault="00F979FB" w:rsidP="008E7AA3">
      <w:pPr>
        <w:spacing w:after="184" w:line="259" w:lineRule="auto"/>
        <w:ind w:left="0" w:firstLine="0"/>
      </w:pPr>
      <w:r>
        <w:t xml:space="preserve"> </w:t>
      </w:r>
    </w:p>
    <w:p w14:paraId="36598AD5" w14:textId="18142814" w:rsidR="005345BC" w:rsidRDefault="00F979FB" w:rsidP="008E7AA3">
      <w:pPr>
        <w:spacing w:after="184" w:line="259" w:lineRule="auto"/>
        <w:ind w:left="0" w:firstLine="0"/>
      </w:pPr>
      <w:r>
        <w:rPr>
          <w:b/>
        </w:rPr>
        <w:t>Existing Investment &amp; Debt Portfolio Position at 31 December 2023</w:t>
      </w:r>
      <w:r>
        <w:t xml:space="preserve"> </w:t>
      </w:r>
    </w:p>
    <w:p w14:paraId="242FCD38" w14:textId="77777777" w:rsidR="005345BC" w:rsidRDefault="00F979FB">
      <w:pPr>
        <w:pStyle w:val="Heading1"/>
        <w:spacing w:after="0"/>
        <w:ind w:left="118"/>
      </w:pPr>
      <w:r>
        <w:t>Treasury investment position</w:t>
      </w:r>
      <w:r>
        <w:rPr>
          <w:b w:val="0"/>
        </w:rPr>
        <w:t xml:space="preserve"> </w:t>
      </w:r>
    </w:p>
    <w:tbl>
      <w:tblPr>
        <w:tblStyle w:val="TableGrid"/>
        <w:tblW w:w="9488" w:type="dxa"/>
        <w:tblInd w:w="0" w:type="dxa"/>
        <w:tblCellMar>
          <w:top w:w="10" w:type="dxa"/>
          <w:left w:w="47" w:type="dxa"/>
          <w:bottom w:w="55" w:type="dxa"/>
        </w:tblCellMar>
        <w:tblLook w:val="04A0" w:firstRow="1" w:lastRow="0" w:firstColumn="1" w:lastColumn="0" w:noHBand="0" w:noVBand="1"/>
      </w:tblPr>
      <w:tblGrid>
        <w:gridCol w:w="2999"/>
        <w:gridCol w:w="1209"/>
        <w:gridCol w:w="1370"/>
        <w:gridCol w:w="1500"/>
        <w:gridCol w:w="864"/>
        <w:gridCol w:w="270"/>
        <w:gridCol w:w="1276"/>
      </w:tblGrid>
      <w:tr w:rsidR="005345BC" w14:paraId="030FA490" w14:textId="77777777" w:rsidTr="00193E02">
        <w:trPr>
          <w:trHeight w:val="1921"/>
        </w:trPr>
        <w:tc>
          <w:tcPr>
            <w:tcW w:w="2999" w:type="dxa"/>
            <w:tcBorders>
              <w:top w:val="single" w:sz="8" w:space="0" w:color="000000"/>
              <w:left w:val="single" w:sz="8" w:space="0" w:color="000000"/>
              <w:bottom w:val="single" w:sz="8" w:space="0" w:color="000000"/>
              <w:right w:val="single" w:sz="8" w:space="0" w:color="000000"/>
            </w:tcBorders>
          </w:tcPr>
          <w:p w14:paraId="58E0ADE4" w14:textId="77777777" w:rsidR="005345BC" w:rsidRDefault="00F979FB">
            <w:pPr>
              <w:spacing w:after="0" w:line="259" w:lineRule="auto"/>
              <w:ind w:left="0" w:firstLine="0"/>
            </w:pPr>
            <w:r>
              <w:rPr>
                <w:b/>
              </w:rPr>
              <w:t>Investments</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3E7BE7C8" w14:textId="77777777" w:rsidR="005345BC" w:rsidRDefault="00F979FB">
            <w:pPr>
              <w:spacing w:after="0" w:line="280" w:lineRule="auto"/>
              <w:ind w:left="79" w:hanging="14"/>
            </w:pPr>
            <w:r>
              <w:rPr>
                <w:b/>
              </w:rPr>
              <w:t>30/09/23  Balance</w:t>
            </w:r>
            <w:r>
              <w:t xml:space="preserve"> </w:t>
            </w:r>
          </w:p>
          <w:p w14:paraId="3277C956" w14:textId="77777777" w:rsidR="005345BC" w:rsidRDefault="00F979FB">
            <w:pPr>
              <w:spacing w:after="137" w:line="278" w:lineRule="auto"/>
              <w:ind w:left="1001" w:right="-28" w:firstLine="0"/>
            </w:pPr>
            <w:r>
              <w:rPr>
                <w:b/>
              </w:rPr>
              <w:t xml:space="preserve"> </w:t>
            </w:r>
            <w:r>
              <w:t xml:space="preserve"> </w:t>
            </w:r>
            <w:r>
              <w:rPr>
                <w:b/>
              </w:rPr>
              <w:t xml:space="preserve"> </w:t>
            </w:r>
          </w:p>
          <w:p w14:paraId="3873AE60" w14:textId="77777777" w:rsidR="005345BC" w:rsidRDefault="00F979FB">
            <w:pPr>
              <w:spacing w:after="158" w:line="259" w:lineRule="auto"/>
              <w:ind w:left="0" w:right="-28" w:firstLine="0"/>
              <w:jc w:val="right"/>
            </w:pPr>
            <w:r>
              <w:rPr>
                <w:b/>
              </w:rPr>
              <w:t xml:space="preserve"> </w:t>
            </w:r>
            <w:r>
              <w:t xml:space="preserve"> </w:t>
            </w:r>
          </w:p>
          <w:p w14:paraId="48F57350" w14:textId="77777777" w:rsidR="005345BC" w:rsidRDefault="00F979FB">
            <w:pPr>
              <w:spacing w:after="0" w:line="259" w:lineRule="auto"/>
              <w:ind w:left="0" w:right="106" w:firstLine="0"/>
              <w:jc w:val="right"/>
            </w:pPr>
            <w:r>
              <w:rPr>
                <w:b/>
              </w:rPr>
              <w:t>£m</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0B55A71F" w14:textId="77777777" w:rsidR="005345BC" w:rsidRDefault="00F979FB">
            <w:pPr>
              <w:spacing w:after="24" w:line="259" w:lineRule="auto"/>
              <w:ind w:left="0" w:right="110" w:firstLine="0"/>
              <w:jc w:val="right"/>
            </w:pPr>
            <w:r>
              <w:rPr>
                <w:b/>
              </w:rPr>
              <w:t xml:space="preserve">Net </w:t>
            </w:r>
          </w:p>
          <w:p w14:paraId="6FF908AE" w14:textId="77777777" w:rsidR="005345BC" w:rsidRDefault="00F979FB" w:rsidP="008E7AA3">
            <w:pPr>
              <w:spacing w:after="24" w:line="259" w:lineRule="auto"/>
              <w:ind w:left="122" w:firstLine="0"/>
            </w:pPr>
            <w:r>
              <w:rPr>
                <w:b/>
              </w:rPr>
              <w:t>movement</w:t>
            </w:r>
            <w:r>
              <w:t xml:space="preserve"> </w:t>
            </w:r>
          </w:p>
          <w:p w14:paraId="3FCEF2CC" w14:textId="77777777" w:rsidR="005345BC" w:rsidRDefault="00F979FB">
            <w:pPr>
              <w:spacing w:after="134" w:line="280" w:lineRule="auto"/>
              <w:ind w:left="1097" w:right="-24" w:firstLine="0"/>
            </w:pPr>
            <w:r>
              <w:rPr>
                <w:b/>
              </w:rPr>
              <w:t xml:space="preserve"> </w:t>
            </w:r>
            <w:r>
              <w:t xml:space="preserve"> </w:t>
            </w:r>
            <w:r>
              <w:rPr>
                <w:b/>
              </w:rPr>
              <w:t xml:space="preserve"> </w:t>
            </w:r>
          </w:p>
          <w:p w14:paraId="0145520E" w14:textId="77777777" w:rsidR="005345BC" w:rsidRDefault="00F979FB">
            <w:pPr>
              <w:spacing w:after="158" w:line="259" w:lineRule="auto"/>
              <w:ind w:left="0" w:right="-24" w:firstLine="0"/>
              <w:jc w:val="right"/>
            </w:pPr>
            <w:r>
              <w:rPr>
                <w:b/>
              </w:rPr>
              <w:t xml:space="preserve"> </w:t>
            </w:r>
            <w:r>
              <w:t xml:space="preserve"> </w:t>
            </w:r>
          </w:p>
          <w:p w14:paraId="5B69A3AC" w14:textId="77777777" w:rsidR="005345BC" w:rsidRDefault="00F979FB">
            <w:pPr>
              <w:spacing w:after="0" w:line="259" w:lineRule="auto"/>
              <w:ind w:left="0" w:right="111" w:firstLine="0"/>
              <w:jc w:val="right"/>
            </w:pPr>
            <w:r>
              <w:rPr>
                <w:b/>
              </w:rPr>
              <w:t>£m</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7EB8ED5A" w14:textId="77777777" w:rsidR="005345BC" w:rsidRDefault="00F979FB">
            <w:pPr>
              <w:spacing w:after="0" w:line="280" w:lineRule="auto"/>
              <w:ind w:left="127" w:hanging="14"/>
            </w:pPr>
            <w:r>
              <w:rPr>
                <w:b/>
              </w:rPr>
              <w:t>31/12/23  Balance</w:t>
            </w:r>
            <w:r>
              <w:t xml:space="preserve"> </w:t>
            </w:r>
          </w:p>
          <w:p w14:paraId="17768245" w14:textId="77777777" w:rsidR="005345BC" w:rsidRDefault="00F979FB">
            <w:pPr>
              <w:spacing w:after="137" w:line="278" w:lineRule="auto"/>
              <w:ind w:left="1049" w:right="-28" w:firstLine="0"/>
            </w:pPr>
            <w:r>
              <w:rPr>
                <w:b/>
              </w:rPr>
              <w:t xml:space="preserve"> </w:t>
            </w:r>
            <w:r>
              <w:t xml:space="preserve"> </w:t>
            </w:r>
            <w:r>
              <w:rPr>
                <w:b/>
              </w:rPr>
              <w:t xml:space="preserve"> </w:t>
            </w:r>
          </w:p>
          <w:p w14:paraId="38704C30" w14:textId="77777777" w:rsidR="005345BC" w:rsidRDefault="00F979FB">
            <w:pPr>
              <w:spacing w:after="158" w:line="259" w:lineRule="auto"/>
              <w:ind w:left="0" w:right="-28" w:firstLine="0"/>
              <w:jc w:val="right"/>
            </w:pPr>
            <w:r>
              <w:rPr>
                <w:b/>
              </w:rPr>
              <w:t xml:space="preserve"> </w:t>
            </w:r>
            <w:r>
              <w:t xml:space="preserve"> </w:t>
            </w:r>
          </w:p>
          <w:p w14:paraId="47278CFA" w14:textId="77777777" w:rsidR="005345BC" w:rsidRDefault="00F979FB">
            <w:pPr>
              <w:spacing w:after="0" w:line="259" w:lineRule="auto"/>
              <w:ind w:left="0" w:right="106" w:firstLine="0"/>
              <w:jc w:val="right"/>
            </w:pPr>
            <w:r>
              <w:rPr>
                <w:b/>
              </w:rPr>
              <w:t>£m</w:t>
            </w: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Pr>
          <w:p w14:paraId="53582DDB" w14:textId="77777777" w:rsidR="005345BC" w:rsidRDefault="00F979FB">
            <w:pPr>
              <w:spacing w:after="24" w:line="259" w:lineRule="auto"/>
              <w:ind w:left="0" w:right="109" w:firstLine="0"/>
              <w:jc w:val="right"/>
            </w:pPr>
            <w:r>
              <w:rPr>
                <w:b/>
              </w:rPr>
              <w:t xml:space="preserve">31/12/23  </w:t>
            </w:r>
          </w:p>
          <w:p w14:paraId="78E41EFE" w14:textId="77777777" w:rsidR="005345BC" w:rsidRDefault="00F979FB">
            <w:pPr>
              <w:spacing w:after="134" w:line="280" w:lineRule="auto"/>
              <w:ind w:left="0" w:right="108" w:firstLine="0"/>
              <w:jc w:val="right"/>
            </w:pPr>
            <w:r>
              <w:rPr>
                <w:b/>
              </w:rPr>
              <w:t>Income return</w:t>
            </w:r>
            <w:r>
              <w:t xml:space="preserve"> </w:t>
            </w:r>
          </w:p>
          <w:p w14:paraId="628600D0" w14:textId="77777777" w:rsidR="005345BC" w:rsidRDefault="00F979FB">
            <w:pPr>
              <w:spacing w:after="158" w:line="259" w:lineRule="auto"/>
              <w:ind w:left="0" w:right="41" w:firstLine="0"/>
              <w:jc w:val="right"/>
            </w:pPr>
            <w:r>
              <w:t xml:space="preserve"> </w:t>
            </w:r>
          </w:p>
          <w:p w14:paraId="49DA2638" w14:textId="77777777" w:rsidR="005345BC" w:rsidRDefault="00F979FB">
            <w:pPr>
              <w:spacing w:after="0" w:line="259" w:lineRule="auto"/>
              <w:ind w:left="0" w:right="108" w:firstLine="0"/>
              <w:jc w:val="right"/>
            </w:pPr>
            <w:r>
              <w:rPr>
                <w:b/>
              </w:rPr>
              <w:t>%</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50F91972" w14:textId="77777777" w:rsidR="005345BC" w:rsidRDefault="00F979FB">
            <w:pPr>
              <w:spacing w:after="24" w:line="259" w:lineRule="auto"/>
              <w:ind w:left="0" w:right="107" w:firstLine="0"/>
              <w:jc w:val="right"/>
            </w:pPr>
            <w:r>
              <w:rPr>
                <w:b/>
              </w:rPr>
              <w:t xml:space="preserve">31/12/23 </w:t>
            </w:r>
          </w:p>
          <w:p w14:paraId="081E076D" w14:textId="07B9189B" w:rsidR="005345BC" w:rsidRDefault="00F979FB" w:rsidP="00193E02">
            <w:pPr>
              <w:spacing w:after="24" w:line="259" w:lineRule="auto"/>
              <w:ind w:left="122" w:firstLine="0"/>
            </w:pPr>
            <w:r>
              <w:rPr>
                <w:b/>
              </w:rPr>
              <w:t>Weighte</w:t>
            </w:r>
            <w:r w:rsidR="00193E02">
              <w:rPr>
                <w:b/>
              </w:rPr>
              <w:t>d</w:t>
            </w:r>
            <w:r>
              <w:rPr>
                <w:b/>
              </w:rPr>
              <w:t xml:space="preserve"> average maturity</w:t>
            </w:r>
            <w:r>
              <w:t xml:space="preserve"> </w:t>
            </w:r>
            <w:r>
              <w:rPr>
                <w:b/>
              </w:rPr>
              <w:t>years</w:t>
            </w:r>
            <w:r>
              <w:t xml:space="preserve"> </w:t>
            </w:r>
          </w:p>
        </w:tc>
      </w:tr>
      <w:tr w:rsidR="005345BC" w14:paraId="1FB63834"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0A28D220" w14:textId="77777777" w:rsidR="005345BC" w:rsidRDefault="00F979FB">
            <w:pPr>
              <w:spacing w:after="0" w:line="259" w:lineRule="auto"/>
              <w:ind w:left="0" w:firstLine="0"/>
              <w:jc w:val="both"/>
            </w:pPr>
            <w:r>
              <w:rPr>
                <w:b/>
              </w:rPr>
              <w:t xml:space="preserve">Short term investments </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5B11D6BD" w14:textId="77777777" w:rsidR="005345BC" w:rsidRDefault="00F979FB">
            <w:pPr>
              <w:spacing w:after="0" w:line="259" w:lineRule="auto"/>
              <w:ind w:left="0" w:right="-28" w:firstLine="0"/>
              <w:jc w:val="right"/>
            </w:pP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5667FB93" w14:textId="77777777" w:rsidR="005345BC" w:rsidRDefault="00F979FB">
            <w:pPr>
              <w:spacing w:after="0" w:line="259" w:lineRule="auto"/>
              <w:ind w:left="0" w:right="-24"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6E2B08AC" w14:textId="77777777" w:rsidR="005345BC" w:rsidRDefault="00F979FB">
            <w:pPr>
              <w:spacing w:after="0" w:line="259" w:lineRule="auto"/>
              <w:ind w:left="0" w:right="-28" w:firstLine="0"/>
              <w:jc w:val="right"/>
            </w:pP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Pr>
          <w:p w14:paraId="03F89943" w14:textId="77777777" w:rsidR="005345BC" w:rsidRDefault="00F979FB">
            <w:pPr>
              <w:spacing w:after="0" w:line="259" w:lineRule="auto"/>
              <w:ind w:left="0" w:right="-26" w:firstLine="0"/>
              <w:jc w:val="right"/>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731C4CAB" w14:textId="77777777" w:rsidR="005345BC" w:rsidRDefault="00F979FB">
            <w:pPr>
              <w:spacing w:after="0" w:line="259" w:lineRule="auto"/>
              <w:ind w:left="0" w:right="39" w:firstLine="0"/>
              <w:jc w:val="right"/>
            </w:pPr>
            <w:r>
              <w:t xml:space="preserve"> </w:t>
            </w:r>
          </w:p>
        </w:tc>
      </w:tr>
      <w:tr w:rsidR="005345BC" w14:paraId="04A29673" w14:textId="77777777" w:rsidTr="00193E02">
        <w:trPr>
          <w:trHeight w:val="797"/>
        </w:trPr>
        <w:tc>
          <w:tcPr>
            <w:tcW w:w="2999" w:type="dxa"/>
            <w:tcBorders>
              <w:top w:val="single" w:sz="8" w:space="0" w:color="000000"/>
              <w:left w:val="single" w:sz="8" w:space="0" w:color="000000"/>
              <w:bottom w:val="single" w:sz="8" w:space="0" w:color="000000"/>
              <w:right w:val="single" w:sz="8" w:space="0" w:color="000000"/>
            </w:tcBorders>
          </w:tcPr>
          <w:p w14:paraId="2C96F4F0" w14:textId="77777777" w:rsidR="005345BC" w:rsidRDefault="00F979FB">
            <w:pPr>
              <w:spacing w:after="0" w:line="259" w:lineRule="auto"/>
              <w:ind w:left="0" w:firstLine="0"/>
            </w:pPr>
            <w:r>
              <w:t xml:space="preserve">Banks and building societies: </w:t>
            </w:r>
          </w:p>
        </w:tc>
        <w:tc>
          <w:tcPr>
            <w:tcW w:w="1209" w:type="dxa"/>
            <w:tcBorders>
              <w:top w:val="single" w:sz="8" w:space="0" w:color="000000"/>
              <w:left w:val="single" w:sz="8" w:space="0" w:color="000000"/>
              <w:bottom w:val="single" w:sz="8" w:space="0" w:color="000000"/>
              <w:right w:val="single" w:sz="8" w:space="0" w:color="000000"/>
            </w:tcBorders>
          </w:tcPr>
          <w:p w14:paraId="363F710E" w14:textId="77777777" w:rsidR="005345BC" w:rsidRDefault="00F979FB">
            <w:pPr>
              <w:spacing w:after="0" w:line="259" w:lineRule="auto"/>
              <w:ind w:left="0" w:right="-28" w:firstLine="0"/>
              <w:jc w:val="right"/>
            </w:pP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3AE10612" w14:textId="77777777" w:rsidR="005345BC" w:rsidRDefault="00F979FB">
            <w:pPr>
              <w:spacing w:after="0" w:line="259" w:lineRule="auto"/>
              <w:ind w:left="0" w:right="-24"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65B2AE2A" w14:textId="77777777" w:rsidR="005345BC" w:rsidRDefault="00F979FB">
            <w:pPr>
              <w:spacing w:after="0" w:line="259" w:lineRule="auto"/>
              <w:ind w:left="0" w:right="-28" w:firstLine="0"/>
              <w:jc w:val="right"/>
            </w:pP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Pr>
          <w:p w14:paraId="12D061FE" w14:textId="77777777" w:rsidR="005345BC" w:rsidRDefault="00F979FB">
            <w:pPr>
              <w:spacing w:after="0" w:line="259" w:lineRule="auto"/>
              <w:ind w:left="0" w:right="-26" w:firstLine="0"/>
              <w:jc w:val="right"/>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5F4C13DB" w14:textId="77777777" w:rsidR="005345BC" w:rsidRDefault="00F979FB">
            <w:pPr>
              <w:spacing w:after="0" w:line="259" w:lineRule="auto"/>
              <w:ind w:left="0" w:right="39" w:firstLine="0"/>
              <w:jc w:val="right"/>
            </w:pPr>
            <w:r>
              <w:t xml:space="preserve"> </w:t>
            </w:r>
          </w:p>
        </w:tc>
      </w:tr>
      <w:tr w:rsidR="005345BC" w14:paraId="4EAF4B31"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6C725DBE" w14:textId="77777777" w:rsidR="005345BC" w:rsidRDefault="00F979FB">
            <w:pPr>
              <w:tabs>
                <w:tab w:val="center" w:pos="461"/>
                <w:tab w:val="center" w:pos="1363"/>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Unsecured </w:t>
            </w:r>
          </w:p>
        </w:tc>
        <w:tc>
          <w:tcPr>
            <w:tcW w:w="1209" w:type="dxa"/>
            <w:tcBorders>
              <w:top w:val="single" w:sz="8" w:space="0" w:color="000000"/>
              <w:left w:val="single" w:sz="8" w:space="0" w:color="000000"/>
              <w:bottom w:val="single" w:sz="8" w:space="0" w:color="000000"/>
              <w:right w:val="single" w:sz="8" w:space="0" w:color="000000"/>
            </w:tcBorders>
          </w:tcPr>
          <w:p w14:paraId="7A83230D" w14:textId="77777777" w:rsidR="005345BC" w:rsidRDefault="00F979FB">
            <w:pPr>
              <w:spacing w:after="0" w:line="259" w:lineRule="auto"/>
              <w:ind w:left="0" w:right="104" w:firstLine="0"/>
              <w:jc w:val="right"/>
            </w:pPr>
            <w:r>
              <w:t xml:space="preserve">5.3 </w:t>
            </w:r>
          </w:p>
        </w:tc>
        <w:tc>
          <w:tcPr>
            <w:tcW w:w="1370" w:type="dxa"/>
            <w:tcBorders>
              <w:top w:val="single" w:sz="8" w:space="0" w:color="000000"/>
              <w:left w:val="single" w:sz="8" w:space="0" w:color="000000"/>
              <w:bottom w:val="single" w:sz="8" w:space="0" w:color="000000"/>
              <w:right w:val="single" w:sz="8" w:space="0" w:color="000000"/>
            </w:tcBorders>
          </w:tcPr>
          <w:p w14:paraId="13E4B29F" w14:textId="77777777" w:rsidR="005345BC" w:rsidRDefault="00F979FB">
            <w:pPr>
              <w:spacing w:after="0" w:line="259" w:lineRule="auto"/>
              <w:ind w:left="0" w:right="110" w:firstLine="0"/>
              <w:jc w:val="right"/>
            </w:pPr>
            <w:r>
              <w:t xml:space="preserve">(4.1) </w:t>
            </w:r>
          </w:p>
        </w:tc>
        <w:tc>
          <w:tcPr>
            <w:tcW w:w="1500" w:type="dxa"/>
            <w:tcBorders>
              <w:top w:val="single" w:sz="8" w:space="0" w:color="000000"/>
              <w:left w:val="single" w:sz="8" w:space="0" w:color="000000"/>
              <w:bottom w:val="single" w:sz="8" w:space="0" w:color="000000"/>
              <w:right w:val="single" w:sz="8" w:space="0" w:color="000000"/>
            </w:tcBorders>
          </w:tcPr>
          <w:p w14:paraId="47A52BD8" w14:textId="77777777" w:rsidR="005345BC" w:rsidRDefault="00F979FB">
            <w:pPr>
              <w:spacing w:after="0" w:line="259" w:lineRule="auto"/>
              <w:ind w:left="0" w:right="104" w:firstLine="0"/>
              <w:jc w:val="right"/>
            </w:pPr>
            <w:r>
              <w:t xml:space="preserve">1.2 </w:t>
            </w:r>
          </w:p>
        </w:tc>
        <w:tc>
          <w:tcPr>
            <w:tcW w:w="1134" w:type="dxa"/>
            <w:gridSpan w:val="2"/>
            <w:tcBorders>
              <w:top w:val="single" w:sz="8" w:space="0" w:color="000000"/>
              <w:left w:val="single" w:sz="8" w:space="0" w:color="000000"/>
              <w:bottom w:val="single" w:sz="8" w:space="0" w:color="000000"/>
              <w:right w:val="single" w:sz="8" w:space="0" w:color="000000"/>
            </w:tcBorders>
          </w:tcPr>
          <w:p w14:paraId="268FCC25" w14:textId="77777777" w:rsidR="005345BC" w:rsidRDefault="00F979FB" w:rsidP="00193E02">
            <w:pPr>
              <w:spacing w:after="0" w:line="259" w:lineRule="auto"/>
              <w:ind w:left="0" w:right="107" w:firstLine="0"/>
              <w:jc w:val="center"/>
            </w:pPr>
            <w:r>
              <w:t xml:space="preserve">4.42 </w:t>
            </w:r>
          </w:p>
        </w:tc>
        <w:tc>
          <w:tcPr>
            <w:tcW w:w="1276" w:type="dxa"/>
            <w:tcBorders>
              <w:top w:val="single" w:sz="8" w:space="0" w:color="000000"/>
              <w:left w:val="single" w:sz="8" w:space="0" w:color="000000"/>
              <w:bottom w:val="single" w:sz="8" w:space="0" w:color="000000"/>
              <w:right w:val="single" w:sz="8" w:space="0" w:color="000000"/>
            </w:tcBorders>
          </w:tcPr>
          <w:p w14:paraId="759776A3" w14:textId="77777777" w:rsidR="005345BC" w:rsidRDefault="00F979FB">
            <w:pPr>
              <w:spacing w:after="0" w:line="259" w:lineRule="auto"/>
              <w:ind w:left="0" w:right="104" w:firstLine="0"/>
              <w:jc w:val="right"/>
            </w:pPr>
            <w:r>
              <w:t xml:space="preserve">0.01 </w:t>
            </w:r>
          </w:p>
        </w:tc>
      </w:tr>
      <w:tr w:rsidR="005345BC" w14:paraId="5DEB3B48" w14:textId="77777777" w:rsidTr="00193E02">
        <w:trPr>
          <w:trHeight w:val="478"/>
        </w:trPr>
        <w:tc>
          <w:tcPr>
            <w:tcW w:w="2999" w:type="dxa"/>
            <w:tcBorders>
              <w:top w:val="single" w:sz="8" w:space="0" w:color="000000"/>
              <w:left w:val="single" w:sz="8" w:space="0" w:color="000000"/>
              <w:bottom w:val="single" w:sz="8" w:space="0" w:color="000000"/>
              <w:right w:val="single" w:sz="8" w:space="0" w:color="000000"/>
            </w:tcBorders>
            <w:vAlign w:val="center"/>
          </w:tcPr>
          <w:p w14:paraId="35E479EF" w14:textId="77777777" w:rsidR="005345BC" w:rsidRDefault="00F979FB">
            <w:pPr>
              <w:tabs>
                <w:tab w:val="center" w:pos="461"/>
                <w:tab w:val="center" w:pos="122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Secured </w:t>
            </w:r>
          </w:p>
        </w:tc>
        <w:tc>
          <w:tcPr>
            <w:tcW w:w="1209" w:type="dxa"/>
            <w:tcBorders>
              <w:top w:val="single" w:sz="8" w:space="0" w:color="000000"/>
              <w:left w:val="single" w:sz="8" w:space="0" w:color="000000"/>
              <w:bottom w:val="single" w:sz="8" w:space="0" w:color="000000"/>
              <w:right w:val="single" w:sz="8" w:space="0" w:color="000000"/>
            </w:tcBorders>
          </w:tcPr>
          <w:p w14:paraId="19268537" w14:textId="77777777" w:rsidR="005345BC" w:rsidRDefault="00F979FB">
            <w:pPr>
              <w:spacing w:after="0" w:line="259" w:lineRule="auto"/>
              <w:ind w:left="0" w:right="104" w:firstLine="0"/>
              <w:jc w:val="right"/>
            </w:pPr>
            <w:r>
              <w:t xml:space="preserve">3.6 </w:t>
            </w:r>
          </w:p>
        </w:tc>
        <w:tc>
          <w:tcPr>
            <w:tcW w:w="1370" w:type="dxa"/>
            <w:tcBorders>
              <w:top w:val="single" w:sz="8" w:space="0" w:color="000000"/>
              <w:left w:val="single" w:sz="8" w:space="0" w:color="000000"/>
              <w:bottom w:val="single" w:sz="8" w:space="0" w:color="000000"/>
              <w:right w:val="single" w:sz="8" w:space="0" w:color="000000"/>
            </w:tcBorders>
          </w:tcPr>
          <w:p w14:paraId="75D15C14"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7BC667F1" w14:textId="77777777" w:rsidR="005345BC" w:rsidRDefault="00F979FB">
            <w:pPr>
              <w:spacing w:after="0" w:line="259" w:lineRule="auto"/>
              <w:ind w:left="0" w:right="104" w:firstLine="0"/>
              <w:jc w:val="right"/>
            </w:pPr>
            <w:r>
              <w:t xml:space="preserve">3.6 </w:t>
            </w:r>
          </w:p>
        </w:tc>
        <w:tc>
          <w:tcPr>
            <w:tcW w:w="1134" w:type="dxa"/>
            <w:gridSpan w:val="2"/>
            <w:tcBorders>
              <w:top w:val="single" w:sz="8" w:space="0" w:color="000000"/>
              <w:left w:val="single" w:sz="8" w:space="0" w:color="000000"/>
              <w:bottom w:val="single" w:sz="8" w:space="0" w:color="000000"/>
              <w:right w:val="single" w:sz="8" w:space="0" w:color="000000"/>
            </w:tcBorders>
          </w:tcPr>
          <w:p w14:paraId="058E9259" w14:textId="77777777" w:rsidR="005345BC" w:rsidRDefault="00F979FB" w:rsidP="00193E02">
            <w:pPr>
              <w:spacing w:after="0" w:line="259" w:lineRule="auto"/>
              <w:ind w:left="0" w:right="107" w:firstLine="0"/>
              <w:jc w:val="center"/>
            </w:pPr>
            <w:r>
              <w:t xml:space="preserve">5.44 </w:t>
            </w:r>
          </w:p>
        </w:tc>
        <w:tc>
          <w:tcPr>
            <w:tcW w:w="1276" w:type="dxa"/>
            <w:tcBorders>
              <w:top w:val="single" w:sz="8" w:space="0" w:color="000000"/>
              <w:left w:val="single" w:sz="8" w:space="0" w:color="000000"/>
              <w:bottom w:val="single" w:sz="8" w:space="0" w:color="000000"/>
              <w:right w:val="single" w:sz="8" w:space="0" w:color="000000"/>
            </w:tcBorders>
          </w:tcPr>
          <w:p w14:paraId="4991154E" w14:textId="77777777" w:rsidR="005345BC" w:rsidRDefault="00F979FB">
            <w:pPr>
              <w:spacing w:after="0" w:line="259" w:lineRule="auto"/>
              <w:ind w:left="0" w:right="104" w:firstLine="0"/>
              <w:jc w:val="right"/>
            </w:pPr>
            <w:r>
              <w:t xml:space="preserve">0.01 </w:t>
            </w:r>
          </w:p>
        </w:tc>
      </w:tr>
      <w:tr w:rsidR="005345BC" w14:paraId="7637D590"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center"/>
          </w:tcPr>
          <w:p w14:paraId="244E3337" w14:textId="77777777" w:rsidR="005345BC" w:rsidRDefault="00F979FB">
            <w:pPr>
              <w:tabs>
                <w:tab w:val="center" w:pos="461"/>
                <w:tab w:val="center" w:pos="140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High quality </w:t>
            </w:r>
          </w:p>
        </w:tc>
        <w:tc>
          <w:tcPr>
            <w:tcW w:w="1209" w:type="dxa"/>
            <w:tcBorders>
              <w:top w:val="single" w:sz="8" w:space="0" w:color="000000"/>
              <w:left w:val="single" w:sz="8" w:space="0" w:color="000000"/>
              <w:bottom w:val="single" w:sz="8" w:space="0" w:color="000000"/>
              <w:right w:val="single" w:sz="8" w:space="0" w:color="000000"/>
            </w:tcBorders>
          </w:tcPr>
          <w:p w14:paraId="670F9AB2" w14:textId="77777777" w:rsidR="005345BC" w:rsidRDefault="00F979FB">
            <w:pPr>
              <w:spacing w:after="0" w:line="259" w:lineRule="auto"/>
              <w:ind w:left="0" w:right="104" w:firstLine="0"/>
              <w:jc w:val="right"/>
            </w:pPr>
            <w:r>
              <w:t xml:space="preserve">5.0 </w:t>
            </w:r>
          </w:p>
        </w:tc>
        <w:tc>
          <w:tcPr>
            <w:tcW w:w="1370" w:type="dxa"/>
            <w:tcBorders>
              <w:top w:val="single" w:sz="8" w:space="0" w:color="000000"/>
              <w:left w:val="single" w:sz="8" w:space="0" w:color="000000"/>
              <w:bottom w:val="single" w:sz="8" w:space="0" w:color="000000"/>
              <w:right w:val="single" w:sz="8" w:space="0" w:color="000000"/>
            </w:tcBorders>
          </w:tcPr>
          <w:p w14:paraId="5CAE9713" w14:textId="77777777" w:rsidR="005345BC" w:rsidRDefault="00F979FB">
            <w:pPr>
              <w:spacing w:after="0" w:line="259" w:lineRule="auto"/>
              <w:ind w:left="0" w:right="110" w:firstLine="0"/>
              <w:jc w:val="right"/>
            </w:pPr>
            <w:r>
              <w:t xml:space="preserve">(5.0) </w:t>
            </w:r>
          </w:p>
        </w:tc>
        <w:tc>
          <w:tcPr>
            <w:tcW w:w="1500" w:type="dxa"/>
            <w:tcBorders>
              <w:top w:val="single" w:sz="8" w:space="0" w:color="000000"/>
              <w:left w:val="single" w:sz="8" w:space="0" w:color="000000"/>
              <w:bottom w:val="single" w:sz="8" w:space="0" w:color="000000"/>
              <w:right w:val="single" w:sz="8" w:space="0" w:color="000000"/>
            </w:tcBorders>
          </w:tcPr>
          <w:p w14:paraId="30E689C5" w14:textId="77777777" w:rsidR="005345BC" w:rsidRDefault="00F979FB">
            <w:pPr>
              <w:spacing w:after="0" w:line="259" w:lineRule="auto"/>
              <w:ind w:left="0" w:right="105" w:firstLine="0"/>
              <w:jc w:val="right"/>
            </w:pPr>
            <w:r>
              <w:t xml:space="preserve">- </w:t>
            </w:r>
          </w:p>
        </w:tc>
        <w:tc>
          <w:tcPr>
            <w:tcW w:w="1134" w:type="dxa"/>
            <w:gridSpan w:val="2"/>
            <w:tcBorders>
              <w:top w:val="single" w:sz="8" w:space="0" w:color="000000"/>
              <w:left w:val="single" w:sz="8" w:space="0" w:color="000000"/>
              <w:bottom w:val="single" w:sz="8" w:space="0" w:color="000000"/>
              <w:right w:val="single" w:sz="8" w:space="0" w:color="000000"/>
            </w:tcBorders>
          </w:tcPr>
          <w:p w14:paraId="17402A8D" w14:textId="77777777" w:rsidR="005345BC" w:rsidRDefault="00F979FB">
            <w:pPr>
              <w:spacing w:after="0" w:line="259" w:lineRule="auto"/>
              <w:ind w:left="0" w:right="107" w:firstLine="0"/>
              <w:jc w:val="right"/>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3AD30DA" w14:textId="77777777" w:rsidR="005345BC" w:rsidRDefault="00F979FB">
            <w:pPr>
              <w:spacing w:after="0" w:line="259" w:lineRule="auto"/>
              <w:ind w:left="0" w:right="105" w:firstLine="0"/>
              <w:jc w:val="right"/>
            </w:pPr>
            <w:r>
              <w:t xml:space="preserve">- </w:t>
            </w:r>
          </w:p>
        </w:tc>
      </w:tr>
      <w:tr w:rsidR="005345BC" w14:paraId="42DFD42D"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5708E242" w14:textId="77777777" w:rsidR="005345BC" w:rsidRDefault="00F979FB">
            <w:pPr>
              <w:spacing w:after="0" w:line="259" w:lineRule="auto"/>
              <w:ind w:left="61" w:firstLine="0"/>
            </w:pPr>
            <w:r>
              <w:t xml:space="preserve">Money Market Funds </w:t>
            </w:r>
          </w:p>
        </w:tc>
        <w:tc>
          <w:tcPr>
            <w:tcW w:w="1209" w:type="dxa"/>
            <w:tcBorders>
              <w:top w:val="single" w:sz="8" w:space="0" w:color="000000"/>
              <w:left w:val="single" w:sz="8" w:space="0" w:color="000000"/>
              <w:bottom w:val="single" w:sz="8" w:space="0" w:color="000000"/>
              <w:right w:val="single" w:sz="8" w:space="0" w:color="000000"/>
            </w:tcBorders>
          </w:tcPr>
          <w:p w14:paraId="0ADCDC04" w14:textId="77777777" w:rsidR="005345BC" w:rsidRDefault="00F979FB">
            <w:pPr>
              <w:spacing w:after="0" w:line="259" w:lineRule="auto"/>
              <w:ind w:left="0" w:right="104" w:firstLine="0"/>
              <w:jc w:val="right"/>
            </w:pPr>
            <w:r>
              <w:t xml:space="preserve">36.5 </w:t>
            </w:r>
          </w:p>
        </w:tc>
        <w:tc>
          <w:tcPr>
            <w:tcW w:w="1370" w:type="dxa"/>
            <w:tcBorders>
              <w:top w:val="single" w:sz="8" w:space="0" w:color="000000"/>
              <w:left w:val="single" w:sz="8" w:space="0" w:color="000000"/>
              <w:bottom w:val="single" w:sz="8" w:space="0" w:color="000000"/>
              <w:right w:val="single" w:sz="8" w:space="0" w:color="000000"/>
            </w:tcBorders>
          </w:tcPr>
          <w:p w14:paraId="55F1375B" w14:textId="77777777" w:rsidR="005345BC" w:rsidRDefault="00F979FB">
            <w:pPr>
              <w:spacing w:after="0" w:line="259" w:lineRule="auto"/>
              <w:ind w:left="0" w:right="110" w:firstLine="0"/>
              <w:jc w:val="right"/>
            </w:pPr>
            <w:r>
              <w:t xml:space="preserve">(5.0) </w:t>
            </w:r>
          </w:p>
        </w:tc>
        <w:tc>
          <w:tcPr>
            <w:tcW w:w="1500" w:type="dxa"/>
            <w:tcBorders>
              <w:top w:val="single" w:sz="8" w:space="0" w:color="000000"/>
              <w:left w:val="single" w:sz="8" w:space="0" w:color="000000"/>
              <w:bottom w:val="single" w:sz="8" w:space="0" w:color="000000"/>
              <w:right w:val="single" w:sz="8" w:space="0" w:color="000000"/>
            </w:tcBorders>
          </w:tcPr>
          <w:p w14:paraId="21E576DA" w14:textId="77777777" w:rsidR="005345BC" w:rsidRDefault="00F979FB">
            <w:pPr>
              <w:spacing w:after="0" w:line="259" w:lineRule="auto"/>
              <w:ind w:left="0" w:right="104" w:firstLine="0"/>
              <w:jc w:val="right"/>
            </w:pPr>
            <w:r>
              <w:t xml:space="preserve">31.5 </w:t>
            </w:r>
          </w:p>
        </w:tc>
        <w:tc>
          <w:tcPr>
            <w:tcW w:w="864" w:type="dxa"/>
            <w:tcBorders>
              <w:top w:val="single" w:sz="8" w:space="0" w:color="000000"/>
              <w:left w:val="single" w:sz="8" w:space="0" w:color="000000"/>
              <w:bottom w:val="single" w:sz="8" w:space="0" w:color="000000"/>
              <w:right w:val="nil"/>
            </w:tcBorders>
          </w:tcPr>
          <w:p w14:paraId="7B0D4609" w14:textId="77777777" w:rsidR="005345BC" w:rsidRDefault="00F979FB" w:rsidP="00193E02">
            <w:pPr>
              <w:spacing w:after="0" w:line="259" w:lineRule="auto"/>
              <w:ind w:left="0" w:right="-48" w:firstLine="0"/>
              <w:jc w:val="center"/>
            </w:pPr>
            <w:r>
              <w:t>5.31</w:t>
            </w:r>
          </w:p>
        </w:tc>
        <w:tc>
          <w:tcPr>
            <w:tcW w:w="270" w:type="dxa"/>
            <w:tcBorders>
              <w:top w:val="single" w:sz="8" w:space="0" w:color="000000"/>
              <w:left w:val="nil"/>
              <w:bottom w:val="single" w:sz="8" w:space="0" w:color="000000"/>
              <w:right w:val="single" w:sz="8" w:space="0" w:color="000000"/>
            </w:tcBorders>
          </w:tcPr>
          <w:p w14:paraId="4744B3FE"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31B9E054" w14:textId="77777777" w:rsidR="005345BC" w:rsidRDefault="00F979FB">
            <w:pPr>
              <w:spacing w:after="0" w:line="259" w:lineRule="auto"/>
              <w:ind w:left="0" w:right="104" w:firstLine="0"/>
              <w:jc w:val="right"/>
            </w:pPr>
            <w:r>
              <w:t xml:space="preserve">0.01 </w:t>
            </w:r>
          </w:p>
        </w:tc>
      </w:tr>
      <w:tr w:rsidR="005345BC" w14:paraId="23BE5D59" w14:textId="77777777" w:rsidTr="00193E02">
        <w:trPr>
          <w:trHeight w:val="478"/>
        </w:trPr>
        <w:tc>
          <w:tcPr>
            <w:tcW w:w="2999" w:type="dxa"/>
            <w:tcBorders>
              <w:top w:val="single" w:sz="8" w:space="0" w:color="000000"/>
              <w:left w:val="single" w:sz="8" w:space="0" w:color="000000"/>
              <w:bottom w:val="single" w:sz="8" w:space="0" w:color="000000"/>
              <w:right w:val="single" w:sz="8" w:space="0" w:color="000000"/>
            </w:tcBorders>
          </w:tcPr>
          <w:p w14:paraId="1FDB9E23" w14:textId="77777777" w:rsidR="005345BC" w:rsidRDefault="00F979FB">
            <w:pPr>
              <w:spacing w:after="0" w:line="259" w:lineRule="auto"/>
              <w:ind w:left="61" w:firstLine="0"/>
            </w:pPr>
            <w:r>
              <w:t xml:space="preserve">Government: </w:t>
            </w:r>
          </w:p>
        </w:tc>
        <w:tc>
          <w:tcPr>
            <w:tcW w:w="1209" w:type="dxa"/>
            <w:tcBorders>
              <w:top w:val="single" w:sz="8" w:space="0" w:color="000000"/>
              <w:left w:val="single" w:sz="8" w:space="0" w:color="000000"/>
              <w:bottom w:val="single" w:sz="8" w:space="0" w:color="000000"/>
              <w:right w:val="single" w:sz="8" w:space="0" w:color="000000"/>
            </w:tcBorders>
          </w:tcPr>
          <w:p w14:paraId="474E6BBF" w14:textId="77777777" w:rsidR="005345BC" w:rsidRDefault="00F979FB">
            <w:pPr>
              <w:spacing w:after="0" w:line="259" w:lineRule="auto"/>
              <w:ind w:left="0" w:right="-28" w:firstLine="0"/>
              <w:jc w:val="right"/>
            </w:pP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26885FB8" w14:textId="77777777" w:rsidR="005345BC" w:rsidRDefault="00F979FB">
            <w:pPr>
              <w:spacing w:after="0" w:line="259" w:lineRule="auto"/>
              <w:ind w:left="0" w:right="-24"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58CCEDCF" w14:textId="77777777" w:rsidR="005345BC" w:rsidRDefault="00F979FB">
            <w:pPr>
              <w:spacing w:after="0" w:line="259" w:lineRule="auto"/>
              <w:ind w:left="0" w:right="-28" w:firstLine="0"/>
              <w:jc w:val="right"/>
            </w:pPr>
            <w:r>
              <w:t xml:space="preserve">  </w:t>
            </w:r>
          </w:p>
        </w:tc>
        <w:tc>
          <w:tcPr>
            <w:tcW w:w="864" w:type="dxa"/>
            <w:tcBorders>
              <w:top w:val="single" w:sz="8" w:space="0" w:color="000000"/>
              <w:left w:val="single" w:sz="8" w:space="0" w:color="000000"/>
              <w:bottom w:val="single" w:sz="8" w:space="0" w:color="000000"/>
              <w:right w:val="nil"/>
            </w:tcBorders>
          </w:tcPr>
          <w:p w14:paraId="48CC017B"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55619902" w14:textId="77777777" w:rsidR="005345BC" w:rsidRDefault="00F979FB">
            <w:pPr>
              <w:spacing w:after="0" w:line="259" w:lineRule="auto"/>
              <w:ind w:left="0" w:right="-26"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C37CCF4" w14:textId="77777777" w:rsidR="005345BC" w:rsidRDefault="00F979FB">
            <w:pPr>
              <w:spacing w:after="0" w:line="259" w:lineRule="auto"/>
              <w:ind w:left="0" w:right="39" w:firstLine="0"/>
              <w:jc w:val="right"/>
            </w:pPr>
            <w:r>
              <w:t xml:space="preserve"> </w:t>
            </w:r>
          </w:p>
        </w:tc>
      </w:tr>
      <w:tr w:rsidR="005345BC" w14:paraId="10DF50C6"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590FD55B" w14:textId="77777777" w:rsidR="005345BC" w:rsidRDefault="00F979FB">
            <w:pPr>
              <w:tabs>
                <w:tab w:val="center" w:pos="461"/>
                <w:tab w:val="center" w:pos="1656"/>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Local authorities </w:t>
            </w:r>
          </w:p>
        </w:tc>
        <w:tc>
          <w:tcPr>
            <w:tcW w:w="1209" w:type="dxa"/>
            <w:tcBorders>
              <w:top w:val="single" w:sz="8" w:space="0" w:color="000000"/>
              <w:left w:val="single" w:sz="8" w:space="0" w:color="000000"/>
              <w:bottom w:val="single" w:sz="8" w:space="0" w:color="000000"/>
              <w:right w:val="single" w:sz="8" w:space="0" w:color="000000"/>
            </w:tcBorders>
          </w:tcPr>
          <w:p w14:paraId="4F78DC79" w14:textId="77777777" w:rsidR="005345BC" w:rsidRDefault="00F979FB">
            <w:pPr>
              <w:spacing w:after="0" w:line="259" w:lineRule="auto"/>
              <w:ind w:left="0" w:right="104" w:firstLine="0"/>
              <w:jc w:val="right"/>
            </w:pPr>
            <w:r>
              <w:t xml:space="preserve">25.5 </w:t>
            </w:r>
          </w:p>
        </w:tc>
        <w:tc>
          <w:tcPr>
            <w:tcW w:w="1370" w:type="dxa"/>
            <w:tcBorders>
              <w:top w:val="single" w:sz="8" w:space="0" w:color="000000"/>
              <w:left w:val="single" w:sz="8" w:space="0" w:color="000000"/>
              <w:bottom w:val="single" w:sz="8" w:space="0" w:color="000000"/>
              <w:right w:val="single" w:sz="8" w:space="0" w:color="000000"/>
            </w:tcBorders>
          </w:tcPr>
          <w:p w14:paraId="6AAEF4AE" w14:textId="77777777" w:rsidR="005345BC" w:rsidRDefault="00F979FB">
            <w:pPr>
              <w:spacing w:after="0" w:line="259" w:lineRule="auto"/>
              <w:ind w:left="0" w:right="109" w:firstLine="0"/>
              <w:jc w:val="right"/>
            </w:pPr>
            <w:r>
              <w:t xml:space="preserve">5.0 </w:t>
            </w:r>
          </w:p>
        </w:tc>
        <w:tc>
          <w:tcPr>
            <w:tcW w:w="1500" w:type="dxa"/>
            <w:tcBorders>
              <w:top w:val="single" w:sz="8" w:space="0" w:color="000000"/>
              <w:left w:val="single" w:sz="8" w:space="0" w:color="000000"/>
              <w:bottom w:val="single" w:sz="8" w:space="0" w:color="000000"/>
              <w:right w:val="single" w:sz="8" w:space="0" w:color="000000"/>
            </w:tcBorders>
          </w:tcPr>
          <w:p w14:paraId="54EDB889" w14:textId="77777777" w:rsidR="005345BC" w:rsidRDefault="00F979FB">
            <w:pPr>
              <w:spacing w:after="0" w:line="259" w:lineRule="auto"/>
              <w:ind w:left="0" w:right="104" w:firstLine="0"/>
              <w:jc w:val="right"/>
            </w:pPr>
            <w:r>
              <w:t xml:space="preserve">30.5 </w:t>
            </w:r>
          </w:p>
        </w:tc>
        <w:tc>
          <w:tcPr>
            <w:tcW w:w="864" w:type="dxa"/>
            <w:tcBorders>
              <w:top w:val="single" w:sz="8" w:space="0" w:color="000000"/>
              <w:left w:val="single" w:sz="8" w:space="0" w:color="000000"/>
              <w:bottom w:val="single" w:sz="8" w:space="0" w:color="000000"/>
              <w:right w:val="nil"/>
            </w:tcBorders>
          </w:tcPr>
          <w:p w14:paraId="3ECD4D3D" w14:textId="77777777" w:rsidR="005345BC" w:rsidRDefault="00F979FB" w:rsidP="00193E02">
            <w:pPr>
              <w:spacing w:after="0" w:line="259" w:lineRule="auto"/>
              <w:ind w:left="0" w:right="-48" w:firstLine="0"/>
              <w:jc w:val="center"/>
            </w:pPr>
            <w:r>
              <w:t>5.49</w:t>
            </w:r>
          </w:p>
        </w:tc>
        <w:tc>
          <w:tcPr>
            <w:tcW w:w="270" w:type="dxa"/>
            <w:tcBorders>
              <w:top w:val="single" w:sz="8" w:space="0" w:color="000000"/>
              <w:left w:val="nil"/>
              <w:bottom w:val="single" w:sz="8" w:space="0" w:color="000000"/>
              <w:right w:val="single" w:sz="8" w:space="0" w:color="000000"/>
            </w:tcBorders>
          </w:tcPr>
          <w:p w14:paraId="65190575"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0BF353B7" w14:textId="77777777" w:rsidR="005345BC" w:rsidRDefault="00F979FB">
            <w:pPr>
              <w:spacing w:after="0" w:line="259" w:lineRule="auto"/>
              <w:ind w:left="0" w:right="104" w:firstLine="0"/>
              <w:jc w:val="right"/>
            </w:pPr>
            <w:r>
              <w:t xml:space="preserve">0.42 </w:t>
            </w:r>
          </w:p>
        </w:tc>
      </w:tr>
      <w:tr w:rsidR="005345BC" w14:paraId="2A54FDC9"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622A85BB" w14:textId="77777777" w:rsidR="005345BC" w:rsidRDefault="00F979FB">
            <w:pPr>
              <w:tabs>
                <w:tab w:val="center" w:pos="461"/>
                <w:tab w:val="center" w:pos="1494"/>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Treasury bills </w:t>
            </w:r>
          </w:p>
        </w:tc>
        <w:tc>
          <w:tcPr>
            <w:tcW w:w="1209" w:type="dxa"/>
            <w:tcBorders>
              <w:top w:val="single" w:sz="8" w:space="0" w:color="000000"/>
              <w:left w:val="single" w:sz="8" w:space="0" w:color="000000"/>
              <w:bottom w:val="single" w:sz="8" w:space="0" w:color="000000"/>
              <w:right w:val="single" w:sz="8" w:space="0" w:color="000000"/>
            </w:tcBorders>
          </w:tcPr>
          <w:p w14:paraId="145953EB" w14:textId="77777777" w:rsidR="005345BC" w:rsidRDefault="00F979FB">
            <w:pPr>
              <w:spacing w:after="0" w:line="259" w:lineRule="auto"/>
              <w:ind w:left="0" w:right="104" w:firstLine="0"/>
              <w:jc w:val="right"/>
            </w:pPr>
            <w:r>
              <w:t xml:space="preserve">18.5 </w:t>
            </w:r>
          </w:p>
        </w:tc>
        <w:tc>
          <w:tcPr>
            <w:tcW w:w="1370" w:type="dxa"/>
            <w:tcBorders>
              <w:top w:val="single" w:sz="8" w:space="0" w:color="000000"/>
              <w:left w:val="single" w:sz="8" w:space="0" w:color="000000"/>
              <w:bottom w:val="single" w:sz="8" w:space="0" w:color="000000"/>
              <w:right w:val="single" w:sz="8" w:space="0" w:color="000000"/>
            </w:tcBorders>
          </w:tcPr>
          <w:p w14:paraId="41F510F3" w14:textId="77777777" w:rsidR="005345BC" w:rsidRDefault="00F979FB">
            <w:pPr>
              <w:spacing w:after="0" w:line="259" w:lineRule="auto"/>
              <w:ind w:left="0" w:right="109" w:firstLine="0"/>
              <w:jc w:val="right"/>
            </w:pPr>
            <w:r>
              <w:t xml:space="preserve">1.5 </w:t>
            </w:r>
          </w:p>
        </w:tc>
        <w:tc>
          <w:tcPr>
            <w:tcW w:w="1500" w:type="dxa"/>
            <w:tcBorders>
              <w:top w:val="single" w:sz="8" w:space="0" w:color="000000"/>
              <w:left w:val="single" w:sz="8" w:space="0" w:color="000000"/>
              <w:bottom w:val="single" w:sz="8" w:space="0" w:color="000000"/>
              <w:right w:val="single" w:sz="8" w:space="0" w:color="000000"/>
            </w:tcBorders>
          </w:tcPr>
          <w:p w14:paraId="7198050E" w14:textId="77777777" w:rsidR="005345BC" w:rsidRDefault="00F979FB">
            <w:pPr>
              <w:spacing w:after="0" w:line="259" w:lineRule="auto"/>
              <w:ind w:left="0" w:right="104" w:firstLine="0"/>
              <w:jc w:val="right"/>
            </w:pPr>
            <w:r>
              <w:t xml:space="preserve">20.0 </w:t>
            </w:r>
          </w:p>
        </w:tc>
        <w:tc>
          <w:tcPr>
            <w:tcW w:w="864" w:type="dxa"/>
            <w:tcBorders>
              <w:top w:val="single" w:sz="8" w:space="0" w:color="000000"/>
              <w:left w:val="single" w:sz="8" w:space="0" w:color="000000"/>
              <w:bottom w:val="single" w:sz="8" w:space="0" w:color="000000"/>
              <w:right w:val="nil"/>
            </w:tcBorders>
          </w:tcPr>
          <w:p w14:paraId="7006CE90" w14:textId="77777777" w:rsidR="005345BC" w:rsidRDefault="00F979FB" w:rsidP="00193E02">
            <w:pPr>
              <w:spacing w:after="0" w:line="259" w:lineRule="auto"/>
              <w:ind w:left="0" w:right="-48" w:firstLine="0"/>
              <w:jc w:val="center"/>
            </w:pPr>
            <w:r>
              <w:t>5.50</w:t>
            </w:r>
          </w:p>
        </w:tc>
        <w:tc>
          <w:tcPr>
            <w:tcW w:w="270" w:type="dxa"/>
            <w:tcBorders>
              <w:top w:val="single" w:sz="8" w:space="0" w:color="000000"/>
              <w:left w:val="nil"/>
              <w:bottom w:val="single" w:sz="8" w:space="0" w:color="000000"/>
              <w:right w:val="single" w:sz="8" w:space="0" w:color="000000"/>
            </w:tcBorders>
          </w:tcPr>
          <w:p w14:paraId="502F5A7B"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3AEF760" w14:textId="77777777" w:rsidR="005345BC" w:rsidRDefault="00F979FB">
            <w:pPr>
              <w:spacing w:after="0" w:line="259" w:lineRule="auto"/>
              <w:ind w:left="0" w:right="104" w:firstLine="0"/>
              <w:jc w:val="right"/>
            </w:pPr>
            <w:r>
              <w:t xml:space="preserve">0.17 </w:t>
            </w:r>
          </w:p>
        </w:tc>
      </w:tr>
      <w:tr w:rsidR="005345BC" w14:paraId="29C71608"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1998CEAE" w14:textId="77777777" w:rsidR="005345BC" w:rsidRDefault="00F979FB">
            <w:pPr>
              <w:spacing w:after="0" w:line="259" w:lineRule="auto"/>
              <w:ind w:left="61" w:firstLine="0"/>
            </w:pPr>
            <w:r>
              <w:rPr>
                <w:b/>
              </w:rPr>
              <w:t>TOTAL</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163DA7B4" w14:textId="77777777" w:rsidR="005345BC" w:rsidRDefault="00F979FB">
            <w:pPr>
              <w:spacing w:after="0" w:line="259" w:lineRule="auto"/>
              <w:ind w:left="0" w:right="104" w:firstLine="0"/>
              <w:jc w:val="right"/>
            </w:pPr>
            <w:r>
              <w:rPr>
                <w:b/>
              </w:rPr>
              <w:t>94.4</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56576A99" w14:textId="77777777" w:rsidR="005345BC" w:rsidRDefault="00F979FB">
            <w:pPr>
              <w:spacing w:after="0" w:line="259" w:lineRule="auto"/>
              <w:ind w:left="0" w:right="110" w:firstLine="0"/>
              <w:jc w:val="right"/>
            </w:pPr>
            <w:r>
              <w:rPr>
                <w:b/>
              </w:rPr>
              <w:t>(7.6)</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72A150FC" w14:textId="77777777" w:rsidR="005345BC" w:rsidRDefault="00F979FB">
            <w:pPr>
              <w:spacing w:after="0" w:line="259" w:lineRule="auto"/>
              <w:ind w:left="0" w:right="104" w:firstLine="0"/>
              <w:jc w:val="right"/>
            </w:pPr>
            <w:r>
              <w:rPr>
                <w:b/>
              </w:rPr>
              <w:t>86.8</w:t>
            </w:r>
            <w:r>
              <w:t xml:space="preserve"> </w:t>
            </w:r>
          </w:p>
        </w:tc>
        <w:tc>
          <w:tcPr>
            <w:tcW w:w="864" w:type="dxa"/>
            <w:tcBorders>
              <w:top w:val="single" w:sz="8" w:space="0" w:color="000000"/>
              <w:left w:val="single" w:sz="8" w:space="0" w:color="000000"/>
              <w:bottom w:val="single" w:sz="8" w:space="0" w:color="000000"/>
              <w:right w:val="nil"/>
            </w:tcBorders>
          </w:tcPr>
          <w:p w14:paraId="31ACD8D8" w14:textId="77777777" w:rsidR="005345BC" w:rsidRDefault="00F979FB" w:rsidP="00193E02">
            <w:pPr>
              <w:spacing w:after="0" w:line="259" w:lineRule="auto"/>
              <w:ind w:left="0" w:right="-48" w:firstLine="0"/>
              <w:jc w:val="center"/>
            </w:pPr>
            <w:r>
              <w:rPr>
                <w:b/>
              </w:rPr>
              <w:t>5.41</w:t>
            </w:r>
          </w:p>
        </w:tc>
        <w:tc>
          <w:tcPr>
            <w:tcW w:w="270" w:type="dxa"/>
            <w:tcBorders>
              <w:top w:val="single" w:sz="8" w:space="0" w:color="000000"/>
              <w:left w:val="nil"/>
              <w:bottom w:val="single" w:sz="8" w:space="0" w:color="000000"/>
              <w:right w:val="single" w:sz="8" w:space="0" w:color="000000"/>
            </w:tcBorders>
          </w:tcPr>
          <w:p w14:paraId="4F07B5B4"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75D28F0E" w14:textId="77777777" w:rsidR="005345BC" w:rsidRDefault="00F979FB">
            <w:pPr>
              <w:spacing w:after="0" w:line="259" w:lineRule="auto"/>
              <w:ind w:left="0" w:right="104" w:firstLine="0"/>
              <w:jc w:val="right"/>
            </w:pPr>
            <w:r>
              <w:rPr>
                <w:b/>
              </w:rPr>
              <w:t>0.19</w:t>
            </w:r>
            <w:r>
              <w:t xml:space="preserve"> </w:t>
            </w:r>
          </w:p>
        </w:tc>
      </w:tr>
      <w:tr w:rsidR="005345BC" w14:paraId="0C8E4D9C" w14:textId="77777777" w:rsidTr="00193E02">
        <w:trPr>
          <w:trHeight w:val="478"/>
        </w:trPr>
        <w:tc>
          <w:tcPr>
            <w:tcW w:w="2999" w:type="dxa"/>
            <w:tcBorders>
              <w:top w:val="single" w:sz="8" w:space="0" w:color="000000"/>
              <w:left w:val="single" w:sz="8" w:space="0" w:color="000000"/>
              <w:bottom w:val="single" w:sz="8" w:space="0" w:color="000000"/>
              <w:right w:val="single" w:sz="8" w:space="0" w:color="000000"/>
            </w:tcBorders>
          </w:tcPr>
          <w:p w14:paraId="55A4F3D1" w14:textId="77777777" w:rsidR="005345BC" w:rsidRDefault="00F979FB">
            <w:pPr>
              <w:spacing w:after="0" w:line="259" w:lineRule="auto"/>
              <w:ind w:left="61" w:firstLine="0"/>
            </w:pPr>
            <w:r>
              <w:rPr>
                <w:b/>
              </w:rPr>
              <w:t xml:space="preserve"> </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342A7AA2" w14:textId="77777777" w:rsidR="005345BC" w:rsidRDefault="00F979FB">
            <w:pPr>
              <w:spacing w:after="0" w:line="259" w:lineRule="auto"/>
              <w:ind w:left="0" w:right="-28" w:firstLine="0"/>
              <w:jc w:val="right"/>
            </w:pPr>
            <w:r>
              <w:rPr>
                <w:b/>
              </w:rPr>
              <w:t xml:space="preserve"> </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5CAF6D4B" w14:textId="77777777" w:rsidR="005345BC" w:rsidRDefault="00F979FB">
            <w:pPr>
              <w:spacing w:after="0" w:line="259" w:lineRule="auto"/>
              <w:ind w:left="0" w:right="-24" w:firstLine="0"/>
              <w:jc w:val="right"/>
            </w:pPr>
            <w:r>
              <w:rPr>
                <w:b/>
              </w:rPr>
              <w:t xml:space="preserve"> </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5100CB49" w14:textId="77777777" w:rsidR="005345BC" w:rsidRDefault="00F979FB">
            <w:pPr>
              <w:spacing w:after="0" w:line="259" w:lineRule="auto"/>
              <w:ind w:left="0" w:right="-28" w:firstLine="0"/>
              <w:jc w:val="right"/>
            </w:pPr>
            <w:r>
              <w:rPr>
                <w:b/>
              </w:rPr>
              <w:t xml:space="preserve"> </w:t>
            </w:r>
            <w:r>
              <w:t xml:space="preserve"> </w:t>
            </w:r>
          </w:p>
        </w:tc>
        <w:tc>
          <w:tcPr>
            <w:tcW w:w="864" w:type="dxa"/>
            <w:tcBorders>
              <w:top w:val="single" w:sz="8" w:space="0" w:color="000000"/>
              <w:left w:val="single" w:sz="8" w:space="0" w:color="000000"/>
              <w:bottom w:val="single" w:sz="8" w:space="0" w:color="000000"/>
              <w:right w:val="nil"/>
            </w:tcBorders>
          </w:tcPr>
          <w:p w14:paraId="26837EB8"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1DA13276" w14:textId="77777777" w:rsidR="005345BC" w:rsidRDefault="00F979FB">
            <w:pPr>
              <w:spacing w:after="0" w:line="259" w:lineRule="auto"/>
              <w:ind w:left="0" w:right="-26" w:firstLine="0"/>
              <w:jc w:val="both"/>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C1995A2" w14:textId="77777777" w:rsidR="005345BC" w:rsidRDefault="00F979FB">
            <w:pPr>
              <w:spacing w:after="0" w:line="259" w:lineRule="auto"/>
              <w:ind w:left="0" w:right="39" w:firstLine="0"/>
              <w:jc w:val="right"/>
            </w:pPr>
            <w:r>
              <w:rPr>
                <w:b/>
              </w:rPr>
              <w:t xml:space="preserve"> </w:t>
            </w:r>
          </w:p>
        </w:tc>
      </w:tr>
      <w:tr w:rsidR="005345BC" w14:paraId="422B2698"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4A440069" w14:textId="77777777" w:rsidR="005345BC" w:rsidRDefault="00F979FB">
            <w:pPr>
              <w:spacing w:after="0" w:line="259" w:lineRule="auto"/>
              <w:ind w:left="61" w:firstLine="0"/>
            </w:pPr>
            <w:r>
              <w:rPr>
                <w:b/>
              </w:rPr>
              <w:t xml:space="preserve">Long term investments </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2DD09277" w14:textId="77777777" w:rsidR="005345BC" w:rsidRDefault="00F979FB">
            <w:pPr>
              <w:spacing w:after="0" w:line="259" w:lineRule="auto"/>
              <w:ind w:left="0" w:right="-28" w:firstLine="0"/>
              <w:jc w:val="right"/>
            </w:pPr>
            <w:r>
              <w:rPr>
                <w:b/>
              </w:rPr>
              <w:t xml:space="preserve"> </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358F9C4C" w14:textId="77777777" w:rsidR="005345BC" w:rsidRDefault="00F979FB">
            <w:pPr>
              <w:spacing w:after="0" w:line="259" w:lineRule="auto"/>
              <w:ind w:left="0" w:right="-24" w:firstLine="0"/>
              <w:jc w:val="right"/>
            </w:pPr>
            <w:r>
              <w:rPr>
                <w:b/>
              </w:rPr>
              <w:t xml:space="preserve"> </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616BEADF" w14:textId="77777777" w:rsidR="005345BC" w:rsidRDefault="00F979FB">
            <w:pPr>
              <w:spacing w:after="0" w:line="259" w:lineRule="auto"/>
              <w:ind w:left="0" w:right="-28" w:firstLine="0"/>
              <w:jc w:val="right"/>
            </w:pPr>
            <w:r>
              <w:rPr>
                <w:b/>
              </w:rPr>
              <w:t xml:space="preserve"> </w:t>
            </w:r>
            <w:r>
              <w:t xml:space="preserve"> </w:t>
            </w:r>
          </w:p>
        </w:tc>
        <w:tc>
          <w:tcPr>
            <w:tcW w:w="864" w:type="dxa"/>
            <w:tcBorders>
              <w:top w:val="single" w:sz="8" w:space="0" w:color="000000"/>
              <w:left w:val="single" w:sz="8" w:space="0" w:color="000000"/>
              <w:bottom w:val="single" w:sz="8" w:space="0" w:color="000000"/>
              <w:right w:val="nil"/>
            </w:tcBorders>
          </w:tcPr>
          <w:p w14:paraId="041E4FFF"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19EF9B18" w14:textId="77777777" w:rsidR="005345BC" w:rsidRDefault="00F979FB">
            <w:pPr>
              <w:spacing w:after="0" w:line="259" w:lineRule="auto"/>
              <w:ind w:left="0" w:right="-26" w:firstLine="0"/>
              <w:jc w:val="both"/>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81D96B4" w14:textId="77777777" w:rsidR="005345BC" w:rsidRDefault="00F979FB">
            <w:pPr>
              <w:spacing w:after="0" w:line="259" w:lineRule="auto"/>
              <w:ind w:left="0" w:right="39" w:firstLine="0"/>
              <w:jc w:val="right"/>
            </w:pPr>
            <w:r>
              <w:rPr>
                <w:b/>
              </w:rPr>
              <w:t xml:space="preserve"> </w:t>
            </w:r>
          </w:p>
        </w:tc>
      </w:tr>
      <w:tr w:rsidR="005345BC" w14:paraId="5A7BB6EF" w14:textId="77777777" w:rsidTr="00193E02">
        <w:trPr>
          <w:trHeight w:val="797"/>
        </w:trPr>
        <w:tc>
          <w:tcPr>
            <w:tcW w:w="2999" w:type="dxa"/>
            <w:tcBorders>
              <w:top w:val="single" w:sz="8" w:space="0" w:color="000000"/>
              <w:left w:val="single" w:sz="8" w:space="0" w:color="000000"/>
              <w:bottom w:val="single" w:sz="8" w:space="0" w:color="000000"/>
              <w:right w:val="single" w:sz="8" w:space="0" w:color="000000"/>
            </w:tcBorders>
          </w:tcPr>
          <w:p w14:paraId="0C747FB2" w14:textId="77777777" w:rsidR="005345BC" w:rsidRDefault="00F979FB">
            <w:pPr>
              <w:spacing w:after="0" w:line="259" w:lineRule="auto"/>
              <w:ind w:left="61" w:firstLine="0"/>
            </w:pPr>
            <w:r>
              <w:t xml:space="preserve">Banks and building societies: </w:t>
            </w:r>
          </w:p>
        </w:tc>
        <w:tc>
          <w:tcPr>
            <w:tcW w:w="1209" w:type="dxa"/>
            <w:tcBorders>
              <w:top w:val="single" w:sz="8" w:space="0" w:color="000000"/>
              <w:left w:val="single" w:sz="8" w:space="0" w:color="000000"/>
              <w:bottom w:val="single" w:sz="8" w:space="0" w:color="000000"/>
              <w:right w:val="single" w:sz="8" w:space="0" w:color="000000"/>
            </w:tcBorders>
          </w:tcPr>
          <w:p w14:paraId="6C538769" w14:textId="77777777" w:rsidR="005345BC" w:rsidRDefault="00F979FB">
            <w:pPr>
              <w:spacing w:after="0" w:line="259" w:lineRule="auto"/>
              <w:ind w:left="0" w:right="-28" w:firstLine="0"/>
              <w:jc w:val="right"/>
            </w:pP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5B7EA661" w14:textId="77777777" w:rsidR="005345BC" w:rsidRDefault="00F979FB">
            <w:pPr>
              <w:spacing w:after="0" w:line="259" w:lineRule="auto"/>
              <w:ind w:left="0" w:right="-24"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24C1ABFC" w14:textId="77777777" w:rsidR="005345BC" w:rsidRDefault="00F979FB">
            <w:pPr>
              <w:spacing w:after="0" w:line="259" w:lineRule="auto"/>
              <w:ind w:left="0" w:right="-28" w:firstLine="0"/>
              <w:jc w:val="right"/>
            </w:pPr>
            <w:r>
              <w:t xml:space="preserve">  </w:t>
            </w:r>
          </w:p>
        </w:tc>
        <w:tc>
          <w:tcPr>
            <w:tcW w:w="864" w:type="dxa"/>
            <w:tcBorders>
              <w:top w:val="single" w:sz="8" w:space="0" w:color="000000"/>
              <w:left w:val="single" w:sz="8" w:space="0" w:color="000000"/>
              <w:bottom w:val="single" w:sz="8" w:space="0" w:color="000000"/>
              <w:right w:val="nil"/>
            </w:tcBorders>
          </w:tcPr>
          <w:p w14:paraId="34EFA6BC"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68DC3902" w14:textId="77777777" w:rsidR="005345BC" w:rsidRDefault="00F979FB">
            <w:pPr>
              <w:spacing w:after="0" w:line="259" w:lineRule="auto"/>
              <w:ind w:left="0" w:right="-26"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3840333" w14:textId="77777777" w:rsidR="005345BC" w:rsidRDefault="00F979FB">
            <w:pPr>
              <w:spacing w:after="0" w:line="259" w:lineRule="auto"/>
              <w:ind w:left="0" w:right="39" w:firstLine="0"/>
              <w:jc w:val="right"/>
            </w:pPr>
            <w:r>
              <w:t xml:space="preserve"> </w:t>
            </w:r>
          </w:p>
        </w:tc>
      </w:tr>
      <w:tr w:rsidR="005345BC" w14:paraId="7FA0C3EE"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5725CEE2" w14:textId="77777777" w:rsidR="005345BC" w:rsidRDefault="00F979FB">
            <w:pPr>
              <w:tabs>
                <w:tab w:val="center" w:pos="461"/>
                <w:tab w:val="center" w:pos="1228"/>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Secured </w:t>
            </w:r>
          </w:p>
        </w:tc>
        <w:tc>
          <w:tcPr>
            <w:tcW w:w="1209" w:type="dxa"/>
            <w:tcBorders>
              <w:top w:val="single" w:sz="8" w:space="0" w:color="000000"/>
              <w:left w:val="single" w:sz="8" w:space="0" w:color="000000"/>
              <w:bottom w:val="single" w:sz="8" w:space="0" w:color="000000"/>
              <w:right w:val="single" w:sz="8" w:space="0" w:color="000000"/>
            </w:tcBorders>
          </w:tcPr>
          <w:p w14:paraId="607E88B2" w14:textId="77777777" w:rsidR="005345BC" w:rsidRDefault="00F979FB">
            <w:pPr>
              <w:spacing w:after="0" w:line="259" w:lineRule="auto"/>
              <w:ind w:left="0" w:right="104" w:firstLine="0"/>
              <w:jc w:val="right"/>
            </w:pPr>
            <w:r>
              <w:t xml:space="preserve">5.0 </w:t>
            </w:r>
          </w:p>
        </w:tc>
        <w:tc>
          <w:tcPr>
            <w:tcW w:w="1370" w:type="dxa"/>
            <w:tcBorders>
              <w:top w:val="single" w:sz="8" w:space="0" w:color="000000"/>
              <w:left w:val="single" w:sz="8" w:space="0" w:color="000000"/>
              <w:bottom w:val="single" w:sz="8" w:space="0" w:color="000000"/>
              <w:right w:val="single" w:sz="8" w:space="0" w:color="000000"/>
            </w:tcBorders>
          </w:tcPr>
          <w:p w14:paraId="714EF146"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7C8AF7BF" w14:textId="77777777" w:rsidR="005345BC" w:rsidRDefault="00F979FB">
            <w:pPr>
              <w:spacing w:after="0" w:line="259" w:lineRule="auto"/>
              <w:ind w:left="0" w:right="104" w:firstLine="0"/>
              <w:jc w:val="right"/>
            </w:pPr>
            <w:r>
              <w:t xml:space="preserve">5.0 </w:t>
            </w:r>
          </w:p>
        </w:tc>
        <w:tc>
          <w:tcPr>
            <w:tcW w:w="864" w:type="dxa"/>
            <w:tcBorders>
              <w:top w:val="single" w:sz="8" w:space="0" w:color="000000"/>
              <w:left w:val="single" w:sz="8" w:space="0" w:color="000000"/>
              <w:bottom w:val="single" w:sz="8" w:space="0" w:color="000000"/>
              <w:right w:val="nil"/>
            </w:tcBorders>
          </w:tcPr>
          <w:p w14:paraId="7A4F5B2F" w14:textId="77777777" w:rsidR="005345BC" w:rsidRDefault="00F979FB" w:rsidP="00193E02">
            <w:pPr>
              <w:spacing w:after="0" w:line="259" w:lineRule="auto"/>
              <w:ind w:left="0" w:right="-48" w:firstLine="0"/>
              <w:jc w:val="center"/>
            </w:pPr>
            <w:r>
              <w:t>4.31</w:t>
            </w:r>
          </w:p>
        </w:tc>
        <w:tc>
          <w:tcPr>
            <w:tcW w:w="270" w:type="dxa"/>
            <w:tcBorders>
              <w:top w:val="single" w:sz="8" w:space="0" w:color="000000"/>
              <w:left w:val="nil"/>
              <w:bottom w:val="single" w:sz="8" w:space="0" w:color="000000"/>
              <w:right w:val="single" w:sz="8" w:space="0" w:color="000000"/>
            </w:tcBorders>
          </w:tcPr>
          <w:p w14:paraId="516A2391"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FE35780" w14:textId="77777777" w:rsidR="005345BC" w:rsidRDefault="00F979FB">
            <w:pPr>
              <w:spacing w:after="0" w:line="259" w:lineRule="auto"/>
              <w:ind w:left="0" w:right="104" w:firstLine="0"/>
              <w:jc w:val="right"/>
            </w:pPr>
            <w:r>
              <w:t xml:space="preserve">1.18 </w:t>
            </w:r>
          </w:p>
        </w:tc>
      </w:tr>
      <w:tr w:rsidR="005345BC" w14:paraId="087CCA67"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55897A2B" w14:textId="77777777" w:rsidR="005345BC" w:rsidRDefault="00F979FB">
            <w:pPr>
              <w:tabs>
                <w:tab w:val="center" w:pos="461"/>
                <w:tab w:val="center" w:pos="1523"/>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Supranational </w:t>
            </w:r>
          </w:p>
        </w:tc>
        <w:tc>
          <w:tcPr>
            <w:tcW w:w="1209" w:type="dxa"/>
            <w:tcBorders>
              <w:top w:val="single" w:sz="8" w:space="0" w:color="000000"/>
              <w:left w:val="single" w:sz="8" w:space="0" w:color="000000"/>
              <w:bottom w:val="single" w:sz="8" w:space="0" w:color="000000"/>
              <w:right w:val="single" w:sz="8" w:space="0" w:color="000000"/>
            </w:tcBorders>
          </w:tcPr>
          <w:p w14:paraId="1620B571" w14:textId="77777777" w:rsidR="005345BC" w:rsidRDefault="00F979FB">
            <w:pPr>
              <w:spacing w:after="0" w:line="259" w:lineRule="auto"/>
              <w:ind w:left="0" w:right="104" w:firstLine="0"/>
              <w:jc w:val="right"/>
            </w:pPr>
            <w:r>
              <w:t xml:space="preserve">9.0 </w:t>
            </w:r>
          </w:p>
        </w:tc>
        <w:tc>
          <w:tcPr>
            <w:tcW w:w="1370" w:type="dxa"/>
            <w:tcBorders>
              <w:top w:val="single" w:sz="8" w:space="0" w:color="000000"/>
              <w:left w:val="single" w:sz="8" w:space="0" w:color="000000"/>
              <w:bottom w:val="single" w:sz="8" w:space="0" w:color="000000"/>
              <w:right w:val="single" w:sz="8" w:space="0" w:color="000000"/>
            </w:tcBorders>
          </w:tcPr>
          <w:p w14:paraId="7FDD6027"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6ABEA988" w14:textId="77777777" w:rsidR="005345BC" w:rsidRDefault="00F979FB">
            <w:pPr>
              <w:spacing w:after="0" w:line="259" w:lineRule="auto"/>
              <w:ind w:left="0" w:right="104" w:firstLine="0"/>
              <w:jc w:val="right"/>
            </w:pPr>
            <w:r>
              <w:t xml:space="preserve">9.0 </w:t>
            </w:r>
          </w:p>
        </w:tc>
        <w:tc>
          <w:tcPr>
            <w:tcW w:w="864" w:type="dxa"/>
            <w:tcBorders>
              <w:top w:val="single" w:sz="8" w:space="0" w:color="000000"/>
              <w:left w:val="single" w:sz="8" w:space="0" w:color="000000"/>
              <w:bottom w:val="single" w:sz="8" w:space="0" w:color="000000"/>
              <w:right w:val="nil"/>
            </w:tcBorders>
          </w:tcPr>
          <w:p w14:paraId="2F7ABFDE" w14:textId="77777777" w:rsidR="005345BC" w:rsidRDefault="00F979FB" w:rsidP="00193E02">
            <w:pPr>
              <w:spacing w:after="0" w:line="259" w:lineRule="auto"/>
              <w:ind w:left="0" w:right="-48" w:firstLine="0"/>
              <w:jc w:val="center"/>
            </w:pPr>
            <w:r>
              <w:t>4.81</w:t>
            </w:r>
          </w:p>
        </w:tc>
        <w:tc>
          <w:tcPr>
            <w:tcW w:w="270" w:type="dxa"/>
            <w:tcBorders>
              <w:top w:val="single" w:sz="8" w:space="0" w:color="000000"/>
              <w:left w:val="nil"/>
              <w:bottom w:val="single" w:sz="8" w:space="0" w:color="000000"/>
              <w:right w:val="single" w:sz="8" w:space="0" w:color="000000"/>
            </w:tcBorders>
          </w:tcPr>
          <w:p w14:paraId="131F6BFC"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377E6F33" w14:textId="77777777" w:rsidR="005345BC" w:rsidRDefault="00F979FB">
            <w:pPr>
              <w:spacing w:after="0" w:line="259" w:lineRule="auto"/>
              <w:ind w:left="0" w:right="104" w:firstLine="0"/>
              <w:jc w:val="right"/>
            </w:pPr>
            <w:r>
              <w:t xml:space="preserve">3.33 </w:t>
            </w:r>
          </w:p>
        </w:tc>
      </w:tr>
      <w:tr w:rsidR="005345BC" w14:paraId="67204557" w14:textId="77777777" w:rsidTr="00193E02">
        <w:trPr>
          <w:trHeight w:val="478"/>
        </w:trPr>
        <w:tc>
          <w:tcPr>
            <w:tcW w:w="2999" w:type="dxa"/>
            <w:tcBorders>
              <w:top w:val="single" w:sz="8" w:space="0" w:color="000000"/>
              <w:left w:val="single" w:sz="8" w:space="0" w:color="000000"/>
              <w:bottom w:val="single" w:sz="8" w:space="0" w:color="000000"/>
              <w:right w:val="single" w:sz="8" w:space="0" w:color="000000"/>
            </w:tcBorders>
            <w:vAlign w:val="bottom"/>
          </w:tcPr>
          <w:p w14:paraId="366D80D9" w14:textId="77777777" w:rsidR="005345BC" w:rsidRDefault="00F979FB">
            <w:pPr>
              <w:tabs>
                <w:tab w:val="center" w:pos="461"/>
                <w:tab w:val="center" w:pos="140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High quality </w:t>
            </w:r>
          </w:p>
        </w:tc>
        <w:tc>
          <w:tcPr>
            <w:tcW w:w="1209" w:type="dxa"/>
            <w:tcBorders>
              <w:top w:val="single" w:sz="8" w:space="0" w:color="000000"/>
              <w:left w:val="single" w:sz="8" w:space="0" w:color="000000"/>
              <w:bottom w:val="single" w:sz="8" w:space="0" w:color="000000"/>
              <w:right w:val="single" w:sz="8" w:space="0" w:color="000000"/>
            </w:tcBorders>
          </w:tcPr>
          <w:p w14:paraId="21F4DDD9" w14:textId="77777777" w:rsidR="005345BC" w:rsidRDefault="00F979FB">
            <w:pPr>
              <w:spacing w:after="0" w:line="259" w:lineRule="auto"/>
              <w:ind w:left="0" w:right="104" w:firstLine="0"/>
              <w:jc w:val="right"/>
            </w:pPr>
            <w:r>
              <w:t xml:space="preserve">10.0 </w:t>
            </w:r>
          </w:p>
        </w:tc>
        <w:tc>
          <w:tcPr>
            <w:tcW w:w="1370" w:type="dxa"/>
            <w:tcBorders>
              <w:top w:val="single" w:sz="8" w:space="0" w:color="000000"/>
              <w:left w:val="single" w:sz="8" w:space="0" w:color="000000"/>
              <w:bottom w:val="single" w:sz="8" w:space="0" w:color="000000"/>
              <w:right w:val="single" w:sz="8" w:space="0" w:color="000000"/>
            </w:tcBorders>
          </w:tcPr>
          <w:p w14:paraId="49EF9F94"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08C9D121" w14:textId="77777777" w:rsidR="005345BC" w:rsidRDefault="00F979FB">
            <w:pPr>
              <w:spacing w:after="0" w:line="259" w:lineRule="auto"/>
              <w:ind w:left="0" w:right="104" w:firstLine="0"/>
              <w:jc w:val="right"/>
            </w:pPr>
            <w:r>
              <w:t xml:space="preserve">10.0 </w:t>
            </w:r>
          </w:p>
        </w:tc>
        <w:tc>
          <w:tcPr>
            <w:tcW w:w="864" w:type="dxa"/>
            <w:tcBorders>
              <w:top w:val="single" w:sz="8" w:space="0" w:color="000000"/>
              <w:left w:val="single" w:sz="8" w:space="0" w:color="000000"/>
              <w:bottom w:val="single" w:sz="8" w:space="0" w:color="000000"/>
              <w:right w:val="nil"/>
            </w:tcBorders>
          </w:tcPr>
          <w:p w14:paraId="416882BB" w14:textId="77777777" w:rsidR="005345BC" w:rsidRDefault="00F979FB" w:rsidP="00193E02">
            <w:pPr>
              <w:spacing w:after="0" w:line="259" w:lineRule="auto"/>
              <w:ind w:left="0" w:right="-48" w:firstLine="0"/>
              <w:jc w:val="center"/>
            </w:pPr>
            <w:r>
              <w:t>5.91</w:t>
            </w:r>
          </w:p>
        </w:tc>
        <w:tc>
          <w:tcPr>
            <w:tcW w:w="270" w:type="dxa"/>
            <w:tcBorders>
              <w:top w:val="single" w:sz="8" w:space="0" w:color="000000"/>
              <w:left w:val="nil"/>
              <w:bottom w:val="single" w:sz="8" w:space="0" w:color="000000"/>
              <w:right w:val="single" w:sz="8" w:space="0" w:color="000000"/>
            </w:tcBorders>
          </w:tcPr>
          <w:p w14:paraId="616C0C0F"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09178A46" w14:textId="77777777" w:rsidR="005345BC" w:rsidRDefault="00F979FB">
            <w:pPr>
              <w:spacing w:after="0" w:line="259" w:lineRule="auto"/>
              <w:ind w:left="0" w:right="104" w:firstLine="0"/>
              <w:jc w:val="right"/>
            </w:pPr>
            <w:r>
              <w:t xml:space="preserve">1.92 </w:t>
            </w:r>
          </w:p>
        </w:tc>
      </w:tr>
      <w:tr w:rsidR="005345BC" w14:paraId="46E4CF67"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5C11175C" w14:textId="77777777" w:rsidR="005345BC" w:rsidRDefault="00F979FB">
            <w:pPr>
              <w:spacing w:after="0" w:line="259" w:lineRule="auto"/>
              <w:ind w:left="61" w:firstLine="0"/>
            </w:pPr>
            <w:r>
              <w:t xml:space="preserve">Registered provider* </w:t>
            </w:r>
          </w:p>
        </w:tc>
        <w:tc>
          <w:tcPr>
            <w:tcW w:w="1209" w:type="dxa"/>
            <w:tcBorders>
              <w:top w:val="single" w:sz="8" w:space="0" w:color="000000"/>
              <w:left w:val="single" w:sz="8" w:space="0" w:color="000000"/>
              <w:bottom w:val="single" w:sz="8" w:space="0" w:color="000000"/>
              <w:right w:val="single" w:sz="8" w:space="0" w:color="000000"/>
            </w:tcBorders>
          </w:tcPr>
          <w:p w14:paraId="16BA0ED3" w14:textId="77777777" w:rsidR="005345BC" w:rsidRDefault="00F979FB">
            <w:pPr>
              <w:spacing w:after="0" w:line="259" w:lineRule="auto"/>
              <w:ind w:left="0" w:right="104" w:firstLine="0"/>
              <w:jc w:val="right"/>
            </w:pPr>
            <w:r>
              <w:t xml:space="preserve">0.0 </w:t>
            </w:r>
          </w:p>
        </w:tc>
        <w:tc>
          <w:tcPr>
            <w:tcW w:w="1370" w:type="dxa"/>
            <w:tcBorders>
              <w:top w:val="single" w:sz="8" w:space="0" w:color="000000"/>
              <w:left w:val="single" w:sz="8" w:space="0" w:color="000000"/>
              <w:bottom w:val="single" w:sz="8" w:space="0" w:color="000000"/>
              <w:right w:val="single" w:sz="8" w:space="0" w:color="000000"/>
            </w:tcBorders>
          </w:tcPr>
          <w:p w14:paraId="7AD7656D"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345B1051" w14:textId="77777777" w:rsidR="005345BC" w:rsidRDefault="00F979FB">
            <w:pPr>
              <w:spacing w:after="0" w:line="259" w:lineRule="auto"/>
              <w:ind w:left="0" w:right="104" w:firstLine="0"/>
              <w:jc w:val="right"/>
            </w:pPr>
            <w:r>
              <w:t xml:space="preserve">0.0 </w:t>
            </w:r>
          </w:p>
        </w:tc>
        <w:tc>
          <w:tcPr>
            <w:tcW w:w="864" w:type="dxa"/>
            <w:tcBorders>
              <w:top w:val="single" w:sz="8" w:space="0" w:color="000000"/>
              <w:left w:val="single" w:sz="8" w:space="0" w:color="000000"/>
              <w:bottom w:val="single" w:sz="8" w:space="0" w:color="000000"/>
              <w:right w:val="nil"/>
            </w:tcBorders>
          </w:tcPr>
          <w:p w14:paraId="248DC7DF" w14:textId="77777777" w:rsidR="005345BC" w:rsidRDefault="00F979FB" w:rsidP="00193E02">
            <w:pPr>
              <w:spacing w:after="0" w:line="259" w:lineRule="auto"/>
              <w:ind w:left="0" w:right="-46" w:firstLine="0"/>
              <w:jc w:val="center"/>
            </w:pPr>
            <w:r>
              <w:t>N/A</w:t>
            </w:r>
          </w:p>
        </w:tc>
        <w:tc>
          <w:tcPr>
            <w:tcW w:w="270" w:type="dxa"/>
            <w:tcBorders>
              <w:top w:val="single" w:sz="8" w:space="0" w:color="000000"/>
              <w:left w:val="nil"/>
              <w:bottom w:val="single" w:sz="8" w:space="0" w:color="000000"/>
              <w:right w:val="single" w:sz="8" w:space="0" w:color="000000"/>
            </w:tcBorders>
          </w:tcPr>
          <w:p w14:paraId="6E3984AF"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2FA42323" w14:textId="77777777" w:rsidR="005345BC" w:rsidRDefault="00F979FB">
            <w:pPr>
              <w:spacing w:after="0" w:line="259" w:lineRule="auto"/>
              <w:ind w:left="0" w:right="106" w:firstLine="0"/>
              <w:jc w:val="right"/>
            </w:pPr>
            <w:r>
              <w:t xml:space="preserve">N/A </w:t>
            </w:r>
          </w:p>
        </w:tc>
      </w:tr>
      <w:tr w:rsidR="005345BC" w14:paraId="3CB55122"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52F58C84" w14:textId="77777777" w:rsidR="005345BC" w:rsidRDefault="00F979FB">
            <w:pPr>
              <w:spacing w:after="0" w:line="259" w:lineRule="auto"/>
              <w:ind w:left="61" w:firstLine="0"/>
            </w:pPr>
            <w:r>
              <w:t xml:space="preserve">Pooled funds: </w:t>
            </w:r>
          </w:p>
        </w:tc>
        <w:tc>
          <w:tcPr>
            <w:tcW w:w="1209" w:type="dxa"/>
            <w:tcBorders>
              <w:top w:val="single" w:sz="8" w:space="0" w:color="000000"/>
              <w:left w:val="single" w:sz="8" w:space="0" w:color="000000"/>
              <w:bottom w:val="single" w:sz="8" w:space="0" w:color="000000"/>
              <w:right w:val="single" w:sz="8" w:space="0" w:color="000000"/>
            </w:tcBorders>
          </w:tcPr>
          <w:p w14:paraId="311C8596" w14:textId="77777777" w:rsidR="005345BC" w:rsidRDefault="00F979FB">
            <w:pPr>
              <w:spacing w:after="0" w:line="259" w:lineRule="auto"/>
              <w:ind w:left="0" w:right="-28" w:firstLine="0"/>
              <w:jc w:val="right"/>
            </w:pP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2E3D98F8" w14:textId="77777777" w:rsidR="005345BC" w:rsidRDefault="00F979FB">
            <w:pPr>
              <w:spacing w:after="0" w:line="259" w:lineRule="auto"/>
              <w:ind w:left="0" w:right="-24"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0C2234E5" w14:textId="77777777" w:rsidR="005345BC" w:rsidRDefault="00F979FB">
            <w:pPr>
              <w:spacing w:after="0" w:line="259" w:lineRule="auto"/>
              <w:ind w:left="0" w:right="-28" w:firstLine="0"/>
              <w:jc w:val="right"/>
            </w:pPr>
            <w:r>
              <w:t xml:space="preserve">  </w:t>
            </w:r>
          </w:p>
        </w:tc>
        <w:tc>
          <w:tcPr>
            <w:tcW w:w="864" w:type="dxa"/>
            <w:tcBorders>
              <w:top w:val="single" w:sz="8" w:space="0" w:color="000000"/>
              <w:left w:val="single" w:sz="8" w:space="0" w:color="000000"/>
              <w:bottom w:val="single" w:sz="8" w:space="0" w:color="000000"/>
              <w:right w:val="nil"/>
            </w:tcBorders>
          </w:tcPr>
          <w:p w14:paraId="1753DDA8"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076B2CCF" w14:textId="77777777" w:rsidR="005345BC" w:rsidRDefault="00F979FB">
            <w:pPr>
              <w:spacing w:after="0" w:line="259" w:lineRule="auto"/>
              <w:ind w:left="0" w:right="-26"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35A2AC36" w14:textId="77777777" w:rsidR="005345BC" w:rsidRDefault="00F979FB">
            <w:pPr>
              <w:spacing w:after="0" w:line="259" w:lineRule="auto"/>
              <w:ind w:left="0" w:right="39" w:firstLine="0"/>
              <w:jc w:val="right"/>
            </w:pPr>
            <w:r>
              <w:t xml:space="preserve"> </w:t>
            </w:r>
          </w:p>
        </w:tc>
      </w:tr>
      <w:tr w:rsidR="005345BC" w14:paraId="70010EE3"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vAlign w:val="bottom"/>
          </w:tcPr>
          <w:p w14:paraId="12F66410" w14:textId="77777777" w:rsidR="005345BC" w:rsidRDefault="00F979FB">
            <w:pPr>
              <w:tabs>
                <w:tab w:val="center" w:pos="461"/>
                <w:tab w:val="center" w:pos="1722"/>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Pooled property** </w:t>
            </w:r>
          </w:p>
        </w:tc>
        <w:tc>
          <w:tcPr>
            <w:tcW w:w="1209" w:type="dxa"/>
            <w:tcBorders>
              <w:top w:val="single" w:sz="8" w:space="0" w:color="000000"/>
              <w:left w:val="single" w:sz="8" w:space="0" w:color="000000"/>
              <w:bottom w:val="single" w:sz="8" w:space="0" w:color="000000"/>
              <w:right w:val="single" w:sz="8" w:space="0" w:color="000000"/>
            </w:tcBorders>
          </w:tcPr>
          <w:p w14:paraId="11698412" w14:textId="77777777" w:rsidR="005345BC" w:rsidRDefault="00F979FB">
            <w:pPr>
              <w:spacing w:after="0" w:line="259" w:lineRule="auto"/>
              <w:ind w:left="0" w:right="104" w:firstLine="0"/>
              <w:jc w:val="right"/>
            </w:pPr>
            <w:r>
              <w:t xml:space="preserve">4.0 </w:t>
            </w:r>
          </w:p>
        </w:tc>
        <w:tc>
          <w:tcPr>
            <w:tcW w:w="1370" w:type="dxa"/>
            <w:tcBorders>
              <w:top w:val="single" w:sz="8" w:space="0" w:color="000000"/>
              <w:left w:val="single" w:sz="8" w:space="0" w:color="000000"/>
              <w:bottom w:val="single" w:sz="8" w:space="0" w:color="000000"/>
              <w:right w:val="single" w:sz="8" w:space="0" w:color="000000"/>
            </w:tcBorders>
          </w:tcPr>
          <w:p w14:paraId="17FC5A3E"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471EBCBD" w14:textId="77777777" w:rsidR="005345BC" w:rsidRDefault="00F979FB">
            <w:pPr>
              <w:spacing w:after="0" w:line="259" w:lineRule="auto"/>
              <w:ind w:left="0" w:right="104" w:firstLine="0"/>
              <w:jc w:val="right"/>
            </w:pPr>
            <w:r>
              <w:t xml:space="preserve">4.0 </w:t>
            </w:r>
          </w:p>
        </w:tc>
        <w:tc>
          <w:tcPr>
            <w:tcW w:w="864" w:type="dxa"/>
            <w:tcBorders>
              <w:top w:val="single" w:sz="8" w:space="0" w:color="000000"/>
              <w:left w:val="single" w:sz="8" w:space="0" w:color="000000"/>
              <w:bottom w:val="single" w:sz="8" w:space="0" w:color="000000"/>
              <w:right w:val="nil"/>
            </w:tcBorders>
          </w:tcPr>
          <w:p w14:paraId="013B6BB1" w14:textId="27B84A85" w:rsidR="005345BC" w:rsidRDefault="00193E02" w:rsidP="00193E02">
            <w:pPr>
              <w:spacing w:after="0" w:line="259" w:lineRule="auto"/>
              <w:ind w:left="0" w:right="-47" w:firstLine="0"/>
              <w:jc w:val="center"/>
            </w:pPr>
            <w:r>
              <w:t>4.76</w:t>
            </w:r>
          </w:p>
        </w:tc>
        <w:tc>
          <w:tcPr>
            <w:tcW w:w="270" w:type="dxa"/>
            <w:tcBorders>
              <w:top w:val="single" w:sz="8" w:space="0" w:color="000000"/>
              <w:left w:val="nil"/>
              <w:bottom w:val="single" w:sz="8" w:space="0" w:color="000000"/>
              <w:right w:val="single" w:sz="8" w:space="0" w:color="000000"/>
            </w:tcBorders>
          </w:tcPr>
          <w:p w14:paraId="5F9F0E49"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73F3EE12" w14:textId="77777777" w:rsidR="005345BC" w:rsidRDefault="00F979FB">
            <w:pPr>
              <w:spacing w:after="0" w:line="259" w:lineRule="auto"/>
              <w:ind w:left="0" w:right="106" w:firstLine="0"/>
              <w:jc w:val="right"/>
            </w:pPr>
            <w:r>
              <w:t xml:space="preserve">N/A </w:t>
            </w:r>
          </w:p>
        </w:tc>
      </w:tr>
      <w:tr w:rsidR="005345BC" w14:paraId="099C6094" w14:textId="77777777" w:rsidTr="00193E02">
        <w:trPr>
          <w:trHeight w:val="478"/>
        </w:trPr>
        <w:tc>
          <w:tcPr>
            <w:tcW w:w="2999" w:type="dxa"/>
            <w:tcBorders>
              <w:top w:val="single" w:sz="8" w:space="0" w:color="000000"/>
              <w:left w:val="single" w:sz="8" w:space="0" w:color="000000"/>
              <w:bottom w:val="single" w:sz="8" w:space="0" w:color="000000"/>
              <w:right w:val="single" w:sz="8" w:space="0" w:color="000000"/>
            </w:tcBorders>
            <w:vAlign w:val="bottom"/>
          </w:tcPr>
          <w:p w14:paraId="73A51F76" w14:textId="77777777" w:rsidR="005345BC" w:rsidRDefault="00F979FB">
            <w:pPr>
              <w:tabs>
                <w:tab w:val="center" w:pos="461"/>
                <w:tab w:val="center" w:pos="1602"/>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Pooled equity** </w:t>
            </w:r>
          </w:p>
        </w:tc>
        <w:tc>
          <w:tcPr>
            <w:tcW w:w="1209" w:type="dxa"/>
            <w:tcBorders>
              <w:top w:val="single" w:sz="8" w:space="0" w:color="000000"/>
              <w:left w:val="single" w:sz="8" w:space="0" w:color="000000"/>
              <w:bottom w:val="single" w:sz="8" w:space="0" w:color="000000"/>
              <w:right w:val="single" w:sz="8" w:space="0" w:color="000000"/>
            </w:tcBorders>
          </w:tcPr>
          <w:p w14:paraId="20B4DB98" w14:textId="77777777" w:rsidR="005345BC" w:rsidRDefault="00F979FB">
            <w:pPr>
              <w:spacing w:after="0" w:line="259" w:lineRule="auto"/>
              <w:ind w:left="0" w:right="104" w:firstLine="0"/>
              <w:jc w:val="right"/>
            </w:pPr>
            <w:r>
              <w:t xml:space="preserve">1.0 </w:t>
            </w:r>
          </w:p>
        </w:tc>
        <w:tc>
          <w:tcPr>
            <w:tcW w:w="1370" w:type="dxa"/>
            <w:tcBorders>
              <w:top w:val="single" w:sz="8" w:space="0" w:color="000000"/>
              <w:left w:val="single" w:sz="8" w:space="0" w:color="000000"/>
              <w:bottom w:val="single" w:sz="8" w:space="0" w:color="000000"/>
              <w:right w:val="single" w:sz="8" w:space="0" w:color="000000"/>
            </w:tcBorders>
          </w:tcPr>
          <w:p w14:paraId="55591515" w14:textId="77777777" w:rsidR="005345BC" w:rsidRDefault="00F979FB">
            <w:pPr>
              <w:spacing w:after="0" w:line="259" w:lineRule="auto"/>
              <w:ind w:left="0" w:right="110" w:firstLine="0"/>
              <w:jc w:val="right"/>
            </w:pP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558AAFAD" w14:textId="77777777" w:rsidR="005345BC" w:rsidRDefault="00F979FB">
            <w:pPr>
              <w:spacing w:after="0" w:line="259" w:lineRule="auto"/>
              <w:ind w:left="0" w:right="104" w:firstLine="0"/>
              <w:jc w:val="right"/>
            </w:pPr>
            <w:r>
              <w:t xml:space="preserve">1.0 </w:t>
            </w:r>
          </w:p>
        </w:tc>
        <w:tc>
          <w:tcPr>
            <w:tcW w:w="864" w:type="dxa"/>
            <w:tcBorders>
              <w:top w:val="single" w:sz="8" w:space="0" w:color="000000"/>
              <w:left w:val="single" w:sz="8" w:space="0" w:color="000000"/>
              <w:bottom w:val="single" w:sz="8" w:space="0" w:color="000000"/>
              <w:right w:val="nil"/>
            </w:tcBorders>
          </w:tcPr>
          <w:p w14:paraId="44827303" w14:textId="73694785" w:rsidR="005345BC" w:rsidRDefault="00F979FB" w:rsidP="00193E02">
            <w:pPr>
              <w:spacing w:after="0" w:line="259" w:lineRule="auto"/>
              <w:ind w:left="0" w:right="-47" w:firstLine="0"/>
              <w:jc w:val="center"/>
            </w:pPr>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3FB77E1E" wp14:editId="7D6E11D9">
                      <wp:simplePos x="0" y="0"/>
                      <wp:positionH relativeFrom="column">
                        <wp:posOffset>675139</wp:posOffset>
                      </wp:positionH>
                      <wp:positionV relativeFrom="paragraph">
                        <wp:posOffset>-30780</wp:posOffset>
                      </wp:positionV>
                      <wp:extent cx="59436" cy="175260"/>
                      <wp:effectExtent l="0" t="0" r="0" b="0"/>
                      <wp:wrapNone/>
                      <wp:docPr id="52432" name="Group 52432"/>
                      <wp:cNvGraphicFramePr/>
                      <a:graphic xmlns:a="http://schemas.openxmlformats.org/drawingml/2006/main">
                        <a:graphicData uri="http://schemas.microsoft.com/office/word/2010/wordprocessingGroup">
                          <wpg:wgp>
                            <wpg:cNvGrpSpPr/>
                            <wpg:grpSpPr>
                              <a:xfrm>
                                <a:off x="0" y="0"/>
                                <a:ext cx="59436" cy="175260"/>
                                <a:chOff x="0" y="0"/>
                                <a:chExt cx="59436" cy="175260"/>
                              </a:xfrm>
                            </wpg:grpSpPr>
                            <wps:wsp>
                              <wps:cNvPr id="54797" name="Shape 54797"/>
                              <wps:cNvSpPr/>
                              <wps:spPr>
                                <a:xfrm>
                                  <a:off x="0" y="0"/>
                                  <a:ext cx="59436" cy="175260"/>
                                </a:xfrm>
                                <a:custGeom>
                                  <a:avLst/>
                                  <a:gdLst/>
                                  <a:ahLst/>
                                  <a:cxnLst/>
                                  <a:rect l="0" t="0" r="0" b="0"/>
                                  <a:pathLst>
                                    <a:path w="59436" h="175260">
                                      <a:moveTo>
                                        <a:pt x="0" y="0"/>
                                      </a:moveTo>
                                      <a:lnTo>
                                        <a:pt x="59436" y="0"/>
                                      </a:lnTo>
                                      <a:lnTo>
                                        <a:pt x="5943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3B28849D" id="Group 52432" o:spid="_x0000_s1026" style="position:absolute;margin-left:53.15pt;margin-top:-2.4pt;width:4.7pt;height:13.8pt;z-index:-251659264" coordsize="59436,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">
                      <v:shape id="Shape 54797" o:spid="_x0000_s1027" style="position:absolute;width:59436;height:175260;visibility:visible;mso-wrap-style:square;v-text-anchor:top" coordsize="5943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" path="m,l59436,r,175260l,175260,,e" fillcolor="yellow" stroked="f" strokeweight="0">
                        <v:stroke miterlimit="83231f" joinstyle="miter"/>
                        <v:path arrowok="t" textboxrect="0,0,59436,175260"/>
                      </v:shape>
                    </v:group>
                  </w:pict>
                </mc:Fallback>
              </mc:AlternateContent>
            </w:r>
            <w:r w:rsidR="00193E02">
              <w:t>6.00</w:t>
            </w:r>
          </w:p>
        </w:tc>
        <w:tc>
          <w:tcPr>
            <w:tcW w:w="270" w:type="dxa"/>
            <w:tcBorders>
              <w:top w:val="single" w:sz="8" w:space="0" w:color="000000"/>
              <w:left w:val="nil"/>
              <w:bottom w:val="single" w:sz="8" w:space="0" w:color="000000"/>
              <w:right w:val="single" w:sz="8" w:space="0" w:color="000000"/>
            </w:tcBorders>
          </w:tcPr>
          <w:p w14:paraId="5B831AE5" w14:textId="77777777" w:rsidR="005345BC" w:rsidRDefault="00F979FB">
            <w:pPr>
              <w:spacing w:after="0" w:line="259" w:lineRule="auto"/>
              <w:ind w:left="0" w:firstLine="0"/>
              <w:jc w:val="both"/>
            </w:pP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FABB71B" w14:textId="77777777" w:rsidR="005345BC" w:rsidRDefault="00F979FB">
            <w:pPr>
              <w:spacing w:after="0" w:line="259" w:lineRule="auto"/>
              <w:ind w:left="0" w:right="106" w:firstLine="0"/>
              <w:jc w:val="right"/>
            </w:pPr>
            <w:r>
              <w:t xml:space="preserve">N/A </w:t>
            </w:r>
          </w:p>
        </w:tc>
      </w:tr>
      <w:tr w:rsidR="005345BC" w14:paraId="0648B707"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4F31B21B" w14:textId="77777777" w:rsidR="005345BC" w:rsidRDefault="00F979FB">
            <w:pPr>
              <w:spacing w:after="0" w:line="259" w:lineRule="auto"/>
              <w:ind w:left="61" w:firstLine="0"/>
            </w:pPr>
            <w:r>
              <w:rPr>
                <w:b/>
              </w:rPr>
              <w:t>TOTAL</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408A9352" w14:textId="77777777" w:rsidR="005345BC" w:rsidRDefault="00F979FB">
            <w:pPr>
              <w:spacing w:after="0" w:line="259" w:lineRule="auto"/>
              <w:ind w:left="0" w:right="104" w:firstLine="0"/>
              <w:jc w:val="right"/>
            </w:pPr>
            <w:r>
              <w:rPr>
                <w:b/>
              </w:rPr>
              <w:t>29.0</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1F427EA4" w14:textId="77777777" w:rsidR="005345BC" w:rsidRDefault="00F979FB">
            <w:pPr>
              <w:spacing w:after="0" w:line="259" w:lineRule="auto"/>
              <w:ind w:left="0" w:right="110" w:firstLine="0"/>
              <w:jc w:val="right"/>
            </w:pPr>
            <w:r>
              <w:rPr>
                <w:b/>
              </w:rPr>
              <w:t>-</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550128DA" w14:textId="77777777" w:rsidR="005345BC" w:rsidRDefault="00F979FB">
            <w:pPr>
              <w:spacing w:after="0" w:line="259" w:lineRule="auto"/>
              <w:ind w:left="0" w:right="104" w:firstLine="0"/>
              <w:jc w:val="right"/>
            </w:pPr>
            <w:r>
              <w:rPr>
                <w:b/>
              </w:rPr>
              <w:t>29.0</w:t>
            </w:r>
            <w:r>
              <w:t xml:space="preserve"> </w:t>
            </w:r>
          </w:p>
        </w:tc>
        <w:tc>
          <w:tcPr>
            <w:tcW w:w="864" w:type="dxa"/>
            <w:tcBorders>
              <w:top w:val="single" w:sz="8" w:space="0" w:color="000000"/>
              <w:left w:val="single" w:sz="8" w:space="0" w:color="000000"/>
              <w:bottom w:val="single" w:sz="8" w:space="0" w:color="000000"/>
              <w:right w:val="nil"/>
            </w:tcBorders>
          </w:tcPr>
          <w:p w14:paraId="288913C8" w14:textId="7E3CF5C4" w:rsidR="005345BC" w:rsidRPr="00193E02" w:rsidRDefault="00F979FB" w:rsidP="00193E02">
            <w:pPr>
              <w:spacing w:after="0" w:line="259" w:lineRule="auto"/>
              <w:ind w:left="0" w:right="-47" w:firstLine="0"/>
              <w:jc w:val="center"/>
              <w:rPr>
                <w:b/>
              </w:rPr>
            </w:pPr>
            <w:r w:rsidRPr="00193E02">
              <w:rPr>
                <w:rFonts w:ascii="Calibri" w:eastAsia="Calibri" w:hAnsi="Calibri" w:cs="Calibri"/>
                <w:b/>
                <w:noProof/>
                <w:sz w:val="22"/>
              </w:rPr>
              <mc:AlternateContent>
                <mc:Choice Requires="wpg">
                  <w:drawing>
                    <wp:anchor distT="0" distB="0" distL="114300" distR="114300" simplePos="0" relativeHeight="251659264" behindDoc="1" locked="0" layoutInCell="1" allowOverlap="1" wp14:anchorId="02AFA095" wp14:editId="26B0133A">
                      <wp:simplePos x="0" y="0"/>
                      <wp:positionH relativeFrom="column">
                        <wp:posOffset>675139</wp:posOffset>
                      </wp:positionH>
                      <wp:positionV relativeFrom="paragraph">
                        <wp:posOffset>-30779</wp:posOffset>
                      </wp:positionV>
                      <wp:extent cx="59436" cy="175260"/>
                      <wp:effectExtent l="0" t="0" r="0" b="0"/>
                      <wp:wrapNone/>
                      <wp:docPr id="52531" name="Group 52531"/>
                      <wp:cNvGraphicFramePr/>
                      <a:graphic xmlns:a="http://schemas.openxmlformats.org/drawingml/2006/main">
                        <a:graphicData uri="http://schemas.microsoft.com/office/word/2010/wordprocessingGroup">
                          <wpg:wgp>
                            <wpg:cNvGrpSpPr/>
                            <wpg:grpSpPr>
                              <a:xfrm>
                                <a:off x="0" y="0"/>
                                <a:ext cx="59436" cy="175260"/>
                                <a:chOff x="0" y="0"/>
                                <a:chExt cx="59436" cy="175260"/>
                              </a:xfrm>
                            </wpg:grpSpPr>
                            <wps:wsp>
                              <wps:cNvPr id="54799" name="Shape 54799"/>
                              <wps:cNvSpPr/>
                              <wps:spPr>
                                <a:xfrm>
                                  <a:off x="0" y="0"/>
                                  <a:ext cx="59436" cy="175260"/>
                                </a:xfrm>
                                <a:custGeom>
                                  <a:avLst/>
                                  <a:gdLst/>
                                  <a:ahLst/>
                                  <a:cxnLst/>
                                  <a:rect l="0" t="0" r="0" b="0"/>
                                  <a:pathLst>
                                    <a:path w="59436" h="175260">
                                      <a:moveTo>
                                        <a:pt x="0" y="0"/>
                                      </a:moveTo>
                                      <a:lnTo>
                                        <a:pt x="59436" y="0"/>
                                      </a:lnTo>
                                      <a:lnTo>
                                        <a:pt x="5943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5E4D905D" id="Group 52531" o:spid="_x0000_s1026" style="position:absolute;margin-left:53.15pt;margin-top:-2.4pt;width:4.7pt;height:13.8pt;z-index:-251657216" coordsize="59436,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">
                      <v:shape id="Shape 54799" o:spid="_x0000_s1027" style="position:absolute;width:59436;height:175260;visibility:visible;mso-wrap-style:square;v-text-anchor:top" coordsize="5943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" path="m,l59436,r,175260l,175260,,e" fillcolor="yellow" stroked="f" strokeweight="0">
                        <v:stroke miterlimit="83231f" joinstyle="miter"/>
                        <v:path arrowok="t" textboxrect="0,0,59436,175260"/>
                      </v:shape>
                    </v:group>
                  </w:pict>
                </mc:Fallback>
              </mc:AlternateContent>
            </w:r>
            <w:r w:rsidR="00193E02" w:rsidRPr="00193E02">
              <w:rPr>
                <w:b/>
              </w:rPr>
              <w:t>5.14</w:t>
            </w:r>
          </w:p>
        </w:tc>
        <w:tc>
          <w:tcPr>
            <w:tcW w:w="270" w:type="dxa"/>
            <w:tcBorders>
              <w:top w:val="single" w:sz="8" w:space="0" w:color="000000"/>
              <w:left w:val="nil"/>
              <w:bottom w:val="single" w:sz="8" w:space="0" w:color="000000"/>
              <w:right w:val="single" w:sz="8" w:space="0" w:color="000000"/>
            </w:tcBorders>
          </w:tcPr>
          <w:p w14:paraId="2DC8984E" w14:textId="77777777" w:rsidR="005345BC" w:rsidRPr="00193E02" w:rsidRDefault="00F979FB">
            <w:pPr>
              <w:spacing w:after="0" w:line="259" w:lineRule="auto"/>
              <w:ind w:left="0" w:firstLine="0"/>
              <w:jc w:val="both"/>
              <w:rPr>
                <w:b/>
              </w:rPr>
            </w:pPr>
            <w:r w:rsidRPr="00193E02">
              <w:rPr>
                <w:b/>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0387A81B" w14:textId="77777777" w:rsidR="005345BC" w:rsidRDefault="00F979FB">
            <w:pPr>
              <w:spacing w:after="0" w:line="259" w:lineRule="auto"/>
              <w:ind w:left="0" w:right="104" w:firstLine="0"/>
              <w:jc w:val="right"/>
            </w:pPr>
            <w:r>
              <w:rPr>
                <w:b/>
              </w:rPr>
              <w:t>2.30</w:t>
            </w:r>
            <w:r>
              <w:t xml:space="preserve"> </w:t>
            </w:r>
          </w:p>
        </w:tc>
      </w:tr>
      <w:tr w:rsidR="005345BC" w14:paraId="4297E735" w14:textId="77777777" w:rsidTr="00193E02">
        <w:trPr>
          <w:trHeight w:val="475"/>
        </w:trPr>
        <w:tc>
          <w:tcPr>
            <w:tcW w:w="2999" w:type="dxa"/>
            <w:tcBorders>
              <w:top w:val="single" w:sz="8" w:space="0" w:color="000000"/>
              <w:left w:val="single" w:sz="8" w:space="0" w:color="000000"/>
              <w:bottom w:val="single" w:sz="8" w:space="0" w:color="000000"/>
              <w:right w:val="single" w:sz="8" w:space="0" w:color="000000"/>
            </w:tcBorders>
          </w:tcPr>
          <w:p w14:paraId="2EA24942" w14:textId="77777777" w:rsidR="005345BC" w:rsidRDefault="00F979FB">
            <w:pPr>
              <w:spacing w:after="0" w:line="259" w:lineRule="auto"/>
              <w:ind w:left="61" w:firstLine="0"/>
            </w:pPr>
            <w:r>
              <w:rPr>
                <w:b/>
              </w:rPr>
              <w:t xml:space="preserve"> </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22E127EB" w14:textId="77777777" w:rsidR="005345BC" w:rsidRDefault="00F979FB">
            <w:pPr>
              <w:spacing w:after="0" w:line="259" w:lineRule="auto"/>
              <w:ind w:left="0" w:right="-28" w:firstLine="0"/>
              <w:jc w:val="right"/>
            </w:pPr>
            <w:r>
              <w:rPr>
                <w:b/>
              </w:rPr>
              <w:t xml:space="preserve"> </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32C52C07" w14:textId="77777777" w:rsidR="005345BC" w:rsidRDefault="00F979FB">
            <w:pPr>
              <w:spacing w:after="0" w:line="259" w:lineRule="auto"/>
              <w:ind w:left="0" w:right="-24" w:firstLine="0"/>
              <w:jc w:val="right"/>
            </w:pPr>
            <w:r>
              <w:rPr>
                <w:b/>
              </w:rPr>
              <w:t xml:space="preserve"> </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5136D139" w14:textId="77777777" w:rsidR="005345BC" w:rsidRDefault="00F979FB">
            <w:pPr>
              <w:spacing w:after="0" w:line="259" w:lineRule="auto"/>
              <w:ind w:left="0" w:right="-28" w:firstLine="0"/>
              <w:jc w:val="right"/>
            </w:pPr>
            <w:r>
              <w:rPr>
                <w:b/>
              </w:rPr>
              <w:t xml:space="preserve"> </w:t>
            </w:r>
            <w:r>
              <w:t xml:space="preserve"> </w:t>
            </w:r>
          </w:p>
        </w:tc>
        <w:tc>
          <w:tcPr>
            <w:tcW w:w="864" w:type="dxa"/>
            <w:tcBorders>
              <w:top w:val="single" w:sz="8" w:space="0" w:color="000000"/>
              <w:left w:val="single" w:sz="8" w:space="0" w:color="000000"/>
              <w:bottom w:val="single" w:sz="8" w:space="0" w:color="000000"/>
              <w:right w:val="nil"/>
            </w:tcBorders>
          </w:tcPr>
          <w:p w14:paraId="3F0558E4" w14:textId="77777777" w:rsidR="005345BC" w:rsidRDefault="005345BC">
            <w:pPr>
              <w:spacing w:after="160" w:line="259" w:lineRule="auto"/>
              <w:ind w:left="0" w:firstLine="0"/>
            </w:pPr>
          </w:p>
        </w:tc>
        <w:tc>
          <w:tcPr>
            <w:tcW w:w="270" w:type="dxa"/>
            <w:tcBorders>
              <w:top w:val="single" w:sz="8" w:space="0" w:color="000000"/>
              <w:left w:val="nil"/>
              <w:bottom w:val="single" w:sz="8" w:space="0" w:color="000000"/>
              <w:right w:val="single" w:sz="8" w:space="0" w:color="000000"/>
            </w:tcBorders>
          </w:tcPr>
          <w:p w14:paraId="4B2FECDB" w14:textId="77777777" w:rsidR="005345BC" w:rsidRDefault="00F979FB">
            <w:pPr>
              <w:spacing w:after="0" w:line="259" w:lineRule="auto"/>
              <w:ind w:left="0" w:right="-26" w:firstLine="0"/>
              <w:jc w:val="both"/>
            </w:pPr>
            <w:r>
              <w:rPr>
                <w:b/>
              </w:rPr>
              <w:t xml:space="preserve"> </w:t>
            </w:r>
            <w: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089E7916" w14:textId="77777777" w:rsidR="005345BC" w:rsidRDefault="00F979FB">
            <w:pPr>
              <w:spacing w:after="0" w:line="259" w:lineRule="auto"/>
              <w:ind w:left="0" w:right="39" w:firstLine="0"/>
              <w:jc w:val="right"/>
            </w:pPr>
            <w:r>
              <w:rPr>
                <w:b/>
              </w:rPr>
              <w:t xml:space="preserve"> </w:t>
            </w:r>
          </w:p>
        </w:tc>
      </w:tr>
      <w:tr w:rsidR="005345BC" w14:paraId="335DE1AE" w14:textId="77777777" w:rsidTr="00193E02">
        <w:trPr>
          <w:trHeight w:val="590"/>
        </w:trPr>
        <w:tc>
          <w:tcPr>
            <w:tcW w:w="2999" w:type="dxa"/>
            <w:tcBorders>
              <w:top w:val="single" w:sz="8" w:space="0" w:color="000000"/>
              <w:left w:val="single" w:sz="8" w:space="0" w:color="000000"/>
              <w:bottom w:val="single" w:sz="8" w:space="0" w:color="000000"/>
              <w:right w:val="single" w:sz="8" w:space="0" w:color="000000"/>
            </w:tcBorders>
          </w:tcPr>
          <w:p w14:paraId="588DA828" w14:textId="77777777" w:rsidR="005345BC" w:rsidRDefault="00F979FB">
            <w:pPr>
              <w:spacing w:after="0" w:line="259" w:lineRule="auto"/>
              <w:ind w:left="61" w:firstLine="0"/>
            </w:pPr>
            <w:r>
              <w:rPr>
                <w:b/>
              </w:rPr>
              <w:t>TOTAL INVESTMENTS</w:t>
            </w:r>
            <w:r>
              <w:t xml:space="preserve"> </w:t>
            </w:r>
          </w:p>
        </w:tc>
        <w:tc>
          <w:tcPr>
            <w:tcW w:w="1209" w:type="dxa"/>
            <w:tcBorders>
              <w:top w:val="single" w:sz="8" w:space="0" w:color="000000"/>
              <w:left w:val="single" w:sz="8" w:space="0" w:color="000000"/>
              <w:bottom w:val="single" w:sz="8" w:space="0" w:color="000000"/>
              <w:right w:val="single" w:sz="8" w:space="0" w:color="000000"/>
            </w:tcBorders>
          </w:tcPr>
          <w:p w14:paraId="4D78E072" w14:textId="77777777" w:rsidR="005345BC" w:rsidRDefault="00F979FB">
            <w:pPr>
              <w:spacing w:after="0" w:line="259" w:lineRule="auto"/>
              <w:ind w:left="0" w:right="104" w:firstLine="0"/>
              <w:jc w:val="right"/>
            </w:pPr>
            <w:r>
              <w:rPr>
                <w:b/>
              </w:rPr>
              <w:t>123.4</w:t>
            </w:r>
            <w:r>
              <w:t xml:space="preserve"> </w:t>
            </w:r>
          </w:p>
        </w:tc>
        <w:tc>
          <w:tcPr>
            <w:tcW w:w="1370" w:type="dxa"/>
            <w:tcBorders>
              <w:top w:val="single" w:sz="8" w:space="0" w:color="000000"/>
              <w:left w:val="single" w:sz="8" w:space="0" w:color="000000"/>
              <w:bottom w:val="single" w:sz="8" w:space="0" w:color="000000"/>
              <w:right w:val="single" w:sz="8" w:space="0" w:color="000000"/>
            </w:tcBorders>
          </w:tcPr>
          <w:p w14:paraId="31474E0E" w14:textId="77777777" w:rsidR="005345BC" w:rsidRDefault="00F979FB">
            <w:pPr>
              <w:spacing w:after="0" w:line="259" w:lineRule="auto"/>
              <w:ind w:left="0" w:right="110" w:firstLine="0"/>
              <w:jc w:val="right"/>
            </w:pPr>
            <w:r>
              <w:rPr>
                <w:b/>
              </w:rPr>
              <w:t>(7.6)</w:t>
            </w:r>
            <w:r>
              <w:t xml:space="preserve"> </w:t>
            </w:r>
          </w:p>
        </w:tc>
        <w:tc>
          <w:tcPr>
            <w:tcW w:w="1500" w:type="dxa"/>
            <w:tcBorders>
              <w:top w:val="single" w:sz="8" w:space="0" w:color="000000"/>
              <w:left w:val="single" w:sz="8" w:space="0" w:color="000000"/>
              <w:bottom w:val="single" w:sz="8" w:space="0" w:color="000000"/>
              <w:right w:val="single" w:sz="8" w:space="0" w:color="000000"/>
            </w:tcBorders>
          </w:tcPr>
          <w:p w14:paraId="178A445B" w14:textId="77777777" w:rsidR="005345BC" w:rsidRDefault="00F979FB">
            <w:pPr>
              <w:spacing w:after="0" w:line="259" w:lineRule="auto"/>
              <w:ind w:left="0" w:right="104" w:firstLine="0"/>
              <w:jc w:val="right"/>
            </w:pPr>
            <w:r>
              <w:rPr>
                <w:b/>
              </w:rPr>
              <w:t>115.8</w:t>
            </w:r>
            <w:r>
              <w:t xml:space="preserve"> </w:t>
            </w:r>
          </w:p>
        </w:tc>
        <w:tc>
          <w:tcPr>
            <w:tcW w:w="864" w:type="dxa"/>
            <w:tcBorders>
              <w:top w:val="single" w:sz="8" w:space="0" w:color="000000"/>
              <w:left w:val="single" w:sz="8" w:space="0" w:color="000000"/>
              <w:bottom w:val="single" w:sz="8" w:space="0" w:color="000000"/>
              <w:right w:val="nil"/>
            </w:tcBorders>
          </w:tcPr>
          <w:p w14:paraId="2E6D25A9" w14:textId="4C67C827" w:rsidR="005345BC" w:rsidRPr="00193E02" w:rsidRDefault="00193E02" w:rsidP="00193E02">
            <w:pPr>
              <w:spacing w:after="0" w:line="259" w:lineRule="auto"/>
              <w:ind w:left="0" w:right="-47" w:firstLine="0"/>
              <w:jc w:val="center"/>
              <w:rPr>
                <w:b/>
              </w:rPr>
            </w:pPr>
            <w:r w:rsidRPr="00193E02">
              <w:rPr>
                <w:b/>
              </w:rPr>
              <w:t>5.34</w:t>
            </w:r>
          </w:p>
        </w:tc>
        <w:tc>
          <w:tcPr>
            <w:tcW w:w="270" w:type="dxa"/>
            <w:tcBorders>
              <w:top w:val="single" w:sz="8" w:space="0" w:color="000000"/>
              <w:left w:val="nil"/>
              <w:bottom w:val="single" w:sz="8" w:space="0" w:color="000000"/>
              <w:right w:val="single" w:sz="8" w:space="0" w:color="000000"/>
            </w:tcBorders>
          </w:tcPr>
          <w:p w14:paraId="2C4A8CA0" w14:textId="77777777" w:rsidR="005345BC" w:rsidRPr="00193E02" w:rsidRDefault="00F979FB">
            <w:pPr>
              <w:spacing w:after="0" w:line="259" w:lineRule="auto"/>
              <w:ind w:left="0" w:firstLine="0"/>
              <w:jc w:val="both"/>
              <w:rPr>
                <w:b/>
              </w:rPr>
            </w:pPr>
            <w:r w:rsidRPr="00193E02">
              <w:rPr>
                <w:b/>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301B3DC" w14:textId="77777777" w:rsidR="005345BC" w:rsidRPr="00193E02" w:rsidRDefault="00F979FB">
            <w:pPr>
              <w:spacing w:after="0" w:line="259" w:lineRule="auto"/>
              <w:ind w:left="0" w:right="45" w:firstLine="0"/>
              <w:jc w:val="center"/>
              <w:rPr>
                <w:b/>
              </w:rPr>
            </w:pPr>
            <w:r w:rsidRPr="00193E02">
              <w:rPr>
                <w:b/>
              </w:rPr>
              <w:t xml:space="preserve">0.72 </w:t>
            </w:r>
          </w:p>
        </w:tc>
      </w:tr>
    </w:tbl>
    <w:p w14:paraId="33A7931F" w14:textId="77777777" w:rsidR="005345BC" w:rsidRDefault="00F979FB">
      <w:pPr>
        <w:spacing w:after="249" w:line="270" w:lineRule="auto"/>
        <w:ind w:left="-5" w:right="128" w:hanging="10"/>
      </w:pPr>
      <w:r>
        <w:rPr>
          <w:sz w:val="22"/>
        </w:rPr>
        <w:t>* A revolving credit facility of £5m is in place with a registered provider, currently not drawn.  This agreement provides the PCC with a non-utilisation fee of 0.30% per annum by reference to the undrawn amounts of the Facility.</w:t>
      </w:r>
      <w:r>
        <w:t xml:space="preserve"> </w:t>
      </w:r>
    </w:p>
    <w:p w14:paraId="3EC3EDF8" w14:textId="77777777" w:rsidR="005345BC" w:rsidRDefault="00F979FB">
      <w:pPr>
        <w:spacing w:after="249" w:line="270" w:lineRule="auto"/>
        <w:ind w:left="-5" w:right="128" w:hanging="10"/>
      </w:pPr>
      <w:r>
        <w:rPr>
          <w:sz w:val="22"/>
        </w:rPr>
        <w:t>** The rates provided for pooled fund investments are reflective of annualised income returns over the year to 31 December 2023 based on the market value of investments 12 months earlier.</w:t>
      </w:r>
      <w:r>
        <w:t xml:space="preserve"> </w:t>
      </w:r>
    </w:p>
    <w:p w14:paraId="7D8D1789" w14:textId="77777777" w:rsidR="005345BC" w:rsidRPr="00460891" w:rsidRDefault="00F979FB" w:rsidP="008E7AA3">
      <w:pPr>
        <w:spacing w:after="267" w:line="259" w:lineRule="auto"/>
        <w:ind w:left="0" w:firstLine="0"/>
        <w:rPr>
          <w:b/>
        </w:rPr>
      </w:pPr>
      <w:r w:rsidRPr="00460891">
        <w:rPr>
          <w:b/>
          <w:sz w:val="22"/>
        </w:rPr>
        <w:t xml:space="preserve"> </w:t>
      </w:r>
      <w:r w:rsidRPr="00460891">
        <w:rPr>
          <w:b/>
        </w:rPr>
        <w:t xml:space="preserve">Treasury management position </w:t>
      </w:r>
      <w:r w:rsidRPr="00460891">
        <w:rPr>
          <w:b/>
        </w:rPr>
        <w:tab/>
        <w:t xml:space="preserve">  </w:t>
      </w:r>
      <w:r w:rsidRPr="00460891">
        <w:rPr>
          <w:b/>
        </w:rPr>
        <w:tab/>
        <w:t xml:space="preserve">  </w:t>
      </w:r>
    </w:p>
    <w:tbl>
      <w:tblPr>
        <w:tblStyle w:val="TableGrid"/>
        <w:tblW w:w="9365" w:type="dxa"/>
        <w:tblInd w:w="0" w:type="dxa"/>
        <w:tblCellMar>
          <w:top w:w="56" w:type="dxa"/>
          <w:left w:w="47" w:type="dxa"/>
        </w:tblCellMar>
        <w:tblLook w:val="04A0" w:firstRow="1" w:lastRow="0" w:firstColumn="1" w:lastColumn="0" w:noHBand="0" w:noVBand="1"/>
      </w:tblPr>
      <w:tblGrid>
        <w:gridCol w:w="5612"/>
        <w:gridCol w:w="1881"/>
        <w:gridCol w:w="1704"/>
        <w:gridCol w:w="168"/>
      </w:tblGrid>
      <w:tr w:rsidR="005345BC" w14:paraId="01B3AF35" w14:textId="77777777" w:rsidTr="00460891">
        <w:trPr>
          <w:trHeight w:val="982"/>
        </w:trPr>
        <w:tc>
          <w:tcPr>
            <w:tcW w:w="5612" w:type="dxa"/>
            <w:tcBorders>
              <w:top w:val="single" w:sz="8" w:space="0" w:color="000000"/>
              <w:left w:val="single" w:sz="8" w:space="0" w:color="000000"/>
              <w:bottom w:val="single" w:sz="8" w:space="0" w:color="000000"/>
              <w:right w:val="single" w:sz="8" w:space="0" w:color="000000"/>
            </w:tcBorders>
            <w:vAlign w:val="center"/>
          </w:tcPr>
          <w:p w14:paraId="28CCD7CF" w14:textId="77777777" w:rsidR="005345BC" w:rsidRDefault="00F979FB">
            <w:pPr>
              <w:spacing w:after="0" w:line="259" w:lineRule="auto"/>
              <w:ind w:left="61" w:firstLine="0"/>
            </w:pPr>
            <w:r>
              <w:rPr>
                <w:b/>
              </w:rPr>
              <w:t xml:space="preserve"> </w:t>
            </w:r>
            <w:r>
              <w:t xml:space="preserve"> </w:t>
            </w:r>
          </w:p>
        </w:tc>
        <w:tc>
          <w:tcPr>
            <w:tcW w:w="1881" w:type="dxa"/>
            <w:tcBorders>
              <w:top w:val="single" w:sz="8" w:space="0" w:color="000000"/>
              <w:left w:val="single" w:sz="8" w:space="0" w:color="000000"/>
              <w:bottom w:val="single" w:sz="8" w:space="0" w:color="000000"/>
              <w:right w:val="single" w:sz="8" w:space="0" w:color="000000"/>
            </w:tcBorders>
          </w:tcPr>
          <w:p w14:paraId="557FEF8C" w14:textId="77777777" w:rsidR="005345BC" w:rsidRDefault="00F979FB">
            <w:pPr>
              <w:spacing w:after="24" w:line="259" w:lineRule="auto"/>
              <w:ind w:left="0" w:right="109" w:firstLine="0"/>
              <w:jc w:val="right"/>
            </w:pPr>
            <w:r>
              <w:rPr>
                <w:b/>
              </w:rPr>
              <w:t>31/12/2023</w:t>
            </w:r>
            <w:r>
              <w:t xml:space="preserve"> </w:t>
            </w:r>
          </w:p>
          <w:p w14:paraId="2815B569" w14:textId="77777777" w:rsidR="005345BC" w:rsidRDefault="00F979FB">
            <w:pPr>
              <w:spacing w:after="0" w:line="259" w:lineRule="auto"/>
              <w:ind w:left="1178" w:hanging="574"/>
            </w:pPr>
            <w:r>
              <w:rPr>
                <w:b/>
              </w:rPr>
              <w:t>Balance</w:t>
            </w:r>
            <w:r>
              <w:t xml:space="preserve"> </w:t>
            </w:r>
            <w:r>
              <w:rPr>
                <w:b/>
              </w:rPr>
              <w:t>£m</w:t>
            </w:r>
            <w:r>
              <w:t xml:space="preserve"> </w:t>
            </w:r>
          </w:p>
        </w:tc>
        <w:tc>
          <w:tcPr>
            <w:tcW w:w="1872" w:type="dxa"/>
            <w:gridSpan w:val="2"/>
            <w:tcBorders>
              <w:top w:val="single" w:sz="8" w:space="0" w:color="000000"/>
              <w:left w:val="single" w:sz="8" w:space="0" w:color="000000"/>
              <w:bottom w:val="single" w:sz="8" w:space="0" w:color="000000"/>
              <w:right w:val="single" w:sz="8" w:space="0" w:color="000000"/>
            </w:tcBorders>
          </w:tcPr>
          <w:p w14:paraId="63DD5808" w14:textId="77777777" w:rsidR="005345BC" w:rsidRDefault="00F979FB">
            <w:pPr>
              <w:spacing w:after="24" w:line="259" w:lineRule="auto"/>
              <w:ind w:left="0" w:right="103" w:firstLine="0"/>
              <w:jc w:val="right"/>
            </w:pPr>
            <w:r>
              <w:rPr>
                <w:b/>
              </w:rPr>
              <w:t>31/12/2023</w:t>
            </w:r>
            <w:r>
              <w:t xml:space="preserve"> </w:t>
            </w:r>
          </w:p>
          <w:p w14:paraId="3D871169" w14:textId="77777777" w:rsidR="005345BC" w:rsidRDefault="00F979FB">
            <w:pPr>
              <w:spacing w:after="0" w:line="259" w:lineRule="auto"/>
              <w:ind w:left="1309" w:hanging="307"/>
            </w:pPr>
            <w:r>
              <w:rPr>
                <w:b/>
              </w:rPr>
              <w:t>Rate</w:t>
            </w:r>
            <w:r>
              <w:t xml:space="preserve"> </w:t>
            </w:r>
            <w:r>
              <w:rPr>
                <w:b/>
              </w:rPr>
              <w:t>%</w:t>
            </w:r>
            <w:r>
              <w:t xml:space="preserve"> </w:t>
            </w:r>
          </w:p>
        </w:tc>
      </w:tr>
      <w:tr w:rsidR="005345BC" w14:paraId="029E4152" w14:textId="77777777" w:rsidTr="00460891">
        <w:trPr>
          <w:trHeight w:val="341"/>
        </w:trPr>
        <w:tc>
          <w:tcPr>
            <w:tcW w:w="5612" w:type="dxa"/>
            <w:tcBorders>
              <w:top w:val="single" w:sz="8" w:space="0" w:color="000000"/>
              <w:left w:val="single" w:sz="8" w:space="0" w:color="000000"/>
              <w:bottom w:val="single" w:sz="8" w:space="0" w:color="000000"/>
              <w:right w:val="single" w:sz="8" w:space="0" w:color="000000"/>
            </w:tcBorders>
          </w:tcPr>
          <w:p w14:paraId="6555315C" w14:textId="77777777" w:rsidR="005345BC" w:rsidRDefault="00F979FB">
            <w:pPr>
              <w:spacing w:after="0" w:line="259" w:lineRule="auto"/>
              <w:ind w:left="61" w:firstLine="0"/>
            </w:pPr>
            <w:r>
              <w:t xml:space="preserve">External Borrowing: </w:t>
            </w:r>
          </w:p>
        </w:tc>
        <w:tc>
          <w:tcPr>
            <w:tcW w:w="1881" w:type="dxa"/>
            <w:tcBorders>
              <w:top w:val="single" w:sz="8" w:space="0" w:color="000000"/>
              <w:left w:val="single" w:sz="8" w:space="0" w:color="000000"/>
              <w:bottom w:val="single" w:sz="8" w:space="0" w:color="000000"/>
              <w:right w:val="single" w:sz="8" w:space="0" w:color="000000"/>
            </w:tcBorders>
          </w:tcPr>
          <w:p w14:paraId="10537D9B" w14:textId="77777777" w:rsidR="005345BC" w:rsidRDefault="00F979FB">
            <w:pPr>
              <w:spacing w:after="0" w:line="259" w:lineRule="auto"/>
              <w:ind w:left="0" w:right="-24" w:firstLine="0"/>
              <w:jc w:val="right"/>
            </w:pPr>
            <w:r>
              <w:t xml:space="preserve">  </w:t>
            </w:r>
          </w:p>
        </w:tc>
        <w:tc>
          <w:tcPr>
            <w:tcW w:w="1872" w:type="dxa"/>
            <w:gridSpan w:val="2"/>
            <w:tcBorders>
              <w:top w:val="single" w:sz="8" w:space="0" w:color="000000"/>
              <w:left w:val="single" w:sz="8" w:space="0" w:color="000000"/>
              <w:bottom w:val="single" w:sz="8" w:space="0" w:color="000000"/>
              <w:right w:val="single" w:sz="8" w:space="0" w:color="000000"/>
            </w:tcBorders>
          </w:tcPr>
          <w:p w14:paraId="6E064BFE" w14:textId="77777777" w:rsidR="005345BC" w:rsidRDefault="00F979FB">
            <w:pPr>
              <w:spacing w:after="0" w:line="259" w:lineRule="auto"/>
              <w:ind w:left="0" w:right="38" w:firstLine="0"/>
              <w:jc w:val="right"/>
            </w:pPr>
            <w:r>
              <w:t xml:space="preserve"> </w:t>
            </w:r>
          </w:p>
        </w:tc>
      </w:tr>
      <w:tr w:rsidR="005345BC" w14:paraId="37190347" w14:textId="77777777" w:rsidTr="00460891">
        <w:trPr>
          <w:trHeight w:val="341"/>
        </w:trPr>
        <w:tc>
          <w:tcPr>
            <w:tcW w:w="5612" w:type="dxa"/>
            <w:tcBorders>
              <w:top w:val="single" w:sz="8" w:space="0" w:color="000000"/>
              <w:left w:val="single" w:sz="8" w:space="0" w:color="000000"/>
              <w:bottom w:val="single" w:sz="8" w:space="0" w:color="000000"/>
              <w:right w:val="single" w:sz="8" w:space="0" w:color="000000"/>
            </w:tcBorders>
          </w:tcPr>
          <w:p w14:paraId="0C3C8597" w14:textId="77777777" w:rsidR="005345BC" w:rsidRDefault="00F979FB">
            <w:pPr>
              <w:tabs>
                <w:tab w:val="center" w:pos="461"/>
                <w:tab w:val="center" w:pos="1123"/>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PWLB  </w:t>
            </w:r>
          </w:p>
        </w:tc>
        <w:tc>
          <w:tcPr>
            <w:tcW w:w="1881" w:type="dxa"/>
            <w:tcBorders>
              <w:top w:val="single" w:sz="8" w:space="0" w:color="000000"/>
              <w:left w:val="single" w:sz="8" w:space="0" w:color="000000"/>
              <w:bottom w:val="single" w:sz="8" w:space="0" w:color="000000"/>
              <w:right w:val="single" w:sz="8" w:space="0" w:color="000000"/>
            </w:tcBorders>
          </w:tcPr>
          <w:p w14:paraId="08DD9813" w14:textId="77777777" w:rsidR="005345BC" w:rsidRDefault="00F979FB">
            <w:pPr>
              <w:spacing w:after="0" w:line="259" w:lineRule="auto"/>
              <w:ind w:left="0" w:right="107" w:firstLine="0"/>
              <w:jc w:val="right"/>
            </w:pPr>
            <w:r>
              <w:t xml:space="preserve">(19.4) </w:t>
            </w:r>
          </w:p>
        </w:tc>
        <w:tc>
          <w:tcPr>
            <w:tcW w:w="1872" w:type="dxa"/>
            <w:gridSpan w:val="2"/>
            <w:tcBorders>
              <w:top w:val="single" w:sz="8" w:space="0" w:color="000000"/>
              <w:left w:val="single" w:sz="8" w:space="0" w:color="000000"/>
              <w:bottom w:val="single" w:sz="8" w:space="0" w:color="000000"/>
              <w:right w:val="single" w:sz="8" w:space="0" w:color="000000"/>
            </w:tcBorders>
          </w:tcPr>
          <w:p w14:paraId="381FCD70" w14:textId="77777777" w:rsidR="005345BC" w:rsidRDefault="00F979FB">
            <w:pPr>
              <w:spacing w:after="0" w:line="259" w:lineRule="auto"/>
              <w:ind w:left="0" w:right="101" w:firstLine="0"/>
              <w:jc w:val="right"/>
            </w:pPr>
            <w:r>
              <w:t xml:space="preserve">(4.25) </w:t>
            </w:r>
          </w:p>
        </w:tc>
      </w:tr>
      <w:tr w:rsidR="005345BC" w14:paraId="219C6026" w14:textId="77777777" w:rsidTr="00460891">
        <w:trPr>
          <w:trHeight w:val="341"/>
        </w:trPr>
        <w:tc>
          <w:tcPr>
            <w:tcW w:w="5612" w:type="dxa"/>
            <w:tcBorders>
              <w:top w:val="single" w:sz="8" w:space="0" w:color="000000"/>
              <w:left w:val="single" w:sz="8" w:space="0" w:color="000000"/>
              <w:bottom w:val="single" w:sz="8" w:space="0" w:color="000000"/>
              <w:right w:val="single" w:sz="8" w:space="0" w:color="000000"/>
            </w:tcBorders>
          </w:tcPr>
          <w:p w14:paraId="559F9994" w14:textId="77777777" w:rsidR="005345BC" w:rsidRDefault="00F979FB">
            <w:pPr>
              <w:spacing w:after="0" w:line="259" w:lineRule="auto"/>
              <w:ind w:left="61" w:firstLine="0"/>
            </w:pPr>
            <w:r>
              <w:t xml:space="preserve">Investments: </w:t>
            </w:r>
          </w:p>
        </w:tc>
        <w:tc>
          <w:tcPr>
            <w:tcW w:w="1881" w:type="dxa"/>
            <w:tcBorders>
              <w:top w:val="single" w:sz="8" w:space="0" w:color="000000"/>
              <w:left w:val="single" w:sz="8" w:space="0" w:color="000000"/>
              <w:bottom w:val="single" w:sz="8" w:space="0" w:color="000000"/>
              <w:right w:val="single" w:sz="8" w:space="0" w:color="000000"/>
            </w:tcBorders>
          </w:tcPr>
          <w:p w14:paraId="66D393FC" w14:textId="77777777" w:rsidR="005345BC" w:rsidRDefault="00F979FB">
            <w:pPr>
              <w:spacing w:after="0" w:line="259" w:lineRule="auto"/>
              <w:ind w:left="0" w:right="-24" w:firstLine="0"/>
              <w:jc w:val="right"/>
            </w:pPr>
            <w:r>
              <w:rPr>
                <w:b/>
              </w:rPr>
              <w:t xml:space="preserve"> </w:t>
            </w:r>
            <w:r>
              <w:t xml:space="preserve"> </w:t>
            </w:r>
          </w:p>
        </w:tc>
        <w:tc>
          <w:tcPr>
            <w:tcW w:w="1872" w:type="dxa"/>
            <w:gridSpan w:val="2"/>
            <w:tcBorders>
              <w:top w:val="single" w:sz="8" w:space="0" w:color="000000"/>
              <w:left w:val="single" w:sz="8" w:space="0" w:color="000000"/>
              <w:bottom w:val="single" w:sz="8" w:space="0" w:color="000000"/>
              <w:right w:val="single" w:sz="8" w:space="0" w:color="000000"/>
            </w:tcBorders>
          </w:tcPr>
          <w:p w14:paraId="5DE126DA" w14:textId="77777777" w:rsidR="005345BC" w:rsidRDefault="00F979FB">
            <w:pPr>
              <w:spacing w:after="0" w:line="259" w:lineRule="auto"/>
              <w:ind w:left="0" w:right="38" w:firstLine="0"/>
              <w:jc w:val="right"/>
            </w:pPr>
            <w:r>
              <w:rPr>
                <w:b/>
              </w:rPr>
              <w:t xml:space="preserve"> </w:t>
            </w:r>
          </w:p>
        </w:tc>
      </w:tr>
      <w:tr w:rsidR="005345BC" w14:paraId="7F152CF6" w14:textId="77777777" w:rsidTr="00460891">
        <w:trPr>
          <w:trHeight w:val="343"/>
        </w:trPr>
        <w:tc>
          <w:tcPr>
            <w:tcW w:w="5612" w:type="dxa"/>
            <w:tcBorders>
              <w:top w:val="single" w:sz="8" w:space="0" w:color="000000"/>
              <w:left w:val="single" w:sz="8" w:space="0" w:color="000000"/>
              <w:bottom w:val="single" w:sz="8" w:space="0" w:color="000000"/>
              <w:right w:val="single" w:sz="8" w:space="0" w:color="000000"/>
            </w:tcBorders>
          </w:tcPr>
          <w:p w14:paraId="07215B50" w14:textId="77777777" w:rsidR="005345BC" w:rsidRDefault="00F979FB">
            <w:pPr>
              <w:tabs>
                <w:tab w:val="center" w:pos="461"/>
                <w:tab w:val="center" w:pos="1729"/>
              </w:tabs>
              <w:spacing w:after="0" w:line="259" w:lineRule="auto"/>
              <w:ind w:left="0" w:firstLine="0"/>
            </w:pPr>
            <w:r>
              <w:rPr>
                <w:rFonts w:ascii="Calibri" w:eastAsia="Calibri" w:hAnsi="Calibri" w:cs="Calibri"/>
                <w:sz w:val="22"/>
              </w:rPr>
              <w:tab/>
            </w:r>
            <w:r>
              <w:rPr>
                <w:rFonts w:ascii="Times New Roman" w:eastAsia="Times New Roman" w:hAnsi="Times New Roman" w:cs="Times New Roman"/>
              </w:rPr>
              <w:t>-</w:t>
            </w:r>
            <w:r>
              <w:t xml:space="preserve"> </w:t>
            </w:r>
            <w:r>
              <w:tab/>
              <w:t xml:space="preserve">Total Investments </w:t>
            </w:r>
          </w:p>
        </w:tc>
        <w:tc>
          <w:tcPr>
            <w:tcW w:w="1881" w:type="dxa"/>
            <w:tcBorders>
              <w:top w:val="single" w:sz="8" w:space="0" w:color="000000"/>
              <w:left w:val="single" w:sz="8" w:space="0" w:color="000000"/>
              <w:bottom w:val="single" w:sz="8" w:space="0" w:color="000000"/>
              <w:right w:val="single" w:sz="8" w:space="0" w:color="000000"/>
            </w:tcBorders>
          </w:tcPr>
          <w:p w14:paraId="25B8C6CF" w14:textId="77777777" w:rsidR="005345BC" w:rsidRDefault="00F979FB">
            <w:pPr>
              <w:spacing w:after="0" w:line="259" w:lineRule="auto"/>
              <w:ind w:left="0" w:right="109" w:firstLine="0"/>
              <w:jc w:val="right"/>
            </w:pPr>
            <w:r>
              <w:t xml:space="preserve">115.8 </w:t>
            </w:r>
          </w:p>
        </w:tc>
        <w:tc>
          <w:tcPr>
            <w:tcW w:w="1704" w:type="dxa"/>
            <w:tcBorders>
              <w:top w:val="single" w:sz="8" w:space="0" w:color="000000"/>
              <w:left w:val="single" w:sz="8" w:space="0" w:color="000000"/>
              <w:bottom w:val="single" w:sz="8" w:space="0" w:color="000000"/>
              <w:right w:val="nil"/>
            </w:tcBorders>
          </w:tcPr>
          <w:p w14:paraId="3CAFB643" w14:textId="77777777" w:rsidR="005345BC" w:rsidRDefault="00F979FB">
            <w:pPr>
              <w:spacing w:after="0" w:line="259" w:lineRule="auto"/>
              <w:ind w:left="0" w:right="-47" w:firstLine="0"/>
              <w:jc w:val="right"/>
            </w:pPr>
            <w:r>
              <w:t>*</w:t>
            </w:r>
          </w:p>
        </w:tc>
        <w:tc>
          <w:tcPr>
            <w:tcW w:w="168" w:type="dxa"/>
            <w:tcBorders>
              <w:top w:val="single" w:sz="8" w:space="0" w:color="000000"/>
              <w:left w:val="nil"/>
              <w:bottom w:val="single" w:sz="8" w:space="0" w:color="000000"/>
              <w:right w:val="single" w:sz="8" w:space="0" w:color="000000"/>
            </w:tcBorders>
          </w:tcPr>
          <w:p w14:paraId="3BEFF19F" w14:textId="77777777" w:rsidR="005345BC" w:rsidRDefault="00F979FB">
            <w:pPr>
              <w:spacing w:after="0" w:line="259" w:lineRule="auto"/>
              <w:ind w:left="0" w:firstLine="0"/>
              <w:jc w:val="both"/>
            </w:pPr>
            <w:r>
              <w:t xml:space="preserve"> </w:t>
            </w:r>
          </w:p>
        </w:tc>
      </w:tr>
      <w:tr w:rsidR="005345BC" w14:paraId="4523FF44" w14:textId="77777777" w:rsidTr="00460891">
        <w:trPr>
          <w:trHeight w:val="336"/>
        </w:trPr>
        <w:tc>
          <w:tcPr>
            <w:tcW w:w="5612" w:type="dxa"/>
            <w:tcBorders>
              <w:top w:val="single" w:sz="8" w:space="0" w:color="000000"/>
              <w:left w:val="single" w:sz="8" w:space="0" w:color="000000"/>
              <w:bottom w:val="single" w:sz="8" w:space="0" w:color="000000"/>
              <w:right w:val="single" w:sz="8" w:space="0" w:color="000000"/>
            </w:tcBorders>
          </w:tcPr>
          <w:p w14:paraId="6A6ACF27" w14:textId="77777777" w:rsidR="005345BC" w:rsidRDefault="00F979FB">
            <w:pPr>
              <w:spacing w:after="0" w:line="259" w:lineRule="auto"/>
              <w:ind w:left="61" w:firstLine="0"/>
            </w:pPr>
            <w:r>
              <w:rPr>
                <w:b/>
              </w:rPr>
              <w:t>Net Investments</w:t>
            </w:r>
            <w:r>
              <w:t xml:space="preserve"> </w:t>
            </w:r>
          </w:p>
        </w:tc>
        <w:tc>
          <w:tcPr>
            <w:tcW w:w="1881" w:type="dxa"/>
            <w:tcBorders>
              <w:top w:val="single" w:sz="8" w:space="0" w:color="000000"/>
              <w:left w:val="single" w:sz="8" w:space="0" w:color="000000"/>
              <w:bottom w:val="single" w:sz="8" w:space="0" w:color="000000"/>
              <w:right w:val="single" w:sz="8" w:space="0" w:color="000000"/>
            </w:tcBorders>
          </w:tcPr>
          <w:p w14:paraId="1E99F9B1" w14:textId="77777777" w:rsidR="005345BC" w:rsidRDefault="00F979FB">
            <w:pPr>
              <w:spacing w:after="0" w:line="259" w:lineRule="auto"/>
              <w:ind w:left="0" w:right="109" w:firstLine="0"/>
              <w:jc w:val="right"/>
            </w:pPr>
            <w:r>
              <w:rPr>
                <w:b/>
              </w:rPr>
              <w:t>96.5</w:t>
            </w:r>
            <w:r>
              <w:t xml:space="preserve"> </w:t>
            </w:r>
          </w:p>
        </w:tc>
        <w:tc>
          <w:tcPr>
            <w:tcW w:w="187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40CABB5" w14:textId="77777777" w:rsidR="005345BC" w:rsidRDefault="00F979FB">
            <w:pPr>
              <w:spacing w:after="0" w:line="259" w:lineRule="auto"/>
              <w:ind w:left="0" w:right="38" w:firstLine="0"/>
              <w:jc w:val="right"/>
            </w:pPr>
            <w:r>
              <w:rPr>
                <w:b/>
              </w:rPr>
              <w:t xml:space="preserve"> </w:t>
            </w:r>
          </w:p>
        </w:tc>
      </w:tr>
    </w:tbl>
    <w:p w14:paraId="1104BC9B" w14:textId="77777777" w:rsidR="005345BC" w:rsidRDefault="00F979FB">
      <w:pPr>
        <w:spacing w:after="180" w:line="259" w:lineRule="auto"/>
        <w:ind w:left="0" w:firstLine="0"/>
      </w:pPr>
      <w:r>
        <w:t xml:space="preserve"> </w:t>
      </w:r>
    </w:p>
    <w:p w14:paraId="7DC4452C" w14:textId="77777777" w:rsidR="005345BC" w:rsidRDefault="00F979FB">
      <w:pPr>
        <w:pStyle w:val="Heading1"/>
        <w:spacing w:after="0"/>
      </w:pPr>
      <w:r>
        <w:t>Treasury management indicators at 31 December 2023</w:t>
      </w:r>
      <w:r>
        <w:rPr>
          <w:b w:val="0"/>
        </w:rPr>
        <w:t xml:space="preserve"> </w:t>
      </w:r>
    </w:p>
    <w:tbl>
      <w:tblPr>
        <w:tblStyle w:val="TableGrid"/>
        <w:tblW w:w="8414" w:type="dxa"/>
        <w:tblInd w:w="10" w:type="dxa"/>
        <w:tblCellMar>
          <w:top w:w="43" w:type="dxa"/>
          <w:left w:w="108" w:type="dxa"/>
          <w:right w:w="41" w:type="dxa"/>
        </w:tblCellMar>
        <w:tblLook w:val="04A0" w:firstRow="1" w:lastRow="0" w:firstColumn="1" w:lastColumn="0" w:noHBand="0" w:noVBand="1"/>
      </w:tblPr>
      <w:tblGrid>
        <w:gridCol w:w="4324"/>
        <w:gridCol w:w="1320"/>
        <w:gridCol w:w="1480"/>
        <w:gridCol w:w="1290"/>
      </w:tblGrid>
      <w:tr w:rsidR="005345BC" w14:paraId="7A666297" w14:textId="77777777">
        <w:trPr>
          <w:trHeight w:val="1087"/>
        </w:trPr>
        <w:tc>
          <w:tcPr>
            <w:tcW w:w="4351" w:type="dxa"/>
            <w:tcBorders>
              <w:top w:val="single" w:sz="8" w:space="0" w:color="000000"/>
              <w:left w:val="single" w:sz="8" w:space="0" w:color="000000"/>
              <w:bottom w:val="single" w:sz="8" w:space="0" w:color="000000"/>
              <w:right w:val="single" w:sz="8" w:space="0" w:color="000000"/>
            </w:tcBorders>
          </w:tcPr>
          <w:p w14:paraId="6D9E9208" w14:textId="77777777" w:rsidR="005345BC" w:rsidRDefault="00F979FB">
            <w:pPr>
              <w:spacing w:after="0" w:line="259" w:lineRule="auto"/>
              <w:ind w:left="0" w:firstLine="0"/>
            </w:pPr>
            <w:r>
              <w:rPr>
                <w:b/>
              </w:rPr>
              <w:t>Investment Limits</w:t>
            </w:r>
            <w:r>
              <w:t xml:space="preserve"> </w:t>
            </w:r>
          </w:p>
        </w:tc>
        <w:tc>
          <w:tcPr>
            <w:tcW w:w="1322" w:type="dxa"/>
            <w:tcBorders>
              <w:top w:val="single" w:sz="8" w:space="0" w:color="000000"/>
              <w:left w:val="single" w:sz="8" w:space="0" w:color="000000"/>
              <w:bottom w:val="single" w:sz="8" w:space="0" w:color="000000"/>
              <w:right w:val="single" w:sz="8" w:space="0" w:color="000000"/>
            </w:tcBorders>
          </w:tcPr>
          <w:p w14:paraId="77553038" w14:textId="77777777" w:rsidR="005345BC" w:rsidRDefault="00F979FB">
            <w:pPr>
              <w:spacing w:after="0" w:line="240" w:lineRule="auto"/>
              <w:ind w:left="0" w:firstLine="0"/>
              <w:jc w:val="center"/>
            </w:pPr>
            <w:r>
              <w:rPr>
                <w:b/>
              </w:rPr>
              <w:t>31/12/23 Actual</w:t>
            </w:r>
            <w:r>
              <w:t xml:space="preserve"> </w:t>
            </w:r>
          </w:p>
          <w:p w14:paraId="1A27C32A" w14:textId="77777777" w:rsidR="005345BC" w:rsidRDefault="00F979FB">
            <w:pPr>
              <w:spacing w:after="0" w:line="259" w:lineRule="auto"/>
              <w:ind w:left="0" w:right="67" w:firstLine="0"/>
              <w:jc w:val="center"/>
            </w:pPr>
            <w:r>
              <w:rPr>
                <w:b/>
              </w:rPr>
              <w:t xml:space="preserve"> £m</w:t>
            </w:r>
            <w:r>
              <w:t xml:space="preserve"> </w:t>
            </w:r>
          </w:p>
        </w:tc>
        <w:tc>
          <w:tcPr>
            <w:tcW w:w="1474" w:type="dxa"/>
            <w:tcBorders>
              <w:top w:val="single" w:sz="8" w:space="0" w:color="000000"/>
              <w:left w:val="single" w:sz="8" w:space="0" w:color="000000"/>
              <w:bottom w:val="single" w:sz="8" w:space="0" w:color="000000"/>
              <w:right w:val="single" w:sz="8" w:space="0" w:color="000000"/>
            </w:tcBorders>
          </w:tcPr>
          <w:p w14:paraId="0276EE9D" w14:textId="77777777" w:rsidR="005345BC" w:rsidRDefault="00F979FB">
            <w:pPr>
              <w:spacing w:after="0" w:line="259" w:lineRule="auto"/>
              <w:ind w:left="0" w:right="65" w:firstLine="0"/>
              <w:jc w:val="center"/>
            </w:pPr>
            <w:r>
              <w:rPr>
                <w:b/>
              </w:rPr>
              <w:t xml:space="preserve">2023/24 </w:t>
            </w:r>
          </w:p>
          <w:p w14:paraId="27ACB409" w14:textId="5F3BDF82" w:rsidR="005345BC" w:rsidRDefault="008F479E">
            <w:pPr>
              <w:spacing w:after="0" w:line="259" w:lineRule="auto"/>
              <w:ind w:left="0" w:right="64" w:firstLine="0"/>
              <w:jc w:val="center"/>
            </w:pPr>
            <w:r>
              <w:rPr>
                <w:b/>
              </w:rPr>
              <w:t>Authorise</w:t>
            </w:r>
            <w:r w:rsidR="00F979FB">
              <w:rPr>
                <w:b/>
              </w:rPr>
              <w:t>d Limit</w:t>
            </w:r>
            <w:r w:rsidR="00F979FB">
              <w:t xml:space="preserve"> </w:t>
            </w:r>
          </w:p>
        </w:tc>
        <w:tc>
          <w:tcPr>
            <w:tcW w:w="1267" w:type="dxa"/>
            <w:tcBorders>
              <w:top w:val="single" w:sz="8" w:space="0" w:color="000000"/>
              <w:left w:val="single" w:sz="8" w:space="0" w:color="000000"/>
              <w:bottom w:val="single" w:sz="8" w:space="0" w:color="000000"/>
              <w:right w:val="single" w:sz="8" w:space="0" w:color="000000"/>
            </w:tcBorders>
          </w:tcPr>
          <w:p w14:paraId="27837D30" w14:textId="3B8E73E9" w:rsidR="005345BC" w:rsidRDefault="008F479E">
            <w:pPr>
              <w:spacing w:after="0" w:line="259" w:lineRule="auto"/>
              <w:ind w:left="0" w:right="47" w:firstLine="0"/>
              <w:jc w:val="center"/>
            </w:pPr>
            <w:r>
              <w:rPr>
                <w:b/>
              </w:rPr>
              <w:t>Complie</w:t>
            </w:r>
            <w:r w:rsidR="00F979FB">
              <w:rPr>
                <w:b/>
              </w:rPr>
              <w:t>d</w:t>
            </w:r>
            <w:r w:rsidR="00F979FB">
              <w:t xml:space="preserve"> </w:t>
            </w:r>
          </w:p>
        </w:tc>
      </w:tr>
      <w:tr w:rsidR="005345BC" w14:paraId="432EB139" w14:textId="77777777">
        <w:trPr>
          <w:trHeight w:val="538"/>
        </w:trPr>
        <w:tc>
          <w:tcPr>
            <w:tcW w:w="4351" w:type="dxa"/>
            <w:tcBorders>
              <w:top w:val="single" w:sz="8" w:space="0" w:color="000000"/>
              <w:left w:val="single" w:sz="8" w:space="0" w:color="000000"/>
              <w:bottom w:val="single" w:sz="8" w:space="0" w:color="000000"/>
              <w:right w:val="single" w:sz="8" w:space="0" w:color="000000"/>
            </w:tcBorders>
          </w:tcPr>
          <w:p w14:paraId="44E137FC" w14:textId="77777777" w:rsidR="005345BC" w:rsidRDefault="00F979FB">
            <w:pPr>
              <w:spacing w:after="0" w:line="259" w:lineRule="auto"/>
              <w:ind w:left="0" w:firstLine="0"/>
            </w:pPr>
            <w:r>
              <w:t xml:space="preserve"> The UK Government </w:t>
            </w:r>
          </w:p>
        </w:tc>
        <w:tc>
          <w:tcPr>
            <w:tcW w:w="1322" w:type="dxa"/>
            <w:tcBorders>
              <w:top w:val="single" w:sz="8" w:space="0" w:color="000000"/>
              <w:left w:val="single" w:sz="8" w:space="0" w:color="000000"/>
              <w:bottom w:val="single" w:sz="8" w:space="0" w:color="000000"/>
              <w:right w:val="single" w:sz="8" w:space="0" w:color="000000"/>
            </w:tcBorders>
          </w:tcPr>
          <w:p w14:paraId="0F2DA594" w14:textId="77777777" w:rsidR="005345BC" w:rsidRDefault="00F979FB">
            <w:pPr>
              <w:spacing w:after="0" w:line="259" w:lineRule="auto"/>
              <w:ind w:left="0" w:right="65" w:firstLine="0"/>
              <w:jc w:val="right"/>
            </w:pPr>
            <w:r>
              <w:t xml:space="preserve">20.0 </w:t>
            </w:r>
          </w:p>
        </w:tc>
        <w:tc>
          <w:tcPr>
            <w:tcW w:w="1474" w:type="dxa"/>
            <w:tcBorders>
              <w:top w:val="single" w:sz="8" w:space="0" w:color="000000"/>
              <w:left w:val="single" w:sz="8" w:space="0" w:color="000000"/>
              <w:bottom w:val="single" w:sz="8" w:space="0" w:color="000000"/>
              <w:right w:val="single" w:sz="8" w:space="0" w:color="000000"/>
            </w:tcBorders>
          </w:tcPr>
          <w:p w14:paraId="6535C8E0" w14:textId="77777777" w:rsidR="005345BC" w:rsidRDefault="00F979FB">
            <w:pPr>
              <w:spacing w:after="0" w:line="259" w:lineRule="auto"/>
              <w:ind w:left="0" w:right="65" w:firstLine="0"/>
              <w:jc w:val="right"/>
            </w:pPr>
            <w:r>
              <w:t xml:space="preserve">Unlimited </w:t>
            </w:r>
          </w:p>
        </w:tc>
        <w:tc>
          <w:tcPr>
            <w:tcW w:w="1267" w:type="dxa"/>
            <w:tcBorders>
              <w:top w:val="single" w:sz="8" w:space="0" w:color="000000"/>
              <w:left w:val="single" w:sz="8" w:space="0" w:color="000000"/>
              <w:bottom w:val="single" w:sz="8" w:space="0" w:color="000000"/>
              <w:right w:val="single" w:sz="8" w:space="0" w:color="000000"/>
            </w:tcBorders>
          </w:tcPr>
          <w:p w14:paraId="5B68165C"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0620F2E4" w14:textId="77777777">
        <w:trPr>
          <w:trHeight w:val="811"/>
        </w:trPr>
        <w:tc>
          <w:tcPr>
            <w:tcW w:w="4351" w:type="dxa"/>
            <w:tcBorders>
              <w:top w:val="single" w:sz="8" w:space="0" w:color="000000"/>
              <w:left w:val="single" w:sz="8" w:space="0" w:color="000000"/>
              <w:bottom w:val="single" w:sz="8" w:space="0" w:color="000000"/>
              <w:right w:val="single" w:sz="8" w:space="0" w:color="000000"/>
            </w:tcBorders>
          </w:tcPr>
          <w:p w14:paraId="71519D76" w14:textId="77777777" w:rsidR="005345BC" w:rsidRDefault="00F979FB">
            <w:pPr>
              <w:spacing w:after="0" w:line="259" w:lineRule="auto"/>
              <w:ind w:left="0" w:firstLine="0"/>
            </w:pPr>
            <w:r>
              <w:t xml:space="preserve">Local authorities &amp; other government entities </w:t>
            </w:r>
          </w:p>
        </w:tc>
        <w:tc>
          <w:tcPr>
            <w:tcW w:w="1322" w:type="dxa"/>
            <w:tcBorders>
              <w:top w:val="single" w:sz="8" w:space="0" w:color="000000"/>
              <w:left w:val="single" w:sz="8" w:space="0" w:color="000000"/>
              <w:bottom w:val="single" w:sz="8" w:space="0" w:color="000000"/>
              <w:right w:val="single" w:sz="8" w:space="0" w:color="000000"/>
            </w:tcBorders>
          </w:tcPr>
          <w:p w14:paraId="6312BC30" w14:textId="77777777" w:rsidR="005345BC" w:rsidRDefault="00F979FB">
            <w:pPr>
              <w:spacing w:after="0" w:line="259" w:lineRule="auto"/>
              <w:ind w:left="0" w:right="65" w:firstLine="0"/>
              <w:jc w:val="right"/>
            </w:pPr>
            <w:r>
              <w:t xml:space="preserve">30.5 </w:t>
            </w:r>
          </w:p>
        </w:tc>
        <w:tc>
          <w:tcPr>
            <w:tcW w:w="1474" w:type="dxa"/>
            <w:tcBorders>
              <w:top w:val="single" w:sz="8" w:space="0" w:color="000000"/>
              <w:left w:val="single" w:sz="8" w:space="0" w:color="000000"/>
              <w:bottom w:val="single" w:sz="8" w:space="0" w:color="000000"/>
              <w:right w:val="single" w:sz="8" w:space="0" w:color="000000"/>
            </w:tcBorders>
          </w:tcPr>
          <w:p w14:paraId="60CA753F" w14:textId="77777777" w:rsidR="005345BC" w:rsidRDefault="00F979FB">
            <w:pPr>
              <w:spacing w:after="0" w:line="259" w:lineRule="auto"/>
              <w:ind w:left="0" w:right="65" w:firstLine="0"/>
              <w:jc w:val="right"/>
            </w:pPr>
            <w:r>
              <w:t xml:space="preserve">Unlimited </w:t>
            </w:r>
          </w:p>
        </w:tc>
        <w:tc>
          <w:tcPr>
            <w:tcW w:w="1267" w:type="dxa"/>
            <w:tcBorders>
              <w:top w:val="single" w:sz="8" w:space="0" w:color="000000"/>
              <w:left w:val="single" w:sz="8" w:space="0" w:color="000000"/>
              <w:bottom w:val="single" w:sz="8" w:space="0" w:color="000000"/>
              <w:right w:val="single" w:sz="8" w:space="0" w:color="000000"/>
            </w:tcBorders>
          </w:tcPr>
          <w:p w14:paraId="5200DCBC"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0676707A" w14:textId="77777777">
        <w:trPr>
          <w:trHeight w:val="535"/>
        </w:trPr>
        <w:tc>
          <w:tcPr>
            <w:tcW w:w="4351" w:type="dxa"/>
            <w:tcBorders>
              <w:top w:val="single" w:sz="8" w:space="0" w:color="000000"/>
              <w:left w:val="single" w:sz="8" w:space="0" w:color="000000"/>
              <w:bottom w:val="single" w:sz="8" w:space="0" w:color="000000"/>
              <w:right w:val="single" w:sz="8" w:space="0" w:color="000000"/>
            </w:tcBorders>
          </w:tcPr>
          <w:p w14:paraId="3912B918" w14:textId="77777777" w:rsidR="005345BC" w:rsidRDefault="00F979FB">
            <w:pPr>
              <w:spacing w:after="0" w:line="259" w:lineRule="auto"/>
              <w:ind w:left="0" w:firstLine="0"/>
            </w:pPr>
            <w:r>
              <w:t xml:space="preserve">Secured investments * </w:t>
            </w:r>
          </w:p>
        </w:tc>
        <w:tc>
          <w:tcPr>
            <w:tcW w:w="1322" w:type="dxa"/>
            <w:tcBorders>
              <w:top w:val="single" w:sz="8" w:space="0" w:color="000000"/>
              <w:left w:val="single" w:sz="8" w:space="0" w:color="000000"/>
              <w:bottom w:val="single" w:sz="8" w:space="0" w:color="000000"/>
              <w:right w:val="single" w:sz="8" w:space="0" w:color="000000"/>
            </w:tcBorders>
          </w:tcPr>
          <w:p w14:paraId="1E53A443" w14:textId="77777777" w:rsidR="005345BC" w:rsidRDefault="00F979FB">
            <w:pPr>
              <w:spacing w:after="0" w:line="259" w:lineRule="auto"/>
              <w:ind w:left="0" w:right="65" w:firstLine="0"/>
              <w:jc w:val="right"/>
            </w:pPr>
            <w:r>
              <w:t xml:space="preserve">27.6 </w:t>
            </w:r>
          </w:p>
        </w:tc>
        <w:tc>
          <w:tcPr>
            <w:tcW w:w="1474" w:type="dxa"/>
            <w:tcBorders>
              <w:top w:val="single" w:sz="8" w:space="0" w:color="000000"/>
              <w:left w:val="single" w:sz="8" w:space="0" w:color="000000"/>
              <w:bottom w:val="single" w:sz="8" w:space="0" w:color="000000"/>
              <w:right w:val="single" w:sz="8" w:space="0" w:color="000000"/>
            </w:tcBorders>
          </w:tcPr>
          <w:p w14:paraId="09D17051" w14:textId="77777777" w:rsidR="005345BC" w:rsidRDefault="00F979FB">
            <w:pPr>
              <w:spacing w:after="0" w:line="259" w:lineRule="auto"/>
              <w:ind w:left="0" w:right="65" w:firstLine="0"/>
              <w:jc w:val="right"/>
            </w:pPr>
            <w:r>
              <w:t xml:space="preserve">Unlimited </w:t>
            </w:r>
          </w:p>
        </w:tc>
        <w:tc>
          <w:tcPr>
            <w:tcW w:w="1267" w:type="dxa"/>
            <w:tcBorders>
              <w:top w:val="single" w:sz="8" w:space="0" w:color="000000"/>
              <w:left w:val="single" w:sz="8" w:space="0" w:color="000000"/>
              <w:bottom w:val="single" w:sz="8" w:space="0" w:color="000000"/>
              <w:right w:val="single" w:sz="8" w:space="0" w:color="000000"/>
            </w:tcBorders>
          </w:tcPr>
          <w:p w14:paraId="42CE7BF6"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77C74E40" w14:textId="77777777">
        <w:trPr>
          <w:trHeight w:val="538"/>
        </w:trPr>
        <w:tc>
          <w:tcPr>
            <w:tcW w:w="4351" w:type="dxa"/>
            <w:tcBorders>
              <w:top w:val="single" w:sz="8" w:space="0" w:color="000000"/>
              <w:left w:val="single" w:sz="8" w:space="0" w:color="000000"/>
              <w:bottom w:val="single" w:sz="8" w:space="0" w:color="000000"/>
              <w:right w:val="single" w:sz="8" w:space="0" w:color="000000"/>
            </w:tcBorders>
          </w:tcPr>
          <w:p w14:paraId="08C59F36" w14:textId="77777777" w:rsidR="005345BC" w:rsidRDefault="00F979FB">
            <w:pPr>
              <w:spacing w:after="0" w:line="259" w:lineRule="auto"/>
              <w:ind w:left="0" w:firstLine="0"/>
            </w:pPr>
            <w:r>
              <w:t xml:space="preserve">Banks (unsecured) * </w:t>
            </w:r>
          </w:p>
        </w:tc>
        <w:tc>
          <w:tcPr>
            <w:tcW w:w="1322" w:type="dxa"/>
            <w:tcBorders>
              <w:top w:val="single" w:sz="8" w:space="0" w:color="000000"/>
              <w:left w:val="single" w:sz="8" w:space="0" w:color="000000"/>
              <w:bottom w:val="single" w:sz="8" w:space="0" w:color="000000"/>
              <w:right w:val="single" w:sz="8" w:space="0" w:color="000000"/>
            </w:tcBorders>
          </w:tcPr>
          <w:p w14:paraId="20799883" w14:textId="77777777" w:rsidR="005345BC" w:rsidRDefault="00F979FB">
            <w:pPr>
              <w:spacing w:after="0" w:line="259" w:lineRule="auto"/>
              <w:ind w:left="0" w:right="65" w:firstLine="0"/>
              <w:jc w:val="right"/>
            </w:pPr>
            <w:r>
              <w:t xml:space="preserve">1.2 </w:t>
            </w:r>
          </w:p>
        </w:tc>
        <w:tc>
          <w:tcPr>
            <w:tcW w:w="1474" w:type="dxa"/>
            <w:tcBorders>
              <w:top w:val="single" w:sz="8" w:space="0" w:color="000000"/>
              <w:left w:val="single" w:sz="8" w:space="0" w:color="000000"/>
              <w:bottom w:val="single" w:sz="8" w:space="0" w:color="000000"/>
              <w:right w:val="single" w:sz="8" w:space="0" w:color="000000"/>
            </w:tcBorders>
          </w:tcPr>
          <w:p w14:paraId="73DC8E69" w14:textId="77777777" w:rsidR="005345BC" w:rsidRDefault="00F979FB">
            <w:pPr>
              <w:spacing w:after="0" w:line="259" w:lineRule="auto"/>
              <w:ind w:left="0" w:right="65" w:firstLine="0"/>
              <w:jc w:val="right"/>
            </w:pPr>
            <w:r>
              <w:t xml:space="preserve">Unlimited </w:t>
            </w:r>
          </w:p>
        </w:tc>
        <w:tc>
          <w:tcPr>
            <w:tcW w:w="1267" w:type="dxa"/>
            <w:tcBorders>
              <w:top w:val="single" w:sz="8" w:space="0" w:color="000000"/>
              <w:left w:val="single" w:sz="8" w:space="0" w:color="000000"/>
              <w:bottom w:val="single" w:sz="8" w:space="0" w:color="000000"/>
              <w:right w:val="single" w:sz="8" w:space="0" w:color="000000"/>
            </w:tcBorders>
          </w:tcPr>
          <w:p w14:paraId="6F505484"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7D174EFC" w14:textId="77777777">
        <w:trPr>
          <w:trHeight w:val="535"/>
        </w:trPr>
        <w:tc>
          <w:tcPr>
            <w:tcW w:w="4351" w:type="dxa"/>
            <w:tcBorders>
              <w:top w:val="single" w:sz="8" w:space="0" w:color="000000"/>
              <w:left w:val="single" w:sz="8" w:space="0" w:color="000000"/>
              <w:bottom w:val="single" w:sz="8" w:space="0" w:color="000000"/>
              <w:right w:val="single" w:sz="8" w:space="0" w:color="000000"/>
            </w:tcBorders>
          </w:tcPr>
          <w:p w14:paraId="3411E8A8" w14:textId="77777777" w:rsidR="005345BC" w:rsidRDefault="00F979FB">
            <w:pPr>
              <w:spacing w:after="0" w:line="259" w:lineRule="auto"/>
              <w:ind w:left="0" w:firstLine="0"/>
            </w:pPr>
            <w:r>
              <w:t xml:space="preserve">Building societies (unsecured) * </w:t>
            </w:r>
          </w:p>
        </w:tc>
        <w:tc>
          <w:tcPr>
            <w:tcW w:w="1322" w:type="dxa"/>
            <w:tcBorders>
              <w:top w:val="single" w:sz="8" w:space="0" w:color="000000"/>
              <w:left w:val="single" w:sz="8" w:space="0" w:color="000000"/>
              <w:bottom w:val="single" w:sz="8" w:space="0" w:color="000000"/>
              <w:right w:val="single" w:sz="8" w:space="0" w:color="000000"/>
            </w:tcBorders>
          </w:tcPr>
          <w:p w14:paraId="2E17552A" w14:textId="77777777" w:rsidR="005345BC" w:rsidRDefault="00F979FB">
            <w:pPr>
              <w:spacing w:after="0" w:line="259" w:lineRule="auto"/>
              <w:ind w:left="0" w:right="65" w:firstLine="0"/>
              <w:jc w:val="right"/>
            </w:pPr>
            <w:r>
              <w:t xml:space="preserve">0.0 </w:t>
            </w:r>
          </w:p>
        </w:tc>
        <w:tc>
          <w:tcPr>
            <w:tcW w:w="1474" w:type="dxa"/>
            <w:tcBorders>
              <w:top w:val="single" w:sz="8" w:space="0" w:color="000000"/>
              <w:left w:val="single" w:sz="8" w:space="0" w:color="000000"/>
              <w:bottom w:val="single" w:sz="8" w:space="0" w:color="000000"/>
              <w:right w:val="single" w:sz="8" w:space="0" w:color="000000"/>
            </w:tcBorders>
          </w:tcPr>
          <w:p w14:paraId="502B07D2" w14:textId="77777777" w:rsidR="005345BC" w:rsidRDefault="00F979FB">
            <w:pPr>
              <w:spacing w:after="0" w:line="259" w:lineRule="auto"/>
              <w:ind w:left="0" w:right="66" w:firstLine="0"/>
              <w:jc w:val="right"/>
            </w:pPr>
            <w:r>
              <w:t xml:space="preserve">£16m </w:t>
            </w:r>
          </w:p>
        </w:tc>
        <w:tc>
          <w:tcPr>
            <w:tcW w:w="1267" w:type="dxa"/>
            <w:tcBorders>
              <w:top w:val="single" w:sz="8" w:space="0" w:color="000000"/>
              <w:left w:val="single" w:sz="8" w:space="0" w:color="000000"/>
              <w:bottom w:val="single" w:sz="8" w:space="0" w:color="000000"/>
              <w:right w:val="single" w:sz="8" w:space="0" w:color="000000"/>
            </w:tcBorders>
          </w:tcPr>
          <w:p w14:paraId="1DD7DBC8"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0700B631" w14:textId="77777777">
        <w:trPr>
          <w:trHeight w:val="605"/>
        </w:trPr>
        <w:tc>
          <w:tcPr>
            <w:tcW w:w="4351" w:type="dxa"/>
            <w:tcBorders>
              <w:top w:val="single" w:sz="8" w:space="0" w:color="000000"/>
              <w:left w:val="single" w:sz="8" w:space="0" w:color="000000"/>
              <w:bottom w:val="single" w:sz="8" w:space="0" w:color="000000"/>
              <w:right w:val="single" w:sz="8" w:space="0" w:color="000000"/>
            </w:tcBorders>
          </w:tcPr>
          <w:p w14:paraId="023E16C2" w14:textId="77777777" w:rsidR="005345BC" w:rsidRDefault="00F979FB">
            <w:pPr>
              <w:spacing w:after="0" w:line="259" w:lineRule="auto"/>
              <w:ind w:left="0" w:firstLine="0"/>
            </w:pPr>
            <w:r>
              <w:t xml:space="preserve">Registered providers (unsecured) * </w:t>
            </w:r>
          </w:p>
        </w:tc>
        <w:tc>
          <w:tcPr>
            <w:tcW w:w="1322" w:type="dxa"/>
            <w:tcBorders>
              <w:top w:val="single" w:sz="8" w:space="0" w:color="000000"/>
              <w:left w:val="single" w:sz="8" w:space="0" w:color="000000"/>
              <w:bottom w:val="single" w:sz="8" w:space="0" w:color="000000"/>
              <w:right w:val="single" w:sz="8" w:space="0" w:color="000000"/>
            </w:tcBorders>
          </w:tcPr>
          <w:p w14:paraId="22FBB1AC" w14:textId="77777777" w:rsidR="005345BC" w:rsidRDefault="00F979FB">
            <w:pPr>
              <w:spacing w:after="0" w:line="259" w:lineRule="auto"/>
              <w:ind w:left="0" w:right="65" w:firstLine="0"/>
              <w:jc w:val="right"/>
            </w:pPr>
            <w:r>
              <w:t xml:space="preserve">0.0 </w:t>
            </w:r>
          </w:p>
        </w:tc>
        <w:tc>
          <w:tcPr>
            <w:tcW w:w="1474" w:type="dxa"/>
            <w:tcBorders>
              <w:top w:val="single" w:sz="8" w:space="0" w:color="000000"/>
              <w:left w:val="single" w:sz="8" w:space="0" w:color="000000"/>
              <w:bottom w:val="single" w:sz="8" w:space="0" w:color="000000"/>
              <w:right w:val="single" w:sz="8" w:space="0" w:color="000000"/>
            </w:tcBorders>
          </w:tcPr>
          <w:p w14:paraId="2CDBD8DF" w14:textId="77777777" w:rsidR="005345BC" w:rsidRDefault="00F979FB">
            <w:pPr>
              <w:spacing w:after="0" w:line="259" w:lineRule="auto"/>
              <w:ind w:left="0" w:right="66" w:firstLine="0"/>
              <w:jc w:val="right"/>
            </w:pPr>
            <w:r>
              <w:t xml:space="preserve">£16m </w:t>
            </w:r>
          </w:p>
        </w:tc>
        <w:tc>
          <w:tcPr>
            <w:tcW w:w="1267" w:type="dxa"/>
            <w:tcBorders>
              <w:top w:val="single" w:sz="8" w:space="0" w:color="000000"/>
              <w:left w:val="single" w:sz="8" w:space="0" w:color="000000"/>
              <w:bottom w:val="single" w:sz="8" w:space="0" w:color="000000"/>
              <w:right w:val="single" w:sz="8" w:space="0" w:color="000000"/>
            </w:tcBorders>
          </w:tcPr>
          <w:p w14:paraId="091BB523"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68E249A0" w14:textId="77777777">
        <w:trPr>
          <w:trHeight w:val="535"/>
        </w:trPr>
        <w:tc>
          <w:tcPr>
            <w:tcW w:w="4351" w:type="dxa"/>
            <w:tcBorders>
              <w:top w:val="single" w:sz="8" w:space="0" w:color="000000"/>
              <w:left w:val="single" w:sz="8" w:space="0" w:color="000000"/>
              <w:bottom w:val="single" w:sz="8" w:space="0" w:color="000000"/>
              <w:right w:val="single" w:sz="8" w:space="0" w:color="000000"/>
            </w:tcBorders>
          </w:tcPr>
          <w:p w14:paraId="415A2B4D" w14:textId="77777777" w:rsidR="005345BC" w:rsidRDefault="00F979FB">
            <w:pPr>
              <w:spacing w:after="0" w:line="259" w:lineRule="auto"/>
              <w:ind w:left="0" w:firstLine="0"/>
            </w:pPr>
            <w:r>
              <w:t xml:space="preserve">Money market funds * </w:t>
            </w:r>
          </w:p>
        </w:tc>
        <w:tc>
          <w:tcPr>
            <w:tcW w:w="1322" w:type="dxa"/>
            <w:tcBorders>
              <w:top w:val="single" w:sz="8" w:space="0" w:color="000000"/>
              <w:left w:val="single" w:sz="8" w:space="0" w:color="000000"/>
              <w:bottom w:val="single" w:sz="8" w:space="0" w:color="000000"/>
              <w:right w:val="single" w:sz="8" w:space="0" w:color="000000"/>
            </w:tcBorders>
          </w:tcPr>
          <w:p w14:paraId="3B3BF6F9" w14:textId="77777777" w:rsidR="005345BC" w:rsidRDefault="00F979FB">
            <w:pPr>
              <w:spacing w:after="0" w:line="259" w:lineRule="auto"/>
              <w:ind w:left="0" w:right="65" w:firstLine="0"/>
              <w:jc w:val="right"/>
            </w:pPr>
            <w:r>
              <w:t xml:space="preserve">31.5 </w:t>
            </w:r>
          </w:p>
        </w:tc>
        <w:tc>
          <w:tcPr>
            <w:tcW w:w="1474" w:type="dxa"/>
            <w:tcBorders>
              <w:top w:val="single" w:sz="8" w:space="0" w:color="000000"/>
              <w:left w:val="single" w:sz="8" w:space="0" w:color="000000"/>
              <w:bottom w:val="single" w:sz="8" w:space="0" w:color="000000"/>
              <w:right w:val="single" w:sz="8" w:space="0" w:color="000000"/>
            </w:tcBorders>
          </w:tcPr>
          <w:p w14:paraId="067E8BAC" w14:textId="77777777" w:rsidR="005345BC" w:rsidRDefault="00F979FB">
            <w:pPr>
              <w:spacing w:after="0" w:line="259" w:lineRule="auto"/>
              <w:ind w:left="0" w:right="65" w:firstLine="0"/>
              <w:jc w:val="right"/>
            </w:pPr>
            <w:r>
              <w:t xml:space="preserve">Unlimited </w:t>
            </w:r>
          </w:p>
        </w:tc>
        <w:tc>
          <w:tcPr>
            <w:tcW w:w="1267" w:type="dxa"/>
            <w:tcBorders>
              <w:top w:val="single" w:sz="8" w:space="0" w:color="000000"/>
              <w:left w:val="single" w:sz="8" w:space="0" w:color="000000"/>
              <w:bottom w:val="single" w:sz="8" w:space="0" w:color="000000"/>
              <w:right w:val="single" w:sz="8" w:space="0" w:color="000000"/>
            </w:tcBorders>
          </w:tcPr>
          <w:p w14:paraId="3FC0F776"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72223554" w14:textId="77777777">
        <w:trPr>
          <w:trHeight w:val="538"/>
        </w:trPr>
        <w:tc>
          <w:tcPr>
            <w:tcW w:w="4351" w:type="dxa"/>
            <w:tcBorders>
              <w:top w:val="single" w:sz="8" w:space="0" w:color="000000"/>
              <w:left w:val="single" w:sz="8" w:space="0" w:color="000000"/>
              <w:bottom w:val="single" w:sz="8" w:space="0" w:color="000000"/>
              <w:right w:val="single" w:sz="8" w:space="0" w:color="000000"/>
            </w:tcBorders>
          </w:tcPr>
          <w:p w14:paraId="4C2F5E35" w14:textId="77777777" w:rsidR="005345BC" w:rsidRDefault="00F979FB">
            <w:pPr>
              <w:spacing w:after="0" w:line="259" w:lineRule="auto"/>
              <w:ind w:left="0" w:firstLine="0"/>
            </w:pPr>
            <w:r>
              <w:t xml:space="preserve">Strategic pooled funds </w:t>
            </w:r>
          </w:p>
        </w:tc>
        <w:tc>
          <w:tcPr>
            <w:tcW w:w="1322" w:type="dxa"/>
            <w:tcBorders>
              <w:top w:val="single" w:sz="8" w:space="0" w:color="000000"/>
              <w:left w:val="single" w:sz="8" w:space="0" w:color="000000"/>
              <w:bottom w:val="single" w:sz="8" w:space="0" w:color="000000"/>
              <w:right w:val="single" w:sz="8" w:space="0" w:color="000000"/>
            </w:tcBorders>
          </w:tcPr>
          <w:p w14:paraId="503E0459" w14:textId="77777777" w:rsidR="005345BC" w:rsidRDefault="00F979FB">
            <w:pPr>
              <w:spacing w:after="0" w:line="259" w:lineRule="auto"/>
              <w:ind w:left="0" w:right="65" w:firstLine="0"/>
              <w:jc w:val="right"/>
            </w:pPr>
            <w:r>
              <w:t xml:space="preserve">5.0 </w:t>
            </w:r>
          </w:p>
        </w:tc>
        <w:tc>
          <w:tcPr>
            <w:tcW w:w="1474" w:type="dxa"/>
            <w:tcBorders>
              <w:top w:val="single" w:sz="8" w:space="0" w:color="000000"/>
              <w:left w:val="single" w:sz="8" w:space="0" w:color="000000"/>
              <w:bottom w:val="single" w:sz="8" w:space="0" w:color="000000"/>
              <w:right w:val="single" w:sz="8" w:space="0" w:color="000000"/>
            </w:tcBorders>
          </w:tcPr>
          <w:p w14:paraId="7639B627" w14:textId="77777777" w:rsidR="005345BC" w:rsidRDefault="00F979FB">
            <w:pPr>
              <w:spacing w:after="0" w:line="259" w:lineRule="auto"/>
              <w:ind w:left="0" w:right="66" w:firstLine="0"/>
              <w:jc w:val="right"/>
            </w:pPr>
            <w:r>
              <w:t xml:space="preserve">£39m </w:t>
            </w:r>
          </w:p>
        </w:tc>
        <w:tc>
          <w:tcPr>
            <w:tcW w:w="1267" w:type="dxa"/>
            <w:tcBorders>
              <w:top w:val="single" w:sz="8" w:space="0" w:color="000000"/>
              <w:left w:val="single" w:sz="8" w:space="0" w:color="000000"/>
              <w:bottom w:val="single" w:sz="8" w:space="0" w:color="000000"/>
              <w:right w:val="single" w:sz="8" w:space="0" w:color="000000"/>
            </w:tcBorders>
          </w:tcPr>
          <w:p w14:paraId="1F0DDE9F"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6E6B7CC7" w14:textId="77777777">
        <w:trPr>
          <w:trHeight w:val="535"/>
        </w:trPr>
        <w:tc>
          <w:tcPr>
            <w:tcW w:w="4351" w:type="dxa"/>
            <w:tcBorders>
              <w:top w:val="single" w:sz="8" w:space="0" w:color="000000"/>
              <w:left w:val="single" w:sz="8" w:space="0" w:color="000000"/>
              <w:bottom w:val="single" w:sz="8" w:space="0" w:color="000000"/>
              <w:right w:val="single" w:sz="8" w:space="0" w:color="000000"/>
            </w:tcBorders>
          </w:tcPr>
          <w:p w14:paraId="2564C0DE" w14:textId="77777777" w:rsidR="005345BC" w:rsidRDefault="00F979FB">
            <w:pPr>
              <w:spacing w:after="0" w:line="259" w:lineRule="auto"/>
              <w:ind w:left="0" w:firstLine="0"/>
            </w:pPr>
            <w:r>
              <w:t xml:space="preserve">Real estate investment trusts </w:t>
            </w:r>
          </w:p>
        </w:tc>
        <w:tc>
          <w:tcPr>
            <w:tcW w:w="1322" w:type="dxa"/>
            <w:tcBorders>
              <w:top w:val="single" w:sz="8" w:space="0" w:color="000000"/>
              <w:left w:val="single" w:sz="8" w:space="0" w:color="000000"/>
              <w:bottom w:val="single" w:sz="8" w:space="0" w:color="000000"/>
              <w:right w:val="single" w:sz="8" w:space="0" w:color="000000"/>
            </w:tcBorders>
          </w:tcPr>
          <w:p w14:paraId="2547C71D" w14:textId="77777777" w:rsidR="005345BC" w:rsidRDefault="00F979FB">
            <w:pPr>
              <w:spacing w:after="0" w:line="259" w:lineRule="auto"/>
              <w:ind w:left="0" w:right="65" w:firstLine="0"/>
              <w:jc w:val="right"/>
            </w:pPr>
            <w:r>
              <w:t xml:space="preserve">0.0 </w:t>
            </w:r>
          </w:p>
        </w:tc>
        <w:tc>
          <w:tcPr>
            <w:tcW w:w="1474" w:type="dxa"/>
            <w:tcBorders>
              <w:top w:val="single" w:sz="8" w:space="0" w:color="000000"/>
              <w:left w:val="single" w:sz="8" w:space="0" w:color="000000"/>
              <w:bottom w:val="single" w:sz="8" w:space="0" w:color="000000"/>
              <w:right w:val="single" w:sz="8" w:space="0" w:color="000000"/>
            </w:tcBorders>
          </w:tcPr>
          <w:p w14:paraId="4DAE5B6E" w14:textId="77777777" w:rsidR="005345BC" w:rsidRDefault="00F979FB">
            <w:pPr>
              <w:spacing w:after="0" w:line="259" w:lineRule="auto"/>
              <w:ind w:left="0" w:right="66" w:firstLine="0"/>
              <w:jc w:val="right"/>
            </w:pPr>
            <w:r>
              <w:t xml:space="preserve">£16m </w:t>
            </w:r>
          </w:p>
        </w:tc>
        <w:tc>
          <w:tcPr>
            <w:tcW w:w="1267" w:type="dxa"/>
            <w:tcBorders>
              <w:top w:val="single" w:sz="8" w:space="0" w:color="000000"/>
              <w:left w:val="single" w:sz="8" w:space="0" w:color="000000"/>
              <w:bottom w:val="single" w:sz="8" w:space="0" w:color="000000"/>
              <w:right w:val="single" w:sz="8" w:space="0" w:color="000000"/>
            </w:tcBorders>
          </w:tcPr>
          <w:p w14:paraId="34F67822"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r w:rsidR="005345BC" w14:paraId="52806851" w14:textId="77777777">
        <w:trPr>
          <w:trHeight w:val="538"/>
        </w:trPr>
        <w:tc>
          <w:tcPr>
            <w:tcW w:w="4351" w:type="dxa"/>
            <w:tcBorders>
              <w:top w:val="single" w:sz="8" w:space="0" w:color="000000"/>
              <w:left w:val="single" w:sz="8" w:space="0" w:color="000000"/>
              <w:bottom w:val="single" w:sz="8" w:space="0" w:color="000000"/>
              <w:right w:val="single" w:sz="8" w:space="0" w:color="000000"/>
            </w:tcBorders>
          </w:tcPr>
          <w:p w14:paraId="2C9EC2A0" w14:textId="77777777" w:rsidR="005345BC" w:rsidRDefault="00F979FB">
            <w:pPr>
              <w:spacing w:after="0" w:line="259" w:lineRule="auto"/>
              <w:ind w:left="0" w:firstLine="0"/>
            </w:pPr>
            <w:r>
              <w:t xml:space="preserve">Other investments * </w:t>
            </w:r>
          </w:p>
        </w:tc>
        <w:tc>
          <w:tcPr>
            <w:tcW w:w="1322" w:type="dxa"/>
            <w:tcBorders>
              <w:top w:val="single" w:sz="8" w:space="0" w:color="000000"/>
              <w:left w:val="single" w:sz="8" w:space="0" w:color="000000"/>
              <w:bottom w:val="single" w:sz="8" w:space="0" w:color="000000"/>
              <w:right w:val="single" w:sz="8" w:space="0" w:color="000000"/>
            </w:tcBorders>
          </w:tcPr>
          <w:p w14:paraId="619D2FFE" w14:textId="77777777" w:rsidR="005345BC" w:rsidRDefault="00F979FB">
            <w:pPr>
              <w:spacing w:after="0" w:line="259" w:lineRule="auto"/>
              <w:ind w:left="0" w:right="65" w:firstLine="0"/>
              <w:jc w:val="right"/>
            </w:pPr>
            <w:r>
              <w:t xml:space="preserve">0.0 </w:t>
            </w:r>
          </w:p>
        </w:tc>
        <w:tc>
          <w:tcPr>
            <w:tcW w:w="1474" w:type="dxa"/>
            <w:tcBorders>
              <w:top w:val="single" w:sz="8" w:space="0" w:color="000000"/>
              <w:left w:val="single" w:sz="8" w:space="0" w:color="000000"/>
              <w:bottom w:val="single" w:sz="8" w:space="0" w:color="000000"/>
              <w:right w:val="single" w:sz="8" w:space="0" w:color="000000"/>
            </w:tcBorders>
          </w:tcPr>
          <w:p w14:paraId="66470221" w14:textId="77777777" w:rsidR="005345BC" w:rsidRDefault="00F979FB">
            <w:pPr>
              <w:spacing w:after="0" w:line="259" w:lineRule="auto"/>
              <w:ind w:left="0" w:right="66" w:firstLine="0"/>
              <w:jc w:val="right"/>
            </w:pPr>
            <w:r>
              <w:t xml:space="preserve">£16m </w:t>
            </w:r>
          </w:p>
        </w:tc>
        <w:tc>
          <w:tcPr>
            <w:tcW w:w="1267" w:type="dxa"/>
            <w:tcBorders>
              <w:top w:val="single" w:sz="8" w:space="0" w:color="000000"/>
              <w:left w:val="single" w:sz="8" w:space="0" w:color="000000"/>
              <w:bottom w:val="single" w:sz="8" w:space="0" w:color="000000"/>
              <w:right w:val="single" w:sz="8" w:space="0" w:color="000000"/>
            </w:tcBorders>
          </w:tcPr>
          <w:p w14:paraId="4D29AA8B" w14:textId="77777777" w:rsidR="005345BC" w:rsidRDefault="00F979FB">
            <w:pPr>
              <w:spacing w:after="0" w:line="259" w:lineRule="auto"/>
              <w:ind w:left="0" w:right="70" w:firstLine="0"/>
              <w:jc w:val="center"/>
            </w:pPr>
            <w:r>
              <w:rPr>
                <w:rFonts w:ascii="Wingdings" w:eastAsia="Wingdings" w:hAnsi="Wingdings" w:cs="Wingdings"/>
              </w:rPr>
              <w:t></w:t>
            </w:r>
            <w:r>
              <w:t xml:space="preserve"> </w:t>
            </w:r>
          </w:p>
        </w:tc>
      </w:tr>
    </w:tbl>
    <w:p w14:paraId="232ED2C1" w14:textId="77777777" w:rsidR="005345BC" w:rsidRDefault="00F979FB">
      <w:pPr>
        <w:spacing w:after="0" w:line="259" w:lineRule="auto"/>
        <w:ind w:left="0" w:firstLine="0"/>
        <w:jc w:val="both"/>
      </w:pPr>
      <w:r>
        <w:rPr>
          <w:rFonts w:ascii="Calibri" w:eastAsia="Calibri" w:hAnsi="Calibri" w:cs="Calibri"/>
          <w:b/>
        </w:rPr>
        <w:t xml:space="preserve"> </w:t>
      </w:r>
      <w:r>
        <w:t xml:space="preserve"> </w:t>
      </w:r>
    </w:p>
    <w:tbl>
      <w:tblPr>
        <w:tblStyle w:val="TableGrid"/>
        <w:tblW w:w="9322" w:type="dxa"/>
        <w:tblInd w:w="10" w:type="dxa"/>
        <w:tblCellMar>
          <w:top w:w="53" w:type="dxa"/>
          <w:left w:w="108" w:type="dxa"/>
          <w:right w:w="39" w:type="dxa"/>
        </w:tblCellMar>
        <w:tblLook w:val="04A0" w:firstRow="1" w:lastRow="0" w:firstColumn="1" w:lastColumn="0" w:noHBand="0" w:noVBand="1"/>
      </w:tblPr>
      <w:tblGrid>
        <w:gridCol w:w="1717"/>
        <w:gridCol w:w="1418"/>
        <w:gridCol w:w="1274"/>
        <w:gridCol w:w="1560"/>
        <w:gridCol w:w="1795"/>
        <w:gridCol w:w="1558"/>
      </w:tblGrid>
      <w:tr w:rsidR="005345BC" w14:paraId="2A27610E" w14:textId="77777777">
        <w:trPr>
          <w:trHeight w:val="1291"/>
        </w:trPr>
        <w:tc>
          <w:tcPr>
            <w:tcW w:w="1716" w:type="dxa"/>
            <w:tcBorders>
              <w:top w:val="single" w:sz="8" w:space="0" w:color="000000"/>
              <w:left w:val="single" w:sz="8" w:space="0" w:color="000000"/>
              <w:bottom w:val="single" w:sz="8" w:space="0" w:color="000000"/>
              <w:right w:val="single" w:sz="8" w:space="0" w:color="000000"/>
            </w:tcBorders>
          </w:tcPr>
          <w:p w14:paraId="5657FC18" w14:textId="77777777" w:rsidR="005345BC" w:rsidRDefault="00F979FB">
            <w:pPr>
              <w:spacing w:after="0" w:line="259" w:lineRule="auto"/>
              <w:ind w:left="0" w:firstLine="0"/>
            </w:pPr>
            <w:r>
              <w:rPr>
                <w:b/>
              </w:rPr>
              <w:t>Debt limits</w:t>
            </w:r>
            <w: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086F1796" w14:textId="77777777" w:rsidR="005345BC" w:rsidRDefault="00F979FB">
            <w:pPr>
              <w:spacing w:after="19" w:line="259" w:lineRule="auto"/>
              <w:ind w:left="0" w:right="70" w:firstLine="0"/>
              <w:jc w:val="right"/>
            </w:pPr>
            <w:r>
              <w:rPr>
                <w:b/>
              </w:rPr>
              <w:t xml:space="preserve">2023/24 </w:t>
            </w:r>
          </w:p>
          <w:p w14:paraId="28E89A6E" w14:textId="77777777" w:rsidR="005345BC" w:rsidRDefault="00F979FB">
            <w:pPr>
              <w:spacing w:after="0" w:line="259" w:lineRule="auto"/>
              <w:ind w:left="0" w:right="69" w:firstLine="0"/>
              <w:jc w:val="right"/>
            </w:pPr>
            <w:r>
              <w:rPr>
                <w:b/>
              </w:rPr>
              <w:t>Maximum</w:t>
            </w:r>
            <w:r>
              <w:t xml:space="preserve"> </w:t>
            </w:r>
            <w:r>
              <w:rPr>
                <w:b/>
              </w:rPr>
              <w:t>£m</w:t>
            </w:r>
            <w:r>
              <w:t xml:space="preserve"> </w:t>
            </w:r>
          </w:p>
        </w:tc>
        <w:tc>
          <w:tcPr>
            <w:tcW w:w="1274" w:type="dxa"/>
            <w:tcBorders>
              <w:top w:val="single" w:sz="8" w:space="0" w:color="000000"/>
              <w:left w:val="single" w:sz="8" w:space="0" w:color="000000"/>
              <w:bottom w:val="single" w:sz="8" w:space="0" w:color="000000"/>
              <w:right w:val="single" w:sz="8" w:space="0" w:color="000000"/>
            </w:tcBorders>
          </w:tcPr>
          <w:p w14:paraId="7E7925A1" w14:textId="77777777" w:rsidR="005345BC" w:rsidRDefault="00F979FB">
            <w:pPr>
              <w:spacing w:after="19" w:line="259" w:lineRule="auto"/>
              <w:ind w:left="0" w:right="68" w:firstLine="0"/>
              <w:jc w:val="right"/>
            </w:pPr>
            <w:r>
              <w:rPr>
                <w:b/>
              </w:rPr>
              <w:t xml:space="preserve">31/12/23 </w:t>
            </w:r>
          </w:p>
          <w:p w14:paraId="08A5901F" w14:textId="77777777" w:rsidR="005345BC" w:rsidRDefault="00F979FB">
            <w:pPr>
              <w:spacing w:after="0" w:line="259" w:lineRule="auto"/>
              <w:ind w:left="0" w:right="67" w:firstLine="0"/>
              <w:jc w:val="right"/>
            </w:pPr>
            <w:r>
              <w:rPr>
                <w:b/>
              </w:rPr>
              <w:t>Actual</w:t>
            </w:r>
            <w:r>
              <w:t xml:space="preserve"> </w:t>
            </w:r>
            <w:r>
              <w:rPr>
                <w:b/>
              </w:rPr>
              <w:t>£m</w:t>
            </w:r>
            <w:r>
              <w:t xml:space="preserve"> </w:t>
            </w:r>
          </w:p>
        </w:tc>
        <w:tc>
          <w:tcPr>
            <w:tcW w:w="1560" w:type="dxa"/>
            <w:tcBorders>
              <w:top w:val="single" w:sz="8" w:space="0" w:color="000000"/>
              <w:left w:val="single" w:sz="8" w:space="0" w:color="000000"/>
              <w:bottom w:val="single" w:sz="8" w:space="0" w:color="000000"/>
              <w:right w:val="single" w:sz="8" w:space="0" w:color="000000"/>
            </w:tcBorders>
          </w:tcPr>
          <w:p w14:paraId="5296A7D6" w14:textId="77777777" w:rsidR="005345BC" w:rsidRDefault="00F979FB">
            <w:pPr>
              <w:spacing w:after="19" w:line="259" w:lineRule="auto"/>
              <w:ind w:left="0" w:right="68" w:firstLine="0"/>
              <w:jc w:val="right"/>
            </w:pPr>
            <w:r>
              <w:rPr>
                <w:b/>
              </w:rPr>
              <w:t xml:space="preserve">2023/24 </w:t>
            </w:r>
          </w:p>
          <w:p w14:paraId="78B1ADE1" w14:textId="77777777" w:rsidR="005345BC" w:rsidRDefault="00F979FB">
            <w:pPr>
              <w:spacing w:after="19" w:line="259" w:lineRule="auto"/>
              <w:ind w:left="10" w:firstLine="0"/>
            </w:pPr>
            <w:r>
              <w:rPr>
                <w:b/>
              </w:rPr>
              <w:t xml:space="preserve">Operational </w:t>
            </w:r>
          </w:p>
          <w:p w14:paraId="53689B94" w14:textId="77777777" w:rsidR="005345BC" w:rsidRDefault="00F979FB">
            <w:pPr>
              <w:spacing w:after="0" w:line="259" w:lineRule="auto"/>
              <w:ind w:left="0" w:right="65" w:firstLine="0"/>
              <w:jc w:val="right"/>
            </w:pPr>
            <w:r>
              <w:rPr>
                <w:b/>
              </w:rPr>
              <w:t>Boundary £m</w:t>
            </w:r>
            <w:r>
              <w:t xml:space="preserve"> </w:t>
            </w:r>
          </w:p>
        </w:tc>
        <w:tc>
          <w:tcPr>
            <w:tcW w:w="1795" w:type="dxa"/>
            <w:tcBorders>
              <w:top w:val="single" w:sz="8" w:space="0" w:color="000000"/>
              <w:left w:val="single" w:sz="8" w:space="0" w:color="000000"/>
              <w:bottom w:val="single" w:sz="8" w:space="0" w:color="000000"/>
              <w:right w:val="single" w:sz="8" w:space="0" w:color="000000"/>
            </w:tcBorders>
          </w:tcPr>
          <w:p w14:paraId="6F256CEE" w14:textId="77777777" w:rsidR="005345BC" w:rsidRDefault="00F979FB">
            <w:pPr>
              <w:spacing w:after="19" w:line="259" w:lineRule="auto"/>
              <w:ind w:left="0" w:right="68" w:firstLine="0"/>
              <w:jc w:val="right"/>
            </w:pPr>
            <w:r>
              <w:rPr>
                <w:b/>
              </w:rPr>
              <w:t xml:space="preserve">2023/24 </w:t>
            </w:r>
          </w:p>
          <w:p w14:paraId="09D0E372" w14:textId="77777777" w:rsidR="005345BC" w:rsidRDefault="00F979FB">
            <w:pPr>
              <w:spacing w:after="0" w:line="259" w:lineRule="auto"/>
              <w:ind w:left="0" w:right="68" w:firstLine="0"/>
              <w:jc w:val="right"/>
            </w:pPr>
            <w:r>
              <w:rPr>
                <w:b/>
              </w:rPr>
              <w:t>Authorised Limit</w:t>
            </w:r>
            <w:r>
              <w:t xml:space="preserve"> </w:t>
            </w:r>
          </w:p>
        </w:tc>
        <w:tc>
          <w:tcPr>
            <w:tcW w:w="1558" w:type="dxa"/>
            <w:tcBorders>
              <w:top w:val="single" w:sz="8" w:space="0" w:color="000000"/>
              <w:left w:val="single" w:sz="8" w:space="0" w:color="000000"/>
              <w:bottom w:val="single" w:sz="8" w:space="0" w:color="000000"/>
              <w:right w:val="single" w:sz="8" w:space="0" w:color="000000"/>
            </w:tcBorders>
          </w:tcPr>
          <w:p w14:paraId="2DB23EFE" w14:textId="77777777" w:rsidR="005345BC" w:rsidRDefault="00F979FB">
            <w:pPr>
              <w:spacing w:after="0" w:line="259" w:lineRule="auto"/>
              <w:ind w:left="0" w:firstLine="0"/>
            </w:pPr>
            <w:r>
              <w:rPr>
                <w:b/>
              </w:rPr>
              <w:t>Complied?</w:t>
            </w:r>
            <w:r>
              <w:t xml:space="preserve"> </w:t>
            </w:r>
          </w:p>
        </w:tc>
      </w:tr>
      <w:tr w:rsidR="005345BC" w14:paraId="3EF96D1D" w14:textId="77777777">
        <w:trPr>
          <w:trHeight w:val="540"/>
        </w:trPr>
        <w:tc>
          <w:tcPr>
            <w:tcW w:w="1716" w:type="dxa"/>
            <w:tcBorders>
              <w:top w:val="single" w:sz="8" w:space="0" w:color="000000"/>
              <w:left w:val="single" w:sz="8" w:space="0" w:color="000000"/>
              <w:bottom w:val="single" w:sz="8" w:space="0" w:color="000000"/>
              <w:right w:val="single" w:sz="8" w:space="0" w:color="000000"/>
            </w:tcBorders>
          </w:tcPr>
          <w:p w14:paraId="43C31434" w14:textId="77777777" w:rsidR="005345BC" w:rsidRDefault="00F979FB">
            <w:pPr>
              <w:spacing w:after="0" w:line="259" w:lineRule="auto"/>
              <w:ind w:left="0" w:firstLine="0"/>
            </w:pPr>
            <w:r>
              <w:t xml:space="preserve">Total debt </w:t>
            </w:r>
          </w:p>
        </w:tc>
        <w:tc>
          <w:tcPr>
            <w:tcW w:w="1418" w:type="dxa"/>
            <w:tcBorders>
              <w:top w:val="single" w:sz="8" w:space="0" w:color="000000"/>
              <w:left w:val="single" w:sz="8" w:space="0" w:color="000000"/>
              <w:bottom w:val="single" w:sz="8" w:space="0" w:color="000000"/>
              <w:right w:val="single" w:sz="8" w:space="0" w:color="000000"/>
            </w:tcBorders>
          </w:tcPr>
          <w:p w14:paraId="2DEAD89F" w14:textId="77777777" w:rsidR="005345BC" w:rsidRDefault="00F979FB">
            <w:pPr>
              <w:spacing w:after="0" w:line="259" w:lineRule="auto"/>
              <w:ind w:left="0" w:right="68" w:firstLine="0"/>
              <w:jc w:val="right"/>
            </w:pPr>
            <w:r>
              <w:t xml:space="preserve">(30.7) </w:t>
            </w:r>
          </w:p>
        </w:tc>
        <w:tc>
          <w:tcPr>
            <w:tcW w:w="1274" w:type="dxa"/>
            <w:tcBorders>
              <w:top w:val="single" w:sz="8" w:space="0" w:color="000000"/>
              <w:left w:val="single" w:sz="8" w:space="0" w:color="000000"/>
              <w:bottom w:val="single" w:sz="8" w:space="0" w:color="000000"/>
              <w:right w:val="single" w:sz="8" w:space="0" w:color="000000"/>
            </w:tcBorders>
          </w:tcPr>
          <w:p w14:paraId="25851B6A" w14:textId="77777777" w:rsidR="005345BC" w:rsidRDefault="00F979FB">
            <w:pPr>
              <w:spacing w:after="0" w:line="259" w:lineRule="auto"/>
              <w:ind w:left="0" w:right="64" w:firstLine="0"/>
              <w:jc w:val="right"/>
            </w:pPr>
            <w:r>
              <w:t xml:space="preserve">(19.4) </w:t>
            </w:r>
          </w:p>
        </w:tc>
        <w:tc>
          <w:tcPr>
            <w:tcW w:w="1560" w:type="dxa"/>
            <w:tcBorders>
              <w:top w:val="single" w:sz="8" w:space="0" w:color="000000"/>
              <w:left w:val="single" w:sz="8" w:space="0" w:color="000000"/>
              <w:bottom w:val="single" w:sz="8" w:space="0" w:color="000000"/>
              <w:right w:val="single" w:sz="8" w:space="0" w:color="000000"/>
            </w:tcBorders>
          </w:tcPr>
          <w:p w14:paraId="7E796834" w14:textId="77777777" w:rsidR="005345BC" w:rsidRDefault="00F979FB">
            <w:pPr>
              <w:spacing w:after="0" w:line="259" w:lineRule="auto"/>
              <w:ind w:left="0" w:right="66" w:firstLine="0"/>
              <w:jc w:val="right"/>
            </w:pPr>
            <w:r>
              <w:t xml:space="preserve">(70.5) </w:t>
            </w:r>
          </w:p>
        </w:tc>
        <w:tc>
          <w:tcPr>
            <w:tcW w:w="1795" w:type="dxa"/>
            <w:tcBorders>
              <w:top w:val="single" w:sz="8" w:space="0" w:color="000000"/>
              <w:left w:val="single" w:sz="8" w:space="0" w:color="000000"/>
              <w:bottom w:val="single" w:sz="8" w:space="0" w:color="000000"/>
              <w:right w:val="single" w:sz="8" w:space="0" w:color="000000"/>
            </w:tcBorders>
          </w:tcPr>
          <w:p w14:paraId="129F83A9" w14:textId="77777777" w:rsidR="005345BC" w:rsidRDefault="00F979FB">
            <w:pPr>
              <w:spacing w:after="0" w:line="259" w:lineRule="auto"/>
              <w:ind w:left="0" w:right="66" w:firstLine="0"/>
              <w:jc w:val="right"/>
            </w:pPr>
            <w:r>
              <w:t xml:space="preserve">(87.5) </w:t>
            </w:r>
          </w:p>
        </w:tc>
        <w:tc>
          <w:tcPr>
            <w:tcW w:w="1558" w:type="dxa"/>
            <w:tcBorders>
              <w:top w:val="single" w:sz="8" w:space="0" w:color="000000"/>
              <w:left w:val="single" w:sz="8" w:space="0" w:color="000000"/>
              <w:bottom w:val="single" w:sz="8" w:space="0" w:color="000000"/>
              <w:right w:val="single" w:sz="8" w:space="0" w:color="000000"/>
            </w:tcBorders>
          </w:tcPr>
          <w:p w14:paraId="0C8AAC1C" w14:textId="77777777" w:rsidR="005345BC" w:rsidRDefault="00F979FB">
            <w:pPr>
              <w:spacing w:after="0" w:line="259" w:lineRule="auto"/>
              <w:ind w:left="670" w:firstLine="0"/>
            </w:pPr>
            <w:r>
              <w:rPr>
                <w:rFonts w:ascii="Wingdings" w:eastAsia="Wingdings" w:hAnsi="Wingdings" w:cs="Wingdings"/>
              </w:rPr>
              <w:t></w:t>
            </w:r>
            <w:r>
              <w:t xml:space="preserve">   </w:t>
            </w:r>
          </w:p>
        </w:tc>
      </w:tr>
    </w:tbl>
    <w:p w14:paraId="01DBBB32" w14:textId="77777777" w:rsidR="005345BC" w:rsidRDefault="00F979FB">
      <w:pPr>
        <w:spacing w:after="0" w:line="259" w:lineRule="auto"/>
        <w:ind w:left="0" w:firstLine="0"/>
        <w:jc w:val="both"/>
      </w:pPr>
      <w:r>
        <w:rPr>
          <w:rFonts w:ascii="Calibri" w:eastAsia="Calibri" w:hAnsi="Calibri" w:cs="Calibri"/>
          <w:b/>
        </w:rPr>
        <w:t xml:space="preserve"> </w:t>
      </w:r>
      <w:r>
        <w:t xml:space="preserve"> </w:t>
      </w:r>
    </w:p>
    <w:tbl>
      <w:tblPr>
        <w:tblStyle w:val="TableGrid"/>
        <w:tblW w:w="9244" w:type="dxa"/>
        <w:tblInd w:w="10" w:type="dxa"/>
        <w:tblCellMar>
          <w:top w:w="58" w:type="dxa"/>
          <w:left w:w="108" w:type="dxa"/>
          <w:right w:w="41" w:type="dxa"/>
        </w:tblCellMar>
        <w:tblLook w:val="04A0" w:firstRow="1" w:lastRow="0" w:firstColumn="1" w:lastColumn="0" w:noHBand="0" w:noVBand="1"/>
      </w:tblPr>
      <w:tblGrid>
        <w:gridCol w:w="3520"/>
        <w:gridCol w:w="1452"/>
        <w:gridCol w:w="1387"/>
        <w:gridCol w:w="1391"/>
        <w:gridCol w:w="1494"/>
      </w:tblGrid>
      <w:tr w:rsidR="005345BC" w14:paraId="22013A05" w14:textId="77777777" w:rsidTr="00460891">
        <w:trPr>
          <w:trHeight w:val="802"/>
        </w:trPr>
        <w:tc>
          <w:tcPr>
            <w:tcW w:w="3520" w:type="dxa"/>
            <w:tcBorders>
              <w:top w:val="single" w:sz="8" w:space="0" w:color="000000"/>
              <w:left w:val="single" w:sz="8" w:space="0" w:color="000000"/>
              <w:bottom w:val="single" w:sz="8" w:space="0" w:color="000000"/>
              <w:right w:val="single" w:sz="8" w:space="0" w:color="000000"/>
            </w:tcBorders>
          </w:tcPr>
          <w:p w14:paraId="65A90F7B" w14:textId="77777777" w:rsidR="005345BC" w:rsidRDefault="00F979FB">
            <w:pPr>
              <w:spacing w:after="0" w:line="259" w:lineRule="auto"/>
              <w:ind w:left="0" w:firstLine="0"/>
            </w:pPr>
            <w:bookmarkStart w:id="0" w:name="_GoBack"/>
            <w:bookmarkEnd w:id="0"/>
            <w:r>
              <w:rPr>
                <w:b/>
              </w:rPr>
              <w:t>Maturity structure of borrowing</w:t>
            </w:r>
            <w:r>
              <w:t xml:space="preserve"> </w:t>
            </w:r>
          </w:p>
        </w:tc>
        <w:tc>
          <w:tcPr>
            <w:tcW w:w="1452" w:type="dxa"/>
            <w:tcBorders>
              <w:top w:val="single" w:sz="8" w:space="0" w:color="000000"/>
              <w:left w:val="single" w:sz="8" w:space="0" w:color="000000"/>
              <w:bottom w:val="single" w:sz="8" w:space="0" w:color="000000"/>
              <w:right w:val="single" w:sz="8" w:space="0" w:color="000000"/>
            </w:tcBorders>
          </w:tcPr>
          <w:p w14:paraId="21C3C2DF" w14:textId="77777777" w:rsidR="005345BC" w:rsidRDefault="00F979FB">
            <w:pPr>
              <w:spacing w:after="24" w:line="259" w:lineRule="auto"/>
              <w:ind w:left="74" w:firstLine="0"/>
            </w:pPr>
            <w:r>
              <w:rPr>
                <w:b/>
              </w:rPr>
              <w:t>31/12/23</w:t>
            </w:r>
            <w:r>
              <w:t xml:space="preserve"> </w:t>
            </w:r>
          </w:p>
          <w:p w14:paraId="6E179FAE" w14:textId="77777777" w:rsidR="005345BC" w:rsidRDefault="00F979FB">
            <w:pPr>
              <w:spacing w:after="0" w:line="259" w:lineRule="auto"/>
              <w:ind w:left="0" w:right="70" w:firstLine="0"/>
              <w:jc w:val="center"/>
            </w:pPr>
            <w:r>
              <w:rPr>
                <w:b/>
              </w:rPr>
              <w:t xml:space="preserve"> Actual</w:t>
            </w:r>
            <w:r>
              <w:t xml:space="preserve"> </w:t>
            </w:r>
          </w:p>
        </w:tc>
        <w:tc>
          <w:tcPr>
            <w:tcW w:w="1387" w:type="dxa"/>
            <w:tcBorders>
              <w:top w:val="single" w:sz="8" w:space="0" w:color="000000"/>
              <w:left w:val="single" w:sz="8" w:space="0" w:color="000000"/>
              <w:bottom w:val="single" w:sz="8" w:space="0" w:color="000000"/>
              <w:right w:val="single" w:sz="8" w:space="0" w:color="000000"/>
            </w:tcBorders>
          </w:tcPr>
          <w:p w14:paraId="1B55B8AB" w14:textId="77777777" w:rsidR="005345BC" w:rsidRDefault="00F979FB">
            <w:pPr>
              <w:spacing w:after="24" w:line="259" w:lineRule="auto"/>
              <w:ind w:left="0" w:right="69" w:firstLine="0"/>
              <w:jc w:val="center"/>
            </w:pPr>
            <w:r>
              <w:rPr>
                <w:b/>
              </w:rPr>
              <w:t xml:space="preserve">Upper </w:t>
            </w:r>
          </w:p>
          <w:p w14:paraId="429A45AC" w14:textId="77777777" w:rsidR="005345BC" w:rsidRDefault="00F979FB">
            <w:pPr>
              <w:spacing w:after="0" w:line="259" w:lineRule="auto"/>
              <w:ind w:left="0" w:right="68" w:firstLine="0"/>
              <w:jc w:val="center"/>
            </w:pPr>
            <w:r>
              <w:rPr>
                <w:b/>
              </w:rPr>
              <w:t>Limit</w:t>
            </w:r>
            <w:r>
              <w:t xml:space="preserve"> </w:t>
            </w:r>
          </w:p>
        </w:tc>
        <w:tc>
          <w:tcPr>
            <w:tcW w:w="1391" w:type="dxa"/>
            <w:tcBorders>
              <w:top w:val="single" w:sz="8" w:space="0" w:color="000000"/>
              <w:left w:val="single" w:sz="8" w:space="0" w:color="000000"/>
              <w:bottom w:val="single" w:sz="8" w:space="0" w:color="000000"/>
              <w:right w:val="single" w:sz="8" w:space="0" w:color="000000"/>
            </w:tcBorders>
          </w:tcPr>
          <w:p w14:paraId="336FB140" w14:textId="77777777" w:rsidR="005345BC" w:rsidRDefault="00F979FB">
            <w:pPr>
              <w:spacing w:after="24" w:line="259" w:lineRule="auto"/>
              <w:ind w:left="0" w:right="65" w:firstLine="0"/>
              <w:jc w:val="center"/>
            </w:pPr>
            <w:r>
              <w:rPr>
                <w:b/>
              </w:rPr>
              <w:t xml:space="preserve">Lower </w:t>
            </w:r>
          </w:p>
          <w:p w14:paraId="5EEFAEF4" w14:textId="77777777" w:rsidR="005345BC" w:rsidRDefault="00F979FB">
            <w:pPr>
              <w:spacing w:after="0" w:line="259" w:lineRule="auto"/>
              <w:ind w:left="0" w:right="66" w:firstLine="0"/>
              <w:jc w:val="center"/>
            </w:pPr>
            <w:r>
              <w:rPr>
                <w:b/>
              </w:rPr>
              <w:t>Limit</w:t>
            </w:r>
            <w:r>
              <w:t xml:space="preserve"> </w:t>
            </w:r>
          </w:p>
        </w:tc>
        <w:tc>
          <w:tcPr>
            <w:tcW w:w="1494" w:type="dxa"/>
            <w:tcBorders>
              <w:top w:val="single" w:sz="8" w:space="0" w:color="000000"/>
              <w:left w:val="single" w:sz="8" w:space="0" w:color="000000"/>
              <w:bottom w:val="single" w:sz="8" w:space="0" w:color="000000"/>
              <w:right w:val="single" w:sz="8" w:space="0" w:color="000000"/>
            </w:tcBorders>
          </w:tcPr>
          <w:p w14:paraId="2C17A427" w14:textId="77777777" w:rsidR="005345BC" w:rsidRDefault="00F979FB">
            <w:pPr>
              <w:spacing w:after="0" w:line="259" w:lineRule="auto"/>
              <w:ind w:left="29" w:firstLine="0"/>
            </w:pPr>
            <w:r>
              <w:rPr>
                <w:b/>
              </w:rPr>
              <w:t>Complied</w:t>
            </w:r>
            <w:r>
              <w:t xml:space="preserve"> </w:t>
            </w:r>
          </w:p>
        </w:tc>
      </w:tr>
      <w:tr w:rsidR="005345BC" w14:paraId="10E665BB" w14:textId="77777777" w:rsidTr="00460891">
        <w:trPr>
          <w:trHeight w:val="478"/>
        </w:trPr>
        <w:tc>
          <w:tcPr>
            <w:tcW w:w="3520" w:type="dxa"/>
            <w:tcBorders>
              <w:top w:val="single" w:sz="8" w:space="0" w:color="000000"/>
              <w:left w:val="single" w:sz="8" w:space="0" w:color="000000"/>
              <w:bottom w:val="single" w:sz="8" w:space="0" w:color="000000"/>
              <w:right w:val="single" w:sz="8" w:space="0" w:color="000000"/>
            </w:tcBorders>
          </w:tcPr>
          <w:p w14:paraId="241BA118" w14:textId="77777777" w:rsidR="005345BC" w:rsidRDefault="00F979FB">
            <w:pPr>
              <w:spacing w:after="0" w:line="259" w:lineRule="auto"/>
              <w:ind w:left="0" w:firstLine="0"/>
            </w:pPr>
            <w:r>
              <w:t xml:space="preserve">Under 12 months </w:t>
            </w:r>
          </w:p>
        </w:tc>
        <w:tc>
          <w:tcPr>
            <w:tcW w:w="1452" w:type="dxa"/>
            <w:tcBorders>
              <w:top w:val="single" w:sz="8" w:space="0" w:color="000000"/>
              <w:left w:val="single" w:sz="8" w:space="0" w:color="000000"/>
              <w:bottom w:val="single" w:sz="8" w:space="0" w:color="000000"/>
              <w:right w:val="single" w:sz="8" w:space="0" w:color="000000"/>
            </w:tcBorders>
          </w:tcPr>
          <w:p w14:paraId="52FFCFF0" w14:textId="77777777" w:rsidR="005345BC" w:rsidRDefault="00F979FB">
            <w:pPr>
              <w:spacing w:after="0" w:line="259" w:lineRule="auto"/>
              <w:ind w:left="0" w:right="69" w:firstLine="0"/>
              <w:jc w:val="center"/>
            </w:pPr>
            <w:r>
              <w:t xml:space="preserve">0% </w:t>
            </w:r>
          </w:p>
        </w:tc>
        <w:tc>
          <w:tcPr>
            <w:tcW w:w="1387" w:type="dxa"/>
            <w:tcBorders>
              <w:top w:val="single" w:sz="8" w:space="0" w:color="000000"/>
              <w:left w:val="single" w:sz="8" w:space="0" w:color="000000"/>
              <w:bottom w:val="single" w:sz="8" w:space="0" w:color="000000"/>
              <w:right w:val="single" w:sz="8" w:space="0" w:color="000000"/>
            </w:tcBorders>
          </w:tcPr>
          <w:p w14:paraId="3AD90932" w14:textId="77777777" w:rsidR="005345BC" w:rsidRDefault="00F979FB">
            <w:pPr>
              <w:spacing w:after="0" w:line="259" w:lineRule="auto"/>
              <w:ind w:left="0" w:right="65" w:firstLine="0"/>
              <w:jc w:val="center"/>
            </w:pPr>
            <w:r>
              <w:t xml:space="preserve">50% </w:t>
            </w:r>
          </w:p>
        </w:tc>
        <w:tc>
          <w:tcPr>
            <w:tcW w:w="1391" w:type="dxa"/>
            <w:tcBorders>
              <w:top w:val="single" w:sz="8" w:space="0" w:color="000000"/>
              <w:left w:val="single" w:sz="8" w:space="0" w:color="000000"/>
              <w:bottom w:val="single" w:sz="8" w:space="0" w:color="000000"/>
              <w:right w:val="single" w:sz="8" w:space="0" w:color="000000"/>
            </w:tcBorders>
          </w:tcPr>
          <w:p w14:paraId="3342A94B" w14:textId="77777777" w:rsidR="005345BC" w:rsidRDefault="00F979FB">
            <w:pPr>
              <w:spacing w:after="0" w:line="259" w:lineRule="auto"/>
              <w:ind w:left="0" w:right="67" w:firstLine="0"/>
              <w:jc w:val="center"/>
            </w:pPr>
            <w:r>
              <w:t xml:space="preserve">0% </w:t>
            </w:r>
          </w:p>
        </w:tc>
        <w:tc>
          <w:tcPr>
            <w:tcW w:w="1494" w:type="dxa"/>
            <w:tcBorders>
              <w:top w:val="single" w:sz="8" w:space="0" w:color="000000"/>
              <w:left w:val="single" w:sz="8" w:space="0" w:color="000000"/>
              <w:bottom w:val="single" w:sz="8" w:space="0" w:color="000000"/>
              <w:right w:val="single" w:sz="8" w:space="0" w:color="000000"/>
            </w:tcBorders>
            <w:vAlign w:val="center"/>
          </w:tcPr>
          <w:p w14:paraId="1F656BD4" w14:textId="77777777" w:rsidR="005345BC" w:rsidRDefault="00F979FB">
            <w:pPr>
              <w:spacing w:after="0" w:line="259" w:lineRule="auto"/>
              <w:ind w:left="562" w:firstLine="0"/>
            </w:pPr>
            <w:r>
              <w:rPr>
                <w:rFonts w:ascii="Wingdings" w:eastAsia="Wingdings" w:hAnsi="Wingdings" w:cs="Wingdings"/>
              </w:rPr>
              <w:t></w:t>
            </w:r>
            <w:r>
              <w:t xml:space="preserve">   </w:t>
            </w:r>
          </w:p>
        </w:tc>
      </w:tr>
      <w:tr w:rsidR="005345BC" w14:paraId="3290E11A" w14:textId="77777777" w:rsidTr="00460891">
        <w:trPr>
          <w:trHeight w:val="802"/>
        </w:trPr>
        <w:tc>
          <w:tcPr>
            <w:tcW w:w="3520" w:type="dxa"/>
            <w:tcBorders>
              <w:top w:val="single" w:sz="8" w:space="0" w:color="000000"/>
              <w:left w:val="single" w:sz="8" w:space="0" w:color="000000"/>
              <w:bottom w:val="single" w:sz="8" w:space="0" w:color="000000"/>
              <w:right w:val="single" w:sz="8" w:space="0" w:color="000000"/>
            </w:tcBorders>
          </w:tcPr>
          <w:p w14:paraId="71D975DF" w14:textId="77777777" w:rsidR="005345BC" w:rsidRDefault="00F979FB">
            <w:pPr>
              <w:spacing w:after="0" w:line="259" w:lineRule="auto"/>
              <w:ind w:left="0" w:firstLine="0"/>
            </w:pPr>
            <w:r>
              <w:t xml:space="preserve">12 months and within 24 months </w:t>
            </w:r>
          </w:p>
        </w:tc>
        <w:tc>
          <w:tcPr>
            <w:tcW w:w="1452" w:type="dxa"/>
            <w:tcBorders>
              <w:top w:val="single" w:sz="8" w:space="0" w:color="000000"/>
              <w:left w:val="single" w:sz="8" w:space="0" w:color="000000"/>
              <w:bottom w:val="single" w:sz="8" w:space="0" w:color="000000"/>
              <w:right w:val="single" w:sz="8" w:space="0" w:color="000000"/>
            </w:tcBorders>
          </w:tcPr>
          <w:p w14:paraId="3E8BDC08" w14:textId="77777777" w:rsidR="005345BC" w:rsidRDefault="00F979FB">
            <w:pPr>
              <w:spacing w:after="0" w:line="259" w:lineRule="auto"/>
              <w:ind w:left="0" w:right="69" w:firstLine="0"/>
              <w:jc w:val="center"/>
            </w:pPr>
            <w:r>
              <w:t xml:space="preserve">2% </w:t>
            </w:r>
          </w:p>
        </w:tc>
        <w:tc>
          <w:tcPr>
            <w:tcW w:w="1387" w:type="dxa"/>
            <w:tcBorders>
              <w:top w:val="single" w:sz="8" w:space="0" w:color="000000"/>
              <w:left w:val="single" w:sz="8" w:space="0" w:color="000000"/>
              <w:bottom w:val="single" w:sz="8" w:space="0" w:color="000000"/>
              <w:right w:val="single" w:sz="8" w:space="0" w:color="000000"/>
            </w:tcBorders>
          </w:tcPr>
          <w:p w14:paraId="1684E7AA" w14:textId="77777777" w:rsidR="005345BC" w:rsidRDefault="00F979FB">
            <w:pPr>
              <w:spacing w:after="0" w:line="259" w:lineRule="auto"/>
              <w:ind w:left="0" w:right="65" w:firstLine="0"/>
              <w:jc w:val="center"/>
            </w:pPr>
            <w:r>
              <w:t xml:space="preserve">50% </w:t>
            </w:r>
          </w:p>
        </w:tc>
        <w:tc>
          <w:tcPr>
            <w:tcW w:w="1391" w:type="dxa"/>
            <w:tcBorders>
              <w:top w:val="single" w:sz="8" w:space="0" w:color="000000"/>
              <w:left w:val="single" w:sz="8" w:space="0" w:color="000000"/>
              <w:bottom w:val="single" w:sz="8" w:space="0" w:color="000000"/>
              <w:right w:val="single" w:sz="8" w:space="0" w:color="000000"/>
            </w:tcBorders>
          </w:tcPr>
          <w:p w14:paraId="03B8268D" w14:textId="77777777" w:rsidR="005345BC" w:rsidRDefault="00F979FB">
            <w:pPr>
              <w:spacing w:after="0" w:line="259" w:lineRule="auto"/>
              <w:ind w:left="0" w:right="67" w:firstLine="0"/>
              <w:jc w:val="center"/>
            </w:pPr>
            <w:r>
              <w:t xml:space="preserve">0% </w:t>
            </w:r>
          </w:p>
        </w:tc>
        <w:tc>
          <w:tcPr>
            <w:tcW w:w="1494" w:type="dxa"/>
            <w:tcBorders>
              <w:top w:val="single" w:sz="8" w:space="0" w:color="000000"/>
              <w:left w:val="single" w:sz="8" w:space="0" w:color="000000"/>
              <w:bottom w:val="single" w:sz="8" w:space="0" w:color="000000"/>
              <w:right w:val="single" w:sz="8" w:space="0" w:color="000000"/>
            </w:tcBorders>
            <w:vAlign w:val="center"/>
          </w:tcPr>
          <w:p w14:paraId="4AAB8EC4" w14:textId="77777777" w:rsidR="005345BC" w:rsidRDefault="00F979FB">
            <w:pPr>
              <w:spacing w:after="0" w:line="259" w:lineRule="auto"/>
              <w:ind w:left="562" w:firstLine="0"/>
            </w:pPr>
            <w:r>
              <w:rPr>
                <w:rFonts w:ascii="Wingdings" w:eastAsia="Wingdings" w:hAnsi="Wingdings" w:cs="Wingdings"/>
              </w:rPr>
              <w:t></w:t>
            </w:r>
            <w:r>
              <w:t xml:space="preserve">   </w:t>
            </w:r>
          </w:p>
        </w:tc>
      </w:tr>
      <w:tr w:rsidR="005345BC" w14:paraId="6C4F1FD6" w14:textId="77777777" w:rsidTr="00460891">
        <w:trPr>
          <w:trHeight w:val="802"/>
        </w:trPr>
        <w:tc>
          <w:tcPr>
            <w:tcW w:w="3520" w:type="dxa"/>
            <w:tcBorders>
              <w:top w:val="single" w:sz="8" w:space="0" w:color="000000"/>
              <w:left w:val="single" w:sz="8" w:space="0" w:color="000000"/>
              <w:bottom w:val="single" w:sz="8" w:space="0" w:color="000000"/>
              <w:right w:val="single" w:sz="8" w:space="0" w:color="000000"/>
            </w:tcBorders>
          </w:tcPr>
          <w:p w14:paraId="7B186B7F" w14:textId="77777777" w:rsidR="005345BC" w:rsidRDefault="00F979FB">
            <w:pPr>
              <w:spacing w:after="0" w:line="259" w:lineRule="auto"/>
              <w:ind w:left="0" w:firstLine="0"/>
            </w:pPr>
            <w:r>
              <w:t xml:space="preserve">24 months and within 5 years </w:t>
            </w:r>
          </w:p>
        </w:tc>
        <w:tc>
          <w:tcPr>
            <w:tcW w:w="1452" w:type="dxa"/>
            <w:tcBorders>
              <w:top w:val="single" w:sz="8" w:space="0" w:color="000000"/>
              <w:left w:val="single" w:sz="8" w:space="0" w:color="000000"/>
              <w:bottom w:val="single" w:sz="8" w:space="0" w:color="000000"/>
              <w:right w:val="single" w:sz="8" w:space="0" w:color="000000"/>
            </w:tcBorders>
          </w:tcPr>
          <w:p w14:paraId="72E0EB28" w14:textId="77777777" w:rsidR="005345BC" w:rsidRDefault="00F979FB">
            <w:pPr>
              <w:spacing w:after="0" w:line="259" w:lineRule="auto"/>
              <w:ind w:left="0" w:right="69" w:firstLine="0"/>
              <w:jc w:val="center"/>
            </w:pPr>
            <w:r>
              <w:t xml:space="preserve">0% </w:t>
            </w:r>
          </w:p>
        </w:tc>
        <w:tc>
          <w:tcPr>
            <w:tcW w:w="1387" w:type="dxa"/>
            <w:tcBorders>
              <w:top w:val="single" w:sz="8" w:space="0" w:color="000000"/>
              <w:left w:val="single" w:sz="8" w:space="0" w:color="000000"/>
              <w:bottom w:val="single" w:sz="8" w:space="0" w:color="000000"/>
              <w:right w:val="single" w:sz="8" w:space="0" w:color="000000"/>
            </w:tcBorders>
          </w:tcPr>
          <w:p w14:paraId="39AA5FD5" w14:textId="77777777" w:rsidR="005345BC" w:rsidRDefault="00F979FB">
            <w:pPr>
              <w:spacing w:after="0" w:line="259" w:lineRule="auto"/>
              <w:ind w:left="0" w:right="65" w:firstLine="0"/>
              <w:jc w:val="center"/>
            </w:pPr>
            <w:r>
              <w:t xml:space="preserve">50% </w:t>
            </w:r>
          </w:p>
        </w:tc>
        <w:tc>
          <w:tcPr>
            <w:tcW w:w="1391" w:type="dxa"/>
            <w:tcBorders>
              <w:top w:val="single" w:sz="8" w:space="0" w:color="000000"/>
              <w:left w:val="single" w:sz="8" w:space="0" w:color="000000"/>
              <w:bottom w:val="single" w:sz="8" w:space="0" w:color="000000"/>
              <w:right w:val="single" w:sz="8" w:space="0" w:color="000000"/>
            </w:tcBorders>
          </w:tcPr>
          <w:p w14:paraId="582B436C" w14:textId="77777777" w:rsidR="005345BC" w:rsidRDefault="00F979FB">
            <w:pPr>
              <w:spacing w:after="0" w:line="259" w:lineRule="auto"/>
              <w:ind w:left="0" w:right="67" w:firstLine="0"/>
              <w:jc w:val="center"/>
            </w:pPr>
            <w:r>
              <w:t xml:space="preserve">0% </w:t>
            </w:r>
          </w:p>
        </w:tc>
        <w:tc>
          <w:tcPr>
            <w:tcW w:w="1494" w:type="dxa"/>
            <w:tcBorders>
              <w:top w:val="single" w:sz="8" w:space="0" w:color="000000"/>
              <w:left w:val="single" w:sz="8" w:space="0" w:color="000000"/>
              <w:bottom w:val="single" w:sz="8" w:space="0" w:color="000000"/>
              <w:right w:val="single" w:sz="8" w:space="0" w:color="000000"/>
            </w:tcBorders>
            <w:vAlign w:val="center"/>
          </w:tcPr>
          <w:p w14:paraId="0EC6664C" w14:textId="77777777" w:rsidR="005345BC" w:rsidRDefault="00F979FB">
            <w:pPr>
              <w:spacing w:after="0" w:line="259" w:lineRule="auto"/>
              <w:ind w:left="562" w:firstLine="0"/>
            </w:pPr>
            <w:r>
              <w:rPr>
                <w:rFonts w:ascii="Wingdings" w:eastAsia="Wingdings" w:hAnsi="Wingdings" w:cs="Wingdings"/>
              </w:rPr>
              <w:t></w:t>
            </w:r>
            <w:r>
              <w:t xml:space="preserve">   </w:t>
            </w:r>
          </w:p>
        </w:tc>
      </w:tr>
      <w:tr w:rsidR="005345BC" w14:paraId="3273DC74" w14:textId="77777777" w:rsidTr="00460891">
        <w:trPr>
          <w:trHeight w:val="478"/>
        </w:trPr>
        <w:tc>
          <w:tcPr>
            <w:tcW w:w="3520" w:type="dxa"/>
            <w:tcBorders>
              <w:top w:val="single" w:sz="8" w:space="0" w:color="000000"/>
              <w:left w:val="single" w:sz="8" w:space="0" w:color="000000"/>
              <w:bottom w:val="single" w:sz="8" w:space="0" w:color="000000"/>
              <w:right w:val="single" w:sz="8" w:space="0" w:color="000000"/>
            </w:tcBorders>
          </w:tcPr>
          <w:p w14:paraId="328557B8" w14:textId="77777777" w:rsidR="005345BC" w:rsidRDefault="00F979FB">
            <w:pPr>
              <w:spacing w:after="0" w:line="259" w:lineRule="auto"/>
              <w:ind w:left="0" w:firstLine="0"/>
            </w:pPr>
            <w:r>
              <w:t xml:space="preserve">5 years and within 10 years </w:t>
            </w:r>
          </w:p>
        </w:tc>
        <w:tc>
          <w:tcPr>
            <w:tcW w:w="1452" w:type="dxa"/>
            <w:tcBorders>
              <w:top w:val="single" w:sz="8" w:space="0" w:color="000000"/>
              <w:left w:val="single" w:sz="8" w:space="0" w:color="000000"/>
              <w:bottom w:val="single" w:sz="8" w:space="0" w:color="000000"/>
              <w:right w:val="single" w:sz="8" w:space="0" w:color="000000"/>
            </w:tcBorders>
          </w:tcPr>
          <w:p w14:paraId="4082F4CD" w14:textId="77777777" w:rsidR="005345BC" w:rsidRDefault="00F979FB">
            <w:pPr>
              <w:spacing w:after="0" w:line="259" w:lineRule="auto"/>
              <w:ind w:left="0" w:right="65" w:firstLine="0"/>
              <w:jc w:val="center"/>
            </w:pPr>
            <w:r>
              <w:t xml:space="preserve">41% </w:t>
            </w:r>
          </w:p>
        </w:tc>
        <w:tc>
          <w:tcPr>
            <w:tcW w:w="1387" w:type="dxa"/>
            <w:tcBorders>
              <w:top w:val="single" w:sz="8" w:space="0" w:color="000000"/>
              <w:left w:val="single" w:sz="8" w:space="0" w:color="000000"/>
              <w:bottom w:val="single" w:sz="8" w:space="0" w:color="000000"/>
              <w:right w:val="single" w:sz="8" w:space="0" w:color="000000"/>
            </w:tcBorders>
          </w:tcPr>
          <w:p w14:paraId="7AF636D5" w14:textId="77777777" w:rsidR="005345BC" w:rsidRDefault="00F979FB">
            <w:pPr>
              <w:spacing w:after="0" w:line="259" w:lineRule="auto"/>
              <w:ind w:left="0" w:right="65" w:firstLine="0"/>
              <w:jc w:val="center"/>
            </w:pPr>
            <w:r>
              <w:t xml:space="preserve">75% </w:t>
            </w:r>
          </w:p>
        </w:tc>
        <w:tc>
          <w:tcPr>
            <w:tcW w:w="1391" w:type="dxa"/>
            <w:tcBorders>
              <w:top w:val="single" w:sz="8" w:space="0" w:color="000000"/>
              <w:left w:val="single" w:sz="8" w:space="0" w:color="000000"/>
              <w:bottom w:val="single" w:sz="8" w:space="0" w:color="000000"/>
              <w:right w:val="single" w:sz="8" w:space="0" w:color="000000"/>
            </w:tcBorders>
          </w:tcPr>
          <w:p w14:paraId="52A28BD4" w14:textId="77777777" w:rsidR="005345BC" w:rsidRDefault="00F979FB">
            <w:pPr>
              <w:spacing w:after="0" w:line="259" w:lineRule="auto"/>
              <w:ind w:left="0" w:right="67" w:firstLine="0"/>
              <w:jc w:val="center"/>
            </w:pPr>
            <w:r>
              <w:t xml:space="preserve">0% </w:t>
            </w:r>
          </w:p>
        </w:tc>
        <w:tc>
          <w:tcPr>
            <w:tcW w:w="1494" w:type="dxa"/>
            <w:tcBorders>
              <w:top w:val="single" w:sz="8" w:space="0" w:color="000000"/>
              <w:left w:val="single" w:sz="8" w:space="0" w:color="000000"/>
              <w:bottom w:val="single" w:sz="8" w:space="0" w:color="000000"/>
              <w:right w:val="single" w:sz="8" w:space="0" w:color="000000"/>
            </w:tcBorders>
            <w:vAlign w:val="center"/>
          </w:tcPr>
          <w:p w14:paraId="40DB26FF" w14:textId="77777777" w:rsidR="005345BC" w:rsidRDefault="00F979FB">
            <w:pPr>
              <w:spacing w:after="0" w:line="259" w:lineRule="auto"/>
              <w:ind w:left="562" w:firstLine="0"/>
            </w:pPr>
            <w:r>
              <w:rPr>
                <w:rFonts w:ascii="Wingdings" w:eastAsia="Wingdings" w:hAnsi="Wingdings" w:cs="Wingdings"/>
              </w:rPr>
              <w:t></w:t>
            </w:r>
            <w:r>
              <w:t xml:space="preserve">   </w:t>
            </w:r>
          </w:p>
        </w:tc>
      </w:tr>
      <w:tr w:rsidR="005345BC" w14:paraId="10189DFE" w14:textId="77777777" w:rsidTr="00460891">
        <w:trPr>
          <w:trHeight w:val="481"/>
        </w:trPr>
        <w:tc>
          <w:tcPr>
            <w:tcW w:w="3520" w:type="dxa"/>
            <w:tcBorders>
              <w:top w:val="single" w:sz="8" w:space="0" w:color="000000"/>
              <w:left w:val="single" w:sz="8" w:space="0" w:color="000000"/>
              <w:bottom w:val="single" w:sz="8" w:space="0" w:color="000000"/>
              <w:right w:val="single" w:sz="8" w:space="0" w:color="000000"/>
            </w:tcBorders>
          </w:tcPr>
          <w:p w14:paraId="21DD237C" w14:textId="77777777" w:rsidR="005345BC" w:rsidRDefault="00F979FB">
            <w:pPr>
              <w:spacing w:after="0" w:line="259" w:lineRule="auto"/>
              <w:ind w:left="0" w:firstLine="0"/>
            </w:pPr>
            <w:r>
              <w:t xml:space="preserve">10 years and above </w:t>
            </w:r>
          </w:p>
        </w:tc>
        <w:tc>
          <w:tcPr>
            <w:tcW w:w="1452" w:type="dxa"/>
            <w:tcBorders>
              <w:top w:val="single" w:sz="8" w:space="0" w:color="000000"/>
              <w:left w:val="single" w:sz="8" w:space="0" w:color="000000"/>
              <w:bottom w:val="single" w:sz="8" w:space="0" w:color="000000"/>
              <w:right w:val="single" w:sz="8" w:space="0" w:color="000000"/>
            </w:tcBorders>
          </w:tcPr>
          <w:p w14:paraId="3BA7219E" w14:textId="77777777" w:rsidR="005345BC" w:rsidRDefault="00F979FB">
            <w:pPr>
              <w:spacing w:after="0" w:line="259" w:lineRule="auto"/>
              <w:ind w:left="0" w:right="65" w:firstLine="0"/>
              <w:jc w:val="center"/>
            </w:pPr>
            <w:r>
              <w:t xml:space="preserve">57% </w:t>
            </w:r>
          </w:p>
        </w:tc>
        <w:tc>
          <w:tcPr>
            <w:tcW w:w="1387" w:type="dxa"/>
            <w:tcBorders>
              <w:top w:val="single" w:sz="8" w:space="0" w:color="000000"/>
              <w:left w:val="single" w:sz="8" w:space="0" w:color="000000"/>
              <w:bottom w:val="single" w:sz="8" w:space="0" w:color="000000"/>
              <w:right w:val="single" w:sz="8" w:space="0" w:color="000000"/>
            </w:tcBorders>
          </w:tcPr>
          <w:p w14:paraId="15C16E83" w14:textId="77777777" w:rsidR="005345BC" w:rsidRDefault="00F979FB">
            <w:pPr>
              <w:spacing w:after="0" w:line="259" w:lineRule="auto"/>
              <w:ind w:left="0" w:right="65" w:firstLine="0"/>
              <w:jc w:val="center"/>
            </w:pPr>
            <w:r>
              <w:t xml:space="preserve">100% </w:t>
            </w:r>
          </w:p>
        </w:tc>
        <w:tc>
          <w:tcPr>
            <w:tcW w:w="1391" w:type="dxa"/>
            <w:tcBorders>
              <w:top w:val="single" w:sz="8" w:space="0" w:color="000000"/>
              <w:left w:val="single" w:sz="8" w:space="0" w:color="000000"/>
              <w:bottom w:val="single" w:sz="8" w:space="0" w:color="000000"/>
              <w:right w:val="single" w:sz="8" w:space="0" w:color="000000"/>
            </w:tcBorders>
          </w:tcPr>
          <w:p w14:paraId="38B94F56" w14:textId="77777777" w:rsidR="005345BC" w:rsidRDefault="00F979FB">
            <w:pPr>
              <w:spacing w:after="0" w:line="259" w:lineRule="auto"/>
              <w:ind w:left="0" w:right="67" w:firstLine="0"/>
              <w:jc w:val="center"/>
            </w:pPr>
            <w:r>
              <w:t xml:space="preserve">0% </w:t>
            </w:r>
          </w:p>
        </w:tc>
        <w:tc>
          <w:tcPr>
            <w:tcW w:w="1494" w:type="dxa"/>
            <w:tcBorders>
              <w:top w:val="single" w:sz="8" w:space="0" w:color="000000"/>
              <w:left w:val="single" w:sz="8" w:space="0" w:color="000000"/>
              <w:bottom w:val="single" w:sz="8" w:space="0" w:color="000000"/>
              <w:right w:val="single" w:sz="8" w:space="0" w:color="000000"/>
            </w:tcBorders>
            <w:vAlign w:val="center"/>
          </w:tcPr>
          <w:p w14:paraId="3825757A" w14:textId="77777777" w:rsidR="005345BC" w:rsidRDefault="00F979FB">
            <w:pPr>
              <w:spacing w:after="0" w:line="259" w:lineRule="auto"/>
              <w:ind w:left="562" w:firstLine="0"/>
            </w:pPr>
            <w:r>
              <w:rPr>
                <w:rFonts w:ascii="Wingdings" w:eastAsia="Wingdings" w:hAnsi="Wingdings" w:cs="Wingdings"/>
              </w:rPr>
              <w:t></w:t>
            </w:r>
            <w:r>
              <w:t xml:space="preserve">   </w:t>
            </w:r>
          </w:p>
        </w:tc>
      </w:tr>
    </w:tbl>
    <w:p w14:paraId="1B71D67E" w14:textId="77777777" w:rsidR="005345BC" w:rsidRDefault="00F979FB">
      <w:pPr>
        <w:spacing w:after="0" w:line="259" w:lineRule="auto"/>
        <w:ind w:left="0" w:firstLine="0"/>
        <w:jc w:val="both"/>
      </w:pPr>
      <w:r>
        <w:rPr>
          <w:rFonts w:ascii="Calibri" w:eastAsia="Calibri" w:hAnsi="Calibri" w:cs="Calibri"/>
          <w:b/>
        </w:rPr>
        <w:t xml:space="preserve"> </w:t>
      </w:r>
      <w:r>
        <w:t xml:space="preserve"> </w:t>
      </w:r>
    </w:p>
    <w:tbl>
      <w:tblPr>
        <w:tblStyle w:val="TableGrid"/>
        <w:tblW w:w="9086" w:type="dxa"/>
        <w:tblInd w:w="10" w:type="dxa"/>
        <w:tblCellMar>
          <w:top w:w="58" w:type="dxa"/>
          <w:left w:w="108" w:type="dxa"/>
          <w:right w:w="44" w:type="dxa"/>
        </w:tblCellMar>
        <w:tblLook w:val="04A0" w:firstRow="1" w:lastRow="0" w:firstColumn="1" w:lastColumn="0" w:noHBand="0" w:noVBand="1"/>
      </w:tblPr>
      <w:tblGrid>
        <w:gridCol w:w="4836"/>
        <w:gridCol w:w="1416"/>
        <w:gridCol w:w="1418"/>
        <w:gridCol w:w="1416"/>
      </w:tblGrid>
      <w:tr w:rsidR="005345BC" w14:paraId="4BB17DCC" w14:textId="77777777">
        <w:trPr>
          <w:trHeight w:val="931"/>
        </w:trPr>
        <w:tc>
          <w:tcPr>
            <w:tcW w:w="4836" w:type="dxa"/>
            <w:tcBorders>
              <w:top w:val="single" w:sz="8" w:space="0" w:color="000000"/>
              <w:left w:val="single" w:sz="8" w:space="0" w:color="000000"/>
              <w:bottom w:val="single" w:sz="8" w:space="0" w:color="000000"/>
              <w:right w:val="single" w:sz="8" w:space="0" w:color="000000"/>
            </w:tcBorders>
          </w:tcPr>
          <w:p w14:paraId="793E629B" w14:textId="77777777" w:rsidR="005345BC" w:rsidRDefault="00F979FB">
            <w:pPr>
              <w:spacing w:after="0" w:line="259" w:lineRule="auto"/>
              <w:ind w:left="0" w:firstLine="0"/>
            </w:pPr>
            <w:r>
              <w:rPr>
                <w:b/>
              </w:rPr>
              <w:t>Long term investments</w:t>
            </w:r>
            <w: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6959D568" w14:textId="77777777" w:rsidR="005345BC" w:rsidRDefault="00F979FB">
            <w:pPr>
              <w:spacing w:after="158" w:line="259" w:lineRule="auto"/>
              <w:ind w:left="0" w:right="63" w:firstLine="0"/>
              <w:jc w:val="center"/>
            </w:pPr>
            <w:r>
              <w:rPr>
                <w:b/>
              </w:rPr>
              <w:t>2023/24</w:t>
            </w:r>
            <w:r>
              <w:t xml:space="preserve"> </w:t>
            </w:r>
          </w:p>
          <w:p w14:paraId="365CF5C9" w14:textId="77777777" w:rsidR="005345BC" w:rsidRDefault="00F979FB">
            <w:pPr>
              <w:spacing w:after="0" w:line="259" w:lineRule="auto"/>
              <w:ind w:left="0" w:right="67" w:firstLine="0"/>
              <w:jc w:val="center"/>
            </w:pPr>
            <w:r>
              <w:rPr>
                <w:b/>
              </w:rPr>
              <w:t>£m</w:t>
            </w:r>
            <w: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274DF54A" w14:textId="77777777" w:rsidR="005345BC" w:rsidRDefault="00F979FB">
            <w:pPr>
              <w:spacing w:after="158" w:line="259" w:lineRule="auto"/>
              <w:ind w:left="0" w:right="65" w:firstLine="0"/>
              <w:jc w:val="center"/>
            </w:pPr>
            <w:r>
              <w:rPr>
                <w:b/>
              </w:rPr>
              <w:t>2024/25</w:t>
            </w:r>
            <w:r>
              <w:t xml:space="preserve"> </w:t>
            </w:r>
          </w:p>
          <w:p w14:paraId="74C7E67B" w14:textId="77777777" w:rsidR="005345BC" w:rsidRDefault="00F979FB">
            <w:pPr>
              <w:spacing w:after="0" w:line="259" w:lineRule="auto"/>
              <w:ind w:left="0" w:right="69" w:firstLine="0"/>
              <w:jc w:val="center"/>
            </w:pPr>
            <w:r>
              <w:rPr>
                <w:b/>
              </w:rPr>
              <w:t>£m</w:t>
            </w:r>
            <w:r>
              <w:t xml:space="preserve"> </w:t>
            </w:r>
          </w:p>
        </w:tc>
        <w:tc>
          <w:tcPr>
            <w:tcW w:w="1416" w:type="dxa"/>
            <w:tcBorders>
              <w:top w:val="single" w:sz="8" w:space="0" w:color="000000"/>
              <w:left w:val="single" w:sz="8" w:space="0" w:color="000000"/>
              <w:bottom w:val="single" w:sz="8" w:space="0" w:color="000000"/>
              <w:right w:val="single" w:sz="8" w:space="0" w:color="000000"/>
            </w:tcBorders>
          </w:tcPr>
          <w:p w14:paraId="33E1EB47" w14:textId="77777777" w:rsidR="005345BC" w:rsidRDefault="00F979FB">
            <w:pPr>
              <w:spacing w:after="158" w:line="259" w:lineRule="auto"/>
              <w:ind w:left="0" w:right="63" w:firstLine="0"/>
              <w:jc w:val="center"/>
            </w:pPr>
            <w:r>
              <w:rPr>
                <w:b/>
              </w:rPr>
              <w:t>2025/26</w:t>
            </w:r>
            <w:r>
              <w:t xml:space="preserve"> </w:t>
            </w:r>
          </w:p>
          <w:p w14:paraId="7D0BE086" w14:textId="77777777" w:rsidR="005345BC" w:rsidRDefault="00F979FB">
            <w:pPr>
              <w:spacing w:after="0" w:line="259" w:lineRule="auto"/>
              <w:ind w:left="0" w:right="67" w:firstLine="0"/>
              <w:jc w:val="center"/>
            </w:pPr>
            <w:r>
              <w:rPr>
                <w:b/>
              </w:rPr>
              <w:t>£m</w:t>
            </w:r>
            <w:r>
              <w:t xml:space="preserve"> </w:t>
            </w:r>
          </w:p>
        </w:tc>
      </w:tr>
      <w:tr w:rsidR="005345BC" w14:paraId="276EBE9E" w14:textId="77777777">
        <w:trPr>
          <w:trHeight w:val="478"/>
        </w:trPr>
        <w:tc>
          <w:tcPr>
            <w:tcW w:w="4836" w:type="dxa"/>
            <w:tcBorders>
              <w:top w:val="single" w:sz="8" w:space="0" w:color="000000"/>
              <w:left w:val="single" w:sz="8" w:space="0" w:color="000000"/>
              <w:bottom w:val="single" w:sz="8" w:space="0" w:color="000000"/>
              <w:right w:val="single" w:sz="8" w:space="0" w:color="000000"/>
            </w:tcBorders>
          </w:tcPr>
          <w:p w14:paraId="7333E488" w14:textId="77777777" w:rsidR="005345BC" w:rsidRDefault="00F979FB">
            <w:pPr>
              <w:spacing w:after="0" w:line="259" w:lineRule="auto"/>
              <w:ind w:left="0" w:firstLine="0"/>
            </w:pPr>
            <w:r>
              <w:t xml:space="preserve">Actual principal invested beyond year end </w:t>
            </w:r>
          </w:p>
        </w:tc>
        <w:tc>
          <w:tcPr>
            <w:tcW w:w="1416" w:type="dxa"/>
            <w:tcBorders>
              <w:top w:val="single" w:sz="8" w:space="0" w:color="000000"/>
              <w:left w:val="single" w:sz="8" w:space="0" w:color="000000"/>
              <w:bottom w:val="single" w:sz="8" w:space="0" w:color="000000"/>
              <w:right w:val="single" w:sz="8" w:space="0" w:color="000000"/>
            </w:tcBorders>
          </w:tcPr>
          <w:p w14:paraId="28D3250D" w14:textId="77777777" w:rsidR="005345BC" w:rsidRDefault="00F979FB">
            <w:pPr>
              <w:spacing w:after="0" w:line="259" w:lineRule="auto"/>
              <w:ind w:left="0" w:right="65" w:firstLine="0"/>
              <w:jc w:val="center"/>
            </w:pPr>
            <w:r>
              <w:t xml:space="preserve">24 </w:t>
            </w:r>
          </w:p>
        </w:tc>
        <w:tc>
          <w:tcPr>
            <w:tcW w:w="1418" w:type="dxa"/>
            <w:tcBorders>
              <w:top w:val="single" w:sz="8" w:space="0" w:color="000000"/>
              <w:left w:val="single" w:sz="8" w:space="0" w:color="000000"/>
              <w:bottom w:val="single" w:sz="8" w:space="0" w:color="000000"/>
              <w:right w:val="single" w:sz="8" w:space="0" w:color="000000"/>
            </w:tcBorders>
          </w:tcPr>
          <w:p w14:paraId="47413013" w14:textId="77777777" w:rsidR="005345BC" w:rsidRDefault="00F979FB">
            <w:pPr>
              <w:spacing w:after="0" w:line="259" w:lineRule="auto"/>
              <w:ind w:left="0" w:right="68" w:firstLine="0"/>
              <w:jc w:val="center"/>
            </w:pPr>
            <w:r>
              <w:t xml:space="preserve">10 </w:t>
            </w:r>
          </w:p>
        </w:tc>
        <w:tc>
          <w:tcPr>
            <w:tcW w:w="1416" w:type="dxa"/>
            <w:tcBorders>
              <w:top w:val="single" w:sz="8" w:space="0" w:color="000000"/>
              <w:left w:val="single" w:sz="8" w:space="0" w:color="000000"/>
              <w:bottom w:val="single" w:sz="8" w:space="0" w:color="000000"/>
              <w:right w:val="single" w:sz="8" w:space="0" w:color="000000"/>
            </w:tcBorders>
          </w:tcPr>
          <w:p w14:paraId="2ADE2644" w14:textId="77777777" w:rsidR="005345BC" w:rsidRDefault="00F979FB">
            <w:pPr>
              <w:spacing w:after="0" w:line="259" w:lineRule="auto"/>
              <w:ind w:left="0" w:right="65" w:firstLine="0"/>
              <w:jc w:val="center"/>
            </w:pPr>
            <w:r>
              <w:t xml:space="preserve">10 </w:t>
            </w:r>
          </w:p>
        </w:tc>
      </w:tr>
      <w:tr w:rsidR="005345BC" w14:paraId="6544140F" w14:textId="77777777">
        <w:trPr>
          <w:trHeight w:val="475"/>
        </w:trPr>
        <w:tc>
          <w:tcPr>
            <w:tcW w:w="4836" w:type="dxa"/>
            <w:tcBorders>
              <w:top w:val="single" w:sz="8" w:space="0" w:color="000000"/>
              <w:left w:val="single" w:sz="8" w:space="0" w:color="000000"/>
              <w:bottom w:val="single" w:sz="8" w:space="0" w:color="000000"/>
              <w:right w:val="single" w:sz="8" w:space="0" w:color="000000"/>
            </w:tcBorders>
          </w:tcPr>
          <w:p w14:paraId="5E938AEA" w14:textId="77777777" w:rsidR="005345BC" w:rsidRDefault="00F979FB">
            <w:pPr>
              <w:spacing w:after="0" w:line="259" w:lineRule="auto"/>
              <w:ind w:left="0" w:firstLine="0"/>
            </w:pPr>
            <w:r>
              <w:t xml:space="preserve">Limit on principal invested beyond year end </w:t>
            </w:r>
          </w:p>
        </w:tc>
        <w:tc>
          <w:tcPr>
            <w:tcW w:w="1416" w:type="dxa"/>
            <w:tcBorders>
              <w:top w:val="single" w:sz="8" w:space="0" w:color="000000"/>
              <w:left w:val="single" w:sz="8" w:space="0" w:color="000000"/>
              <w:bottom w:val="single" w:sz="8" w:space="0" w:color="000000"/>
              <w:right w:val="single" w:sz="8" w:space="0" w:color="000000"/>
            </w:tcBorders>
          </w:tcPr>
          <w:p w14:paraId="5D4512D7" w14:textId="77777777" w:rsidR="005345BC" w:rsidRDefault="00F979FB">
            <w:pPr>
              <w:spacing w:after="0" w:line="259" w:lineRule="auto"/>
              <w:ind w:left="0" w:right="65" w:firstLine="0"/>
              <w:jc w:val="center"/>
            </w:pPr>
            <w:r>
              <w:t xml:space="preserve">40 </w:t>
            </w:r>
          </w:p>
        </w:tc>
        <w:tc>
          <w:tcPr>
            <w:tcW w:w="1418" w:type="dxa"/>
            <w:tcBorders>
              <w:top w:val="single" w:sz="8" w:space="0" w:color="000000"/>
              <w:left w:val="single" w:sz="8" w:space="0" w:color="000000"/>
              <w:bottom w:val="single" w:sz="8" w:space="0" w:color="000000"/>
              <w:right w:val="single" w:sz="8" w:space="0" w:color="000000"/>
            </w:tcBorders>
          </w:tcPr>
          <w:p w14:paraId="3DF0A829" w14:textId="77777777" w:rsidR="005345BC" w:rsidRDefault="00F979FB">
            <w:pPr>
              <w:spacing w:after="0" w:line="259" w:lineRule="auto"/>
              <w:ind w:left="0" w:right="68" w:firstLine="0"/>
              <w:jc w:val="center"/>
            </w:pPr>
            <w:r>
              <w:t xml:space="preserve">40 </w:t>
            </w:r>
          </w:p>
        </w:tc>
        <w:tc>
          <w:tcPr>
            <w:tcW w:w="1416" w:type="dxa"/>
            <w:tcBorders>
              <w:top w:val="single" w:sz="8" w:space="0" w:color="000000"/>
              <w:left w:val="single" w:sz="8" w:space="0" w:color="000000"/>
              <w:bottom w:val="single" w:sz="8" w:space="0" w:color="000000"/>
              <w:right w:val="single" w:sz="8" w:space="0" w:color="000000"/>
            </w:tcBorders>
          </w:tcPr>
          <w:p w14:paraId="546FEF81" w14:textId="77777777" w:rsidR="005345BC" w:rsidRDefault="00F979FB">
            <w:pPr>
              <w:spacing w:after="0" w:line="259" w:lineRule="auto"/>
              <w:ind w:left="0" w:right="65" w:firstLine="0"/>
              <w:jc w:val="center"/>
            </w:pPr>
            <w:r>
              <w:t xml:space="preserve">40 </w:t>
            </w:r>
          </w:p>
        </w:tc>
      </w:tr>
      <w:tr w:rsidR="005345BC" w14:paraId="115494A8" w14:textId="77777777">
        <w:trPr>
          <w:trHeight w:val="478"/>
        </w:trPr>
        <w:tc>
          <w:tcPr>
            <w:tcW w:w="4836" w:type="dxa"/>
            <w:tcBorders>
              <w:top w:val="single" w:sz="8" w:space="0" w:color="000000"/>
              <w:left w:val="single" w:sz="8" w:space="0" w:color="000000"/>
              <w:bottom w:val="single" w:sz="8" w:space="0" w:color="000000"/>
              <w:right w:val="single" w:sz="8" w:space="0" w:color="000000"/>
            </w:tcBorders>
          </w:tcPr>
          <w:p w14:paraId="7FC26860" w14:textId="77777777" w:rsidR="005345BC" w:rsidRDefault="00F979FB">
            <w:pPr>
              <w:spacing w:after="0" w:line="259" w:lineRule="auto"/>
              <w:ind w:left="0" w:firstLine="0"/>
            </w:pPr>
            <w:r>
              <w:t xml:space="preserve">Complied </w:t>
            </w:r>
          </w:p>
        </w:tc>
        <w:tc>
          <w:tcPr>
            <w:tcW w:w="1416" w:type="dxa"/>
            <w:tcBorders>
              <w:top w:val="single" w:sz="8" w:space="0" w:color="000000"/>
              <w:left w:val="single" w:sz="8" w:space="0" w:color="000000"/>
              <w:bottom w:val="single" w:sz="8" w:space="0" w:color="000000"/>
              <w:right w:val="single" w:sz="8" w:space="0" w:color="000000"/>
            </w:tcBorders>
            <w:vAlign w:val="center"/>
          </w:tcPr>
          <w:p w14:paraId="602B1E6A" w14:textId="77777777" w:rsidR="005345BC" w:rsidRDefault="00F979FB">
            <w:pPr>
              <w:spacing w:after="0" w:line="259" w:lineRule="auto"/>
              <w:ind w:left="600" w:firstLine="0"/>
            </w:pPr>
            <w:r>
              <w:rPr>
                <w:rFonts w:ascii="Wingdings" w:eastAsia="Wingdings" w:hAnsi="Wingdings" w:cs="Wingdings"/>
              </w:rPr>
              <w:t></w:t>
            </w:r>
            <w:r>
              <w:t xml:space="preserve">   </w:t>
            </w:r>
          </w:p>
        </w:tc>
        <w:tc>
          <w:tcPr>
            <w:tcW w:w="1418" w:type="dxa"/>
            <w:tcBorders>
              <w:top w:val="single" w:sz="8" w:space="0" w:color="000000"/>
              <w:left w:val="single" w:sz="8" w:space="0" w:color="000000"/>
              <w:bottom w:val="single" w:sz="8" w:space="0" w:color="000000"/>
              <w:right w:val="single" w:sz="8" w:space="0" w:color="000000"/>
            </w:tcBorders>
            <w:vAlign w:val="center"/>
          </w:tcPr>
          <w:p w14:paraId="713AA5F1" w14:textId="77777777" w:rsidR="005345BC" w:rsidRDefault="00F979FB">
            <w:pPr>
              <w:spacing w:after="0" w:line="259" w:lineRule="auto"/>
              <w:ind w:left="600" w:firstLine="0"/>
            </w:pPr>
            <w:r>
              <w:rPr>
                <w:rFonts w:ascii="Wingdings" w:eastAsia="Wingdings" w:hAnsi="Wingdings" w:cs="Wingdings"/>
              </w:rPr>
              <w:t></w:t>
            </w:r>
            <w:r>
              <w:t xml:space="preserve">   </w:t>
            </w:r>
          </w:p>
        </w:tc>
        <w:tc>
          <w:tcPr>
            <w:tcW w:w="1416" w:type="dxa"/>
            <w:tcBorders>
              <w:top w:val="single" w:sz="8" w:space="0" w:color="000000"/>
              <w:left w:val="single" w:sz="8" w:space="0" w:color="000000"/>
              <w:bottom w:val="single" w:sz="8" w:space="0" w:color="000000"/>
              <w:right w:val="single" w:sz="8" w:space="0" w:color="000000"/>
            </w:tcBorders>
            <w:vAlign w:val="center"/>
          </w:tcPr>
          <w:p w14:paraId="71FCFBCB" w14:textId="77777777" w:rsidR="005345BC" w:rsidRDefault="00F979FB">
            <w:pPr>
              <w:spacing w:after="0" w:line="259" w:lineRule="auto"/>
              <w:ind w:left="600" w:firstLine="0"/>
            </w:pPr>
            <w:r>
              <w:rPr>
                <w:rFonts w:ascii="Wingdings" w:eastAsia="Wingdings" w:hAnsi="Wingdings" w:cs="Wingdings"/>
              </w:rPr>
              <w:t></w:t>
            </w:r>
            <w:r>
              <w:t xml:space="preserve">   </w:t>
            </w:r>
          </w:p>
        </w:tc>
      </w:tr>
    </w:tbl>
    <w:p w14:paraId="74D7B8E2" w14:textId="77777777" w:rsidR="005345BC" w:rsidRDefault="00F979FB" w:rsidP="008E7AA3">
      <w:pPr>
        <w:spacing w:after="182" w:line="259" w:lineRule="auto"/>
        <w:ind w:left="0" w:firstLine="0"/>
      </w:pPr>
      <w:r>
        <w:br w:type="page"/>
      </w:r>
    </w:p>
    <w:p w14:paraId="12DCBDBA" w14:textId="77777777" w:rsidR="005345BC" w:rsidRDefault="00F979FB">
      <w:pPr>
        <w:spacing w:after="12" w:line="269" w:lineRule="auto"/>
        <w:ind w:left="708" w:right="875" w:hanging="10"/>
        <w:jc w:val="center"/>
      </w:pPr>
      <w:r>
        <w:rPr>
          <w:b/>
        </w:rPr>
        <w:t>Service Level Agreement</w:t>
      </w:r>
      <w:r>
        <w:t xml:space="preserve"> </w:t>
      </w:r>
    </w:p>
    <w:p w14:paraId="3967335B" w14:textId="77777777" w:rsidR="005345BC" w:rsidRDefault="00F979FB">
      <w:pPr>
        <w:spacing w:after="12" w:line="269" w:lineRule="auto"/>
        <w:ind w:left="708" w:right="875" w:hanging="10"/>
        <w:jc w:val="center"/>
      </w:pPr>
      <w:r>
        <w:rPr>
          <w:b/>
        </w:rPr>
        <w:t>Between</w:t>
      </w:r>
      <w:r>
        <w:t xml:space="preserve"> </w:t>
      </w:r>
    </w:p>
    <w:p w14:paraId="4729F908" w14:textId="77777777" w:rsidR="005345BC" w:rsidRDefault="00F979FB">
      <w:pPr>
        <w:spacing w:after="12" w:line="269" w:lineRule="auto"/>
        <w:ind w:left="708" w:right="809" w:hanging="10"/>
        <w:jc w:val="center"/>
      </w:pPr>
      <w:r>
        <w:rPr>
          <w:b/>
        </w:rPr>
        <w:t>Police and Crime Commissioner for Hampshire &amp; the Isle of Wight</w:t>
      </w:r>
      <w:r>
        <w:t xml:space="preserve"> </w:t>
      </w:r>
      <w:r>
        <w:rPr>
          <w:b/>
        </w:rPr>
        <w:t>and Hampshire County Council</w:t>
      </w:r>
      <w:r>
        <w:t xml:space="preserve"> </w:t>
      </w:r>
    </w:p>
    <w:p w14:paraId="304392FB" w14:textId="77777777" w:rsidR="005345BC" w:rsidRDefault="00F979FB">
      <w:pPr>
        <w:spacing w:after="12" w:line="269" w:lineRule="auto"/>
        <w:ind w:left="708" w:right="879" w:hanging="10"/>
        <w:jc w:val="center"/>
      </w:pPr>
      <w:r>
        <w:rPr>
          <w:b/>
        </w:rPr>
        <w:t>for the provision of a Treasury Management Service</w:t>
      </w:r>
      <w:r>
        <w:t xml:space="preserve"> </w:t>
      </w:r>
    </w:p>
    <w:p w14:paraId="2B6A7051" w14:textId="77777777" w:rsidR="005345BC" w:rsidRDefault="00F979FB">
      <w:pPr>
        <w:spacing w:after="384" w:line="259" w:lineRule="auto"/>
        <w:ind w:left="0" w:firstLine="0"/>
      </w:pPr>
      <w:r>
        <w:t xml:space="preserve">  </w:t>
      </w:r>
    </w:p>
    <w:p w14:paraId="2D6391B1" w14:textId="77777777" w:rsidR="005345BC" w:rsidRPr="008F479E" w:rsidRDefault="00F979FB">
      <w:pPr>
        <w:pStyle w:val="Heading1"/>
        <w:spacing w:after="102" w:line="259" w:lineRule="auto"/>
        <w:ind w:left="-5"/>
        <w:rPr>
          <w:color w:val="000000" w:themeColor="text1"/>
        </w:rPr>
      </w:pPr>
      <w:r>
        <w:rPr>
          <w:color w:val="0F4761"/>
          <w:sz w:val="22"/>
        </w:rPr>
        <w:t>1</w:t>
      </w:r>
      <w:r>
        <w:rPr>
          <w:rFonts w:ascii="Times New Roman" w:eastAsia="Times New Roman" w:hAnsi="Times New Roman" w:cs="Times New Roman"/>
          <w:b w:val="0"/>
          <w:color w:val="0F4761"/>
          <w:sz w:val="13"/>
        </w:rPr>
        <w:t xml:space="preserve">         </w:t>
      </w:r>
      <w:r w:rsidRPr="008F479E">
        <w:rPr>
          <w:color w:val="000000" w:themeColor="text1"/>
          <w:sz w:val="37"/>
          <w:vertAlign w:val="superscript"/>
        </w:rPr>
        <w:t>Definition of service requirement</w:t>
      </w:r>
      <w:r w:rsidRPr="008F479E">
        <w:rPr>
          <w:b w:val="0"/>
          <w:color w:val="000000" w:themeColor="text1"/>
          <w:sz w:val="40"/>
        </w:rPr>
        <w:t xml:space="preserve"> </w:t>
      </w:r>
    </w:p>
    <w:p w14:paraId="5FD90AF7" w14:textId="77777777" w:rsidR="005345BC" w:rsidRPr="008F479E" w:rsidRDefault="00F979FB">
      <w:pPr>
        <w:spacing w:after="29" w:line="258" w:lineRule="auto"/>
        <w:ind w:left="619" w:right="171" w:hanging="634"/>
        <w:rPr>
          <w:color w:val="000000" w:themeColor="text1"/>
        </w:rPr>
      </w:pPr>
      <w:r w:rsidRPr="008F479E">
        <w:rPr>
          <w:color w:val="000000" w:themeColor="text1"/>
          <w:sz w:val="22"/>
        </w:rPr>
        <w:t>1.1</w:t>
      </w:r>
      <w:r w:rsidRPr="008F479E">
        <w:rPr>
          <w:rFonts w:ascii="Times New Roman" w:eastAsia="Times New Roman" w:hAnsi="Times New Roman" w:cs="Times New Roman"/>
          <w:color w:val="000000" w:themeColor="text1"/>
          <w:sz w:val="13"/>
        </w:rPr>
        <w:t xml:space="preserve">         </w:t>
      </w:r>
      <w:r w:rsidRPr="008F479E">
        <w:rPr>
          <w:color w:val="000000" w:themeColor="text1"/>
        </w:rPr>
        <w:t>The requirement is for the provision of a Treasury Management Service, as specified below, between:</w:t>
      </w:r>
      <w:r w:rsidRPr="008F479E">
        <w:rPr>
          <w:color w:val="000000" w:themeColor="text1"/>
          <w:sz w:val="32"/>
        </w:rPr>
        <w:t xml:space="preserve"> </w:t>
      </w:r>
    </w:p>
    <w:p w14:paraId="24869381" w14:textId="77777777" w:rsidR="005345BC" w:rsidRDefault="00F979FB">
      <w:pPr>
        <w:numPr>
          <w:ilvl w:val="0"/>
          <w:numId w:val="6"/>
        </w:numPr>
        <w:ind w:right="175" w:hanging="360"/>
      </w:pPr>
      <w:r>
        <w:t>Hampshire County Council (</w:t>
      </w:r>
      <w:r>
        <w:rPr>
          <w:i/>
        </w:rPr>
        <w:t>HCC</w:t>
      </w:r>
      <w:r>
        <w:t xml:space="preserve">), and </w:t>
      </w:r>
    </w:p>
    <w:p w14:paraId="59D5734F" w14:textId="77777777" w:rsidR="005345BC" w:rsidRDefault="00F979FB">
      <w:pPr>
        <w:numPr>
          <w:ilvl w:val="0"/>
          <w:numId w:val="6"/>
        </w:numPr>
        <w:ind w:right="175" w:hanging="360"/>
      </w:pPr>
      <w:r>
        <w:t>Office of the Police and Crime Commissioner for Hampshire and the Isle of Wight (</w:t>
      </w:r>
      <w:r>
        <w:rPr>
          <w:i/>
        </w:rPr>
        <w:t>OPCC</w:t>
      </w:r>
      <w:r>
        <w:t xml:space="preserve">) </w:t>
      </w:r>
    </w:p>
    <w:p w14:paraId="6CB5876C" w14:textId="77777777" w:rsidR="005345BC" w:rsidRDefault="00F979FB">
      <w:pPr>
        <w:spacing w:after="379"/>
        <w:ind w:left="624" w:right="175" w:firstLine="0"/>
      </w:pPr>
      <w:r>
        <w:t xml:space="preserve">Referred to in the rest of this document as </w:t>
      </w:r>
      <w:r>
        <w:rPr>
          <w:i/>
        </w:rPr>
        <w:t>the Organisations</w:t>
      </w:r>
      <w:r>
        <w:t xml:space="preserve">. </w:t>
      </w:r>
    </w:p>
    <w:p w14:paraId="0B191F64" w14:textId="77777777" w:rsidR="005345BC" w:rsidRPr="008F479E" w:rsidRDefault="00F979FB">
      <w:pPr>
        <w:pStyle w:val="Heading1"/>
        <w:spacing w:after="102" w:line="259" w:lineRule="auto"/>
        <w:ind w:left="-5"/>
        <w:rPr>
          <w:color w:val="000000" w:themeColor="text1"/>
        </w:rPr>
      </w:pPr>
      <w:r w:rsidRPr="008F479E">
        <w:rPr>
          <w:color w:val="000000" w:themeColor="text1"/>
          <w:sz w:val="22"/>
        </w:rPr>
        <w:t>2</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Basis of the agreement</w:t>
      </w:r>
      <w:r w:rsidRPr="008F479E">
        <w:rPr>
          <w:b w:val="0"/>
          <w:color w:val="000000" w:themeColor="text1"/>
          <w:sz w:val="40"/>
        </w:rPr>
        <w:t xml:space="preserve"> </w:t>
      </w:r>
    </w:p>
    <w:p w14:paraId="5DD5FB32" w14:textId="77777777" w:rsidR="005345BC" w:rsidRPr="008F479E" w:rsidRDefault="00F979FB">
      <w:pPr>
        <w:spacing w:after="180" w:line="258" w:lineRule="auto"/>
        <w:ind w:left="619" w:right="171" w:hanging="634"/>
        <w:rPr>
          <w:color w:val="000000" w:themeColor="text1"/>
        </w:rPr>
      </w:pPr>
      <w:r w:rsidRPr="008F479E">
        <w:rPr>
          <w:color w:val="000000" w:themeColor="text1"/>
          <w:sz w:val="22"/>
        </w:rPr>
        <w:t>2.1</w:t>
      </w:r>
      <w:r w:rsidRPr="008F479E">
        <w:rPr>
          <w:rFonts w:ascii="Times New Roman" w:eastAsia="Times New Roman" w:hAnsi="Times New Roman" w:cs="Times New Roman"/>
          <w:color w:val="000000" w:themeColor="text1"/>
          <w:sz w:val="13"/>
        </w:rPr>
        <w:t xml:space="preserve">         </w:t>
      </w:r>
      <w:r w:rsidRPr="008F479E">
        <w:rPr>
          <w:color w:val="000000" w:themeColor="text1"/>
        </w:rPr>
        <w:t xml:space="preserve">Section 18 of the Police Reform and Social Responsibility Act 2011 empowers the Police and Crime Commissioner to delegate certain functions, which would include treasury management, to another </w:t>
      </w:r>
      <w:r w:rsidRPr="008F479E">
        <w:rPr>
          <w:i/>
          <w:color w:val="000000" w:themeColor="text1"/>
        </w:rPr>
        <w:t>person</w:t>
      </w:r>
      <w:r w:rsidRPr="008F479E">
        <w:rPr>
          <w:color w:val="000000" w:themeColor="text1"/>
        </w:rPr>
        <w:t xml:space="preserve">, which includes a </w:t>
      </w:r>
      <w:r w:rsidRPr="008F479E">
        <w:rPr>
          <w:i/>
          <w:color w:val="000000" w:themeColor="text1"/>
        </w:rPr>
        <w:t>body</w:t>
      </w:r>
      <w:r w:rsidRPr="008F479E">
        <w:rPr>
          <w:color w:val="000000" w:themeColor="text1"/>
        </w:rPr>
        <w:t xml:space="preserve"> such as HCC. The Organisations recognise that combining to jointly discharge certain functions has the potential to make a significant contribution towards their ongoing search for service improvements and the delivery of efficiency savings. </w:t>
      </w:r>
      <w:r w:rsidRPr="008F479E">
        <w:rPr>
          <w:color w:val="000000" w:themeColor="text1"/>
          <w:sz w:val="32"/>
        </w:rPr>
        <w:t xml:space="preserve"> </w:t>
      </w:r>
    </w:p>
    <w:p w14:paraId="75128C05" w14:textId="77777777" w:rsidR="005345BC" w:rsidRPr="008F479E" w:rsidRDefault="00F979FB">
      <w:pPr>
        <w:spacing w:after="7" w:line="258" w:lineRule="auto"/>
        <w:ind w:left="619" w:right="171" w:hanging="634"/>
        <w:rPr>
          <w:color w:val="000000" w:themeColor="text1"/>
        </w:rPr>
      </w:pPr>
      <w:r w:rsidRPr="008F479E">
        <w:rPr>
          <w:color w:val="000000" w:themeColor="text1"/>
          <w:sz w:val="22"/>
        </w:rPr>
        <w:t>2.2</w:t>
      </w:r>
      <w:r w:rsidRPr="008F479E">
        <w:rPr>
          <w:rFonts w:ascii="Times New Roman" w:eastAsia="Times New Roman" w:hAnsi="Times New Roman" w:cs="Times New Roman"/>
          <w:color w:val="000000" w:themeColor="text1"/>
          <w:sz w:val="13"/>
        </w:rPr>
        <w:t xml:space="preserve">         </w:t>
      </w:r>
      <w:r w:rsidRPr="008F479E">
        <w:rPr>
          <w:color w:val="000000" w:themeColor="text1"/>
        </w:rPr>
        <w:t>The OPCC wish to establish arrangements for the delegation of their functions with regard to treasury management. This agreement covers the following functions of capital finance as defined by the Local Government Act 2003</w:t>
      </w:r>
      <w:hyperlink r:id="rId7" w:anchor="_ftn1">
        <w:r w:rsidRPr="008F479E">
          <w:rPr>
            <w:color w:val="000000" w:themeColor="text1"/>
            <w:u w:val="single" w:color="0000FF"/>
            <w:vertAlign w:val="superscript"/>
          </w:rPr>
          <w:t>[1]</w:t>
        </w:r>
      </w:hyperlink>
      <w:hyperlink r:id="rId8" w:anchor="_ftn1">
        <w:r w:rsidRPr="008F479E">
          <w:rPr>
            <w:color w:val="000000" w:themeColor="text1"/>
          </w:rPr>
          <w:t>.</w:t>
        </w:r>
      </w:hyperlink>
      <w:r w:rsidRPr="008F479E">
        <w:rPr>
          <w:color w:val="000000" w:themeColor="text1"/>
        </w:rPr>
        <w:t xml:space="preserve"> The functions below are taken directly from the Act and the processes to deliver them are covered in this agreement:</w:t>
      </w:r>
      <w:r w:rsidRPr="008F479E">
        <w:rPr>
          <w:color w:val="000000" w:themeColor="text1"/>
          <w:sz w:val="32"/>
        </w:rPr>
        <w:t xml:space="preserve"> </w:t>
      </w:r>
    </w:p>
    <w:p w14:paraId="63929A5E" w14:textId="77777777" w:rsidR="005345BC" w:rsidRDefault="003C6F22">
      <w:pPr>
        <w:numPr>
          <w:ilvl w:val="0"/>
          <w:numId w:val="7"/>
        </w:numPr>
        <w:spacing w:after="49" w:line="259" w:lineRule="auto"/>
        <w:ind w:hanging="360"/>
      </w:pPr>
      <w:hyperlink r:id="rId9">
        <w:r w:rsidR="00F979FB">
          <w:rPr>
            <w:color w:val="0000FF"/>
            <w:u w:val="single" w:color="0000FF"/>
          </w:rPr>
          <w:t>Control of borrowing</w:t>
        </w:r>
      </w:hyperlink>
      <w:hyperlink r:id="rId10">
        <w:r w:rsidR="00F979FB">
          <w:rPr>
            <w:color w:val="0000FF"/>
          </w:rPr>
          <w:t xml:space="preserve"> </w:t>
        </w:r>
      </w:hyperlink>
    </w:p>
    <w:p w14:paraId="0A390069" w14:textId="77777777" w:rsidR="005345BC" w:rsidRDefault="003C6F22">
      <w:pPr>
        <w:numPr>
          <w:ilvl w:val="0"/>
          <w:numId w:val="7"/>
        </w:numPr>
        <w:spacing w:after="49" w:line="259" w:lineRule="auto"/>
        <w:ind w:hanging="360"/>
      </w:pPr>
      <w:hyperlink r:id="rId11">
        <w:r w:rsidR="00F979FB">
          <w:rPr>
            <w:color w:val="0000FF"/>
            <w:u w:val="single" w:color="0000FF"/>
          </w:rPr>
          <w:t>Duty to determine affordable borrowing limit</w:t>
        </w:r>
      </w:hyperlink>
      <w:hyperlink r:id="rId12">
        <w:r w:rsidR="00F979FB">
          <w:rPr>
            <w:color w:val="0000FF"/>
          </w:rPr>
          <w:t xml:space="preserve"> </w:t>
        </w:r>
      </w:hyperlink>
    </w:p>
    <w:p w14:paraId="47D18413" w14:textId="77777777" w:rsidR="005345BC" w:rsidRDefault="003C6F22">
      <w:pPr>
        <w:numPr>
          <w:ilvl w:val="0"/>
          <w:numId w:val="7"/>
        </w:numPr>
        <w:spacing w:after="49" w:line="259" w:lineRule="auto"/>
        <w:ind w:hanging="360"/>
      </w:pPr>
      <w:hyperlink r:id="rId13">
        <w:r w:rsidR="00F979FB">
          <w:rPr>
            <w:color w:val="0000FF"/>
            <w:u w:val="single" w:color="0000FF"/>
          </w:rPr>
          <w:t>Imposition of borrowing limits</w:t>
        </w:r>
      </w:hyperlink>
      <w:hyperlink r:id="rId14">
        <w:r w:rsidR="00F979FB">
          <w:rPr>
            <w:color w:val="0000FF"/>
          </w:rPr>
          <w:t xml:space="preserve"> </w:t>
        </w:r>
      </w:hyperlink>
    </w:p>
    <w:p w14:paraId="4BC4B521" w14:textId="77777777" w:rsidR="005345BC" w:rsidRDefault="003C6F22">
      <w:pPr>
        <w:numPr>
          <w:ilvl w:val="0"/>
          <w:numId w:val="7"/>
        </w:numPr>
        <w:spacing w:after="49" w:line="259" w:lineRule="auto"/>
        <w:ind w:hanging="360"/>
      </w:pPr>
      <w:hyperlink r:id="rId15">
        <w:r w:rsidR="00F979FB">
          <w:rPr>
            <w:color w:val="0000FF"/>
            <w:u w:val="single" w:color="0000FF"/>
          </w:rPr>
          <w:t>Temporary borrowing</w:t>
        </w:r>
      </w:hyperlink>
      <w:hyperlink r:id="rId16">
        <w:r w:rsidR="00F979FB">
          <w:rPr>
            <w:color w:val="0000FF"/>
          </w:rPr>
          <w:t xml:space="preserve"> </w:t>
        </w:r>
      </w:hyperlink>
    </w:p>
    <w:p w14:paraId="54657FDD" w14:textId="77777777" w:rsidR="005345BC" w:rsidRDefault="003C6F22">
      <w:pPr>
        <w:numPr>
          <w:ilvl w:val="0"/>
          <w:numId w:val="7"/>
        </w:numPr>
        <w:spacing w:after="49" w:line="259" w:lineRule="auto"/>
        <w:ind w:hanging="360"/>
      </w:pPr>
      <w:hyperlink r:id="rId17">
        <w:r w:rsidR="00F979FB">
          <w:rPr>
            <w:color w:val="0000FF"/>
            <w:u w:val="single" w:color="0000FF"/>
          </w:rPr>
          <w:t>Power to invest</w:t>
        </w:r>
      </w:hyperlink>
      <w:hyperlink r:id="rId18">
        <w:r w:rsidR="00F979FB">
          <w:rPr>
            <w:color w:val="0000FF"/>
          </w:rPr>
          <w:t xml:space="preserve"> </w:t>
        </w:r>
      </w:hyperlink>
    </w:p>
    <w:p w14:paraId="54E7290F" w14:textId="77777777" w:rsidR="005345BC" w:rsidRPr="008F479E" w:rsidRDefault="00F979FB">
      <w:pPr>
        <w:spacing w:after="7" w:line="258" w:lineRule="auto"/>
        <w:ind w:left="619" w:right="171" w:hanging="634"/>
        <w:rPr>
          <w:color w:val="000000" w:themeColor="text1"/>
        </w:rPr>
      </w:pPr>
      <w:r>
        <w:rPr>
          <w:color w:val="0F4761"/>
          <w:sz w:val="22"/>
        </w:rPr>
        <w:t>2.</w:t>
      </w:r>
      <w:r w:rsidRPr="008F479E">
        <w:rPr>
          <w:color w:val="000000" w:themeColor="text1"/>
          <w:sz w:val="22"/>
        </w:rPr>
        <w:t>3</w:t>
      </w:r>
      <w:r w:rsidRPr="008F479E">
        <w:rPr>
          <w:rFonts w:ascii="Times New Roman" w:eastAsia="Times New Roman" w:hAnsi="Times New Roman" w:cs="Times New Roman"/>
          <w:color w:val="000000" w:themeColor="text1"/>
          <w:sz w:val="13"/>
        </w:rPr>
        <w:t xml:space="preserve">         </w:t>
      </w:r>
      <w:r w:rsidRPr="008F479E">
        <w:rPr>
          <w:color w:val="000000" w:themeColor="text1"/>
        </w:rPr>
        <w:t>No treasury management activity is without risk and the effective identification and management of risk are integral to effective treasury management objectives. This agreement is made on the basis that the OPCC accept the risk for any investment that is lost or reduces in value if those investments are placed in accordance with the agreed treasury management strategies. In the event that HCC do not act in accordance with the agreed strategy, HCC are liable to make good all resultant losses to the OPCC.</w:t>
      </w:r>
      <w:r w:rsidRPr="008F479E">
        <w:rPr>
          <w:color w:val="000000" w:themeColor="text1"/>
          <w:sz w:val="32"/>
        </w:rPr>
        <w:t xml:space="preserve"> </w:t>
      </w:r>
    </w:p>
    <w:p w14:paraId="431F143E" w14:textId="77777777" w:rsidR="005345BC" w:rsidRPr="008F479E" w:rsidRDefault="00F979FB">
      <w:pPr>
        <w:spacing w:after="386" w:line="259" w:lineRule="auto"/>
        <w:ind w:left="0" w:firstLine="0"/>
        <w:rPr>
          <w:color w:val="000000" w:themeColor="text1"/>
        </w:rPr>
      </w:pPr>
      <w:r w:rsidRPr="008F479E">
        <w:rPr>
          <w:color w:val="000000" w:themeColor="text1"/>
        </w:rPr>
        <w:t xml:space="preserve"> </w:t>
      </w:r>
    </w:p>
    <w:p w14:paraId="1A5868AA" w14:textId="77777777" w:rsidR="005345BC" w:rsidRPr="008F479E" w:rsidRDefault="00F979FB">
      <w:pPr>
        <w:pStyle w:val="Heading1"/>
        <w:spacing w:after="163" w:line="259" w:lineRule="auto"/>
        <w:ind w:left="-5"/>
        <w:rPr>
          <w:color w:val="000000" w:themeColor="text1"/>
        </w:rPr>
      </w:pPr>
      <w:r w:rsidRPr="008F479E">
        <w:rPr>
          <w:color w:val="000000" w:themeColor="text1"/>
          <w:sz w:val="22"/>
        </w:rPr>
        <w:t>3</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Specification of HCC Responsibilities</w:t>
      </w:r>
      <w:r w:rsidRPr="008F479E">
        <w:rPr>
          <w:b w:val="0"/>
          <w:color w:val="000000" w:themeColor="text1"/>
          <w:sz w:val="40"/>
        </w:rPr>
        <w:t xml:space="preserve"> </w:t>
      </w:r>
    </w:p>
    <w:p w14:paraId="4CB408F0" w14:textId="77777777" w:rsidR="005345BC" w:rsidRPr="008F479E" w:rsidRDefault="00F979FB">
      <w:pPr>
        <w:spacing w:after="7" w:line="258" w:lineRule="auto"/>
        <w:ind w:left="-15" w:right="171" w:firstLine="0"/>
        <w:rPr>
          <w:color w:val="000000" w:themeColor="text1"/>
        </w:rPr>
      </w:pPr>
      <w:r w:rsidRPr="008F479E">
        <w:rPr>
          <w:color w:val="000000" w:themeColor="text1"/>
          <w:sz w:val="22"/>
        </w:rPr>
        <w:t>3.1</w:t>
      </w:r>
      <w:r w:rsidRPr="008F479E">
        <w:rPr>
          <w:rFonts w:ascii="Times New Roman" w:eastAsia="Times New Roman" w:hAnsi="Times New Roman" w:cs="Times New Roman"/>
          <w:color w:val="000000" w:themeColor="text1"/>
          <w:sz w:val="13"/>
        </w:rPr>
        <w:t xml:space="preserve">         </w:t>
      </w:r>
      <w:r w:rsidRPr="008F479E">
        <w:rPr>
          <w:color w:val="000000" w:themeColor="text1"/>
        </w:rPr>
        <w:t>HCC shall provide the following:</w:t>
      </w:r>
      <w:r w:rsidRPr="008F479E">
        <w:rPr>
          <w:color w:val="000000" w:themeColor="text1"/>
          <w:sz w:val="32"/>
        </w:rPr>
        <w:t xml:space="preserve"> </w:t>
      </w:r>
    </w:p>
    <w:p w14:paraId="31C7CE75" w14:textId="77777777" w:rsidR="005345BC" w:rsidRPr="008F479E" w:rsidRDefault="00F979FB">
      <w:pPr>
        <w:numPr>
          <w:ilvl w:val="0"/>
          <w:numId w:val="8"/>
        </w:numPr>
        <w:ind w:right="175" w:hanging="360"/>
        <w:rPr>
          <w:color w:val="000000" w:themeColor="text1"/>
        </w:rPr>
      </w:pPr>
      <w:r w:rsidRPr="008F479E">
        <w:rPr>
          <w:color w:val="000000" w:themeColor="text1"/>
        </w:rPr>
        <w:t xml:space="preserve">HCC will produce (and present as necessary) four draft treasury management reports for the OPCC per year: </w:t>
      </w:r>
    </w:p>
    <w:p w14:paraId="59482E3A" w14:textId="77777777" w:rsidR="005345BC" w:rsidRPr="008F479E" w:rsidRDefault="00F979FB" w:rsidP="008F479E">
      <w:pPr>
        <w:pStyle w:val="ListParagraph"/>
        <w:numPr>
          <w:ilvl w:val="0"/>
          <w:numId w:val="14"/>
        </w:numPr>
        <w:ind w:right="175"/>
        <w:rPr>
          <w:color w:val="000000" w:themeColor="text1"/>
        </w:rPr>
      </w:pPr>
      <w:r w:rsidRPr="008F479E">
        <w:rPr>
          <w:color w:val="000000" w:themeColor="text1"/>
        </w:rPr>
        <w:t xml:space="preserve">A draft treasury management strategy for the forthcoming financial year as part of the budget setting process in January. </w:t>
      </w:r>
    </w:p>
    <w:p w14:paraId="41224B1A" w14:textId="77777777" w:rsidR="005345BC" w:rsidRPr="008F479E" w:rsidRDefault="00F979FB" w:rsidP="008F479E">
      <w:pPr>
        <w:pStyle w:val="ListParagraph"/>
        <w:numPr>
          <w:ilvl w:val="0"/>
          <w:numId w:val="14"/>
        </w:numPr>
        <w:spacing w:after="27" w:line="259" w:lineRule="auto"/>
        <w:ind w:right="175"/>
        <w:rPr>
          <w:color w:val="000000" w:themeColor="text1"/>
        </w:rPr>
      </w:pPr>
      <w:r w:rsidRPr="008F479E">
        <w:rPr>
          <w:color w:val="000000" w:themeColor="text1"/>
        </w:rPr>
        <w:t xml:space="preserve">An out-turn report following the financial year end in May/June. </w:t>
      </w:r>
    </w:p>
    <w:p w14:paraId="5BA7EABA" w14:textId="77777777" w:rsidR="005345BC" w:rsidRPr="008F479E" w:rsidRDefault="00F979FB" w:rsidP="008F479E">
      <w:pPr>
        <w:pStyle w:val="ListParagraph"/>
        <w:numPr>
          <w:ilvl w:val="0"/>
          <w:numId w:val="14"/>
        </w:numPr>
        <w:ind w:right="175"/>
        <w:rPr>
          <w:color w:val="000000" w:themeColor="text1"/>
        </w:rPr>
      </w:pPr>
      <w:r w:rsidRPr="008F479E">
        <w:rPr>
          <w:color w:val="000000" w:themeColor="text1"/>
        </w:rPr>
        <w:t xml:space="preserve">A first quarter’s monitoring report in July-September (depending on committee dates). </w:t>
      </w:r>
    </w:p>
    <w:p w14:paraId="53E4C9F2" w14:textId="77777777" w:rsidR="005345BC" w:rsidRPr="008F479E" w:rsidRDefault="00F979FB" w:rsidP="008F479E">
      <w:pPr>
        <w:pStyle w:val="ListParagraph"/>
        <w:numPr>
          <w:ilvl w:val="0"/>
          <w:numId w:val="14"/>
        </w:numPr>
        <w:ind w:right="175"/>
        <w:rPr>
          <w:color w:val="000000" w:themeColor="text1"/>
        </w:rPr>
      </w:pPr>
      <w:r w:rsidRPr="008F479E">
        <w:rPr>
          <w:color w:val="000000" w:themeColor="text1"/>
        </w:rPr>
        <w:t xml:space="preserve">A mid-year monitoring report in October-December (depending on committee dates). </w:t>
      </w:r>
    </w:p>
    <w:p w14:paraId="0B2423BB" w14:textId="77777777" w:rsidR="005345BC" w:rsidRPr="008F479E" w:rsidRDefault="00F979FB">
      <w:pPr>
        <w:numPr>
          <w:ilvl w:val="0"/>
          <w:numId w:val="8"/>
        </w:numPr>
        <w:ind w:right="175" w:hanging="360"/>
        <w:rPr>
          <w:color w:val="000000" w:themeColor="text1"/>
        </w:rPr>
      </w:pPr>
      <w:r w:rsidRPr="008F479E">
        <w:rPr>
          <w:color w:val="000000" w:themeColor="text1"/>
        </w:rPr>
        <w:t xml:space="preserve">HCC Investments and Borrowing team will manage the OPCC’s cash balance and undertake the investment of surplus cash or sourcing of short-term borrowing in accordance with the agreed treasury management strategy.  </w:t>
      </w:r>
    </w:p>
    <w:p w14:paraId="047B761C" w14:textId="77777777" w:rsidR="005345BC" w:rsidRPr="008F479E" w:rsidRDefault="00F979FB">
      <w:pPr>
        <w:numPr>
          <w:ilvl w:val="0"/>
          <w:numId w:val="8"/>
        </w:numPr>
        <w:ind w:right="175" w:hanging="360"/>
        <w:rPr>
          <w:color w:val="000000" w:themeColor="text1"/>
        </w:rPr>
      </w:pPr>
      <w:r w:rsidRPr="008F479E">
        <w:rPr>
          <w:color w:val="000000" w:themeColor="text1"/>
        </w:rPr>
        <w:t xml:space="preserve">HCC will arrange for the repayment, refinancing or new long-term borrowing for the OPCC within pre-agreed parameters with the OPCC. </w:t>
      </w:r>
    </w:p>
    <w:p w14:paraId="0F6EB3FE" w14:textId="77777777" w:rsidR="005345BC" w:rsidRPr="008F479E" w:rsidRDefault="00F979FB">
      <w:pPr>
        <w:numPr>
          <w:ilvl w:val="0"/>
          <w:numId w:val="8"/>
        </w:numPr>
        <w:ind w:right="175" w:hanging="360"/>
        <w:rPr>
          <w:color w:val="000000" w:themeColor="text1"/>
        </w:rPr>
      </w:pPr>
      <w:r w:rsidRPr="008F479E">
        <w:rPr>
          <w:color w:val="000000" w:themeColor="text1"/>
        </w:rPr>
        <w:t xml:space="preserve">The treasury service provided by HCC will at all times be compliant with current statutory legislation, CIPFA’s Prudential Code for Capital Finance in Local Authorities and any other relevant guidance. </w:t>
      </w:r>
    </w:p>
    <w:p w14:paraId="24FBC402" w14:textId="77777777" w:rsidR="005345BC" w:rsidRPr="008F479E" w:rsidRDefault="00F979FB">
      <w:pPr>
        <w:numPr>
          <w:ilvl w:val="0"/>
          <w:numId w:val="8"/>
        </w:numPr>
        <w:ind w:right="175" w:hanging="360"/>
        <w:rPr>
          <w:color w:val="000000" w:themeColor="text1"/>
        </w:rPr>
      </w:pPr>
      <w:r w:rsidRPr="008F479E">
        <w:rPr>
          <w:color w:val="000000" w:themeColor="text1"/>
        </w:rPr>
        <w:t xml:space="preserve">Appropriate HCC officers from the Investments and Borrowing team are authorised to act as the ‘Treasury dealer’ to invest surplus cash and borrow funds as necessary on behalf of the OPCC. </w:t>
      </w:r>
    </w:p>
    <w:p w14:paraId="699B450F" w14:textId="77777777" w:rsidR="005345BC" w:rsidRPr="008F479E" w:rsidRDefault="00F979FB">
      <w:pPr>
        <w:numPr>
          <w:ilvl w:val="0"/>
          <w:numId w:val="8"/>
        </w:numPr>
        <w:ind w:right="175" w:hanging="360"/>
        <w:rPr>
          <w:color w:val="000000" w:themeColor="text1"/>
        </w:rPr>
      </w:pPr>
      <w:r w:rsidRPr="008F479E">
        <w:rPr>
          <w:color w:val="000000" w:themeColor="text1"/>
        </w:rPr>
        <w:t xml:space="preserve">Investments may only be made in instruments issued by those counterparties selected in accordance with the OPCC’s Treasury Management Strategy. Cash will be managed with the aim that a minimum aggregated current account balance is kept positive and as close to zero as possible. </w:t>
      </w:r>
    </w:p>
    <w:p w14:paraId="04B54378" w14:textId="77777777" w:rsidR="005345BC" w:rsidRPr="008F479E" w:rsidRDefault="00F979FB">
      <w:pPr>
        <w:numPr>
          <w:ilvl w:val="0"/>
          <w:numId w:val="8"/>
        </w:numPr>
        <w:ind w:right="175" w:hanging="360"/>
        <w:rPr>
          <w:color w:val="000000" w:themeColor="text1"/>
        </w:rPr>
      </w:pPr>
      <w:r w:rsidRPr="008F479E">
        <w:rPr>
          <w:color w:val="000000" w:themeColor="text1"/>
        </w:rPr>
        <w:t xml:space="preserve">The HCC Investments and Borrowing team will open and maintain accounts with the counterparties identified in paragraph 3.1f to invest money in accordance with the strategy to ensure the OPCC’s funds are held in fully segregated accounts.  </w:t>
      </w:r>
    </w:p>
    <w:p w14:paraId="38E9FF1A" w14:textId="77777777" w:rsidR="005345BC" w:rsidRPr="008F479E" w:rsidRDefault="00F979FB">
      <w:pPr>
        <w:numPr>
          <w:ilvl w:val="0"/>
          <w:numId w:val="8"/>
        </w:numPr>
        <w:ind w:right="175" w:hanging="360"/>
        <w:rPr>
          <w:color w:val="000000" w:themeColor="text1"/>
        </w:rPr>
      </w:pPr>
      <w:r w:rsidRPr="008F479E">
        <w:rPr>
          <w:color w:val="000000" w:themeColor="text1"/>
        </w:rPr>
        <w:t xml:space="preserve">Settlement and recordkeeping – investment payments made with the approved counterparties will be made through the OPCC’s online bank account by HCC Investments and Borrowing team and recorded in a specialist treasury management record keeping system - Logotech. Monthly/quarterly borrowing and lending returns completed by the HCC Investments and Borrowing return and sent to Central Government. </w:t>
      </w:r>
    </w:p>
    <w:p w14:paraId="03EC5E3E" w14:textId="77777777" w:rsidR="005345BC" w:rsidRPr="008F479E" w:rsidRDefault="00F979FB">
      <w:pPr>
        <w:numPr>
          <w:ilvl w:val="0"/>
          <w:numId w:val="8"/>
        </w:numPr>
        <w:ind w:right="175" w:hanging="360"/>
        <w:rPr>
          <w:color w:val="000000" w:themeColor="text1"/>
        </w:rPr>
      </w:pPr>
      <w:r w:rsidRPr="008F479E">
        <w:rPr>
          <w:color w:val="000000" w:themeColor="text1"/>
        </w:rPr>
        <w:t xml:space="preserve">Management Information - The following information will be provided to the OPCC: </w:t>
      </w:r>
    </w:p>
    <w:p w14:paraId="1DE8232D" w14:textId="77777777" w:rsidR="005345BC" w:rsidRPr="008F479E" w:rsidRDefault="00F979FB" w:rsidP="008E7AA3">
      <w:pPr>
        <w:pStyle w:val="ListParagraph"/>
        <w:numPr>
          <w:ilvl w:val="0"/>
          <w:numId w:val="13"/>
        </w:numPr>
        <w:ind w:right="175"/>
        <w:rPr>
          <w:color w:val="000000" w:themeColor="text1"/>
        </w:rPr>
      </w:pPr>
      <w:r w:rsidRPr="008F479E">
        <w:rPr>
          <w:color w:val="000000" w:themeColor="text1"/>
        </w:rPr>
        <w:t xml:space="preserve">Weekly reporting – details of all investments/short-term borrowing made (principal, counterparty, interest rate, date invested and maturity date) and any variation to the aim of keeping the daily cash balance at an aggregated nil balance.  </w:t>
      </w:r>
    </w:p>
    <w:p w14:paraId="6D9A4718" w14:textId="77777777" w:rsidR="005345BC" w:rsidRPr="008F479E" w:rsidRDefault="00F979FB" w:rsidP="008E7AA3">
      <w:pPr>
        <w:pStyle w:val="ListParagraph"/>
        <w:numPr>
          <w:ilvl w:val="0"/>
          <w:numId w:val="13"/>
        </w:numPr>
        <w:ind w:right="175"/>
        <w:rPr>
          <w:color w:val="000000" w:themeColor="text1"/>
        </w:rPr>
      </w:pPr>
      <w:r w:rsidRPr="008F479E">
        <w:rPr>
          <w:color w:val="000000" w:themeColor="text1"/>
        </w:rPr>
        <w:t xml:space="preserve">Year-end reporting – accrued interest due or owed. </w:t>
      </w:r>
    </w:p>
    <w:p w14:paraId="52A64413" w14:textId="77777777" w:rsidR="005345BC" w:rsidRPr="008F479E" w:rsidRDefault="00F979FB" w:rsidP="008E7AA3">
      <w:pPr>
        <w:pStyle w:val="ListParagraph"/>
        <w:numPr>
          <w:ilvl w:val="0"/>
          <w:numId w:val="13"/>
        </w:numPr>
        <w:ind w:right="175"/>
        <w:rPr>
          <w:color w:val="000000" w:themeColor="text1"/>
        </w:rPr>
      </w:pPr>
      <w:r w:rsidRPr="008F479E">
        <w:rPr>
          <w:color w:val="000000" w:themeColor="text1"/>
        </w:rPr>
        <w:t xml:space="preserve">Periodic forecasts for interest earned on investments and due on borrowing as requested. </w:t>
      </w:r>
    </w:p>
    <w:p w14:paraId="4F8E7D85" w14:textId="77777777" w:rsidR="005345BC" w:rsidRPr="008F479E" w:rsidRDefault="00F979FB" w:rsidP="008E7AA3">
      <w:pPr>
        <w:pStyle w:val="ListParagraph"/>
        <w:numPr>
          <w:ilvl w:val="0"/>
          <w:numId w:val="13"/>
        </w:numPr>
        <w:spacing w:after="372"/>
        <w:ind w:right="175"/>
        <w:rPr>
          <w:color w:val="000000" w:themeColor="text1"/>
        </w:rPr>
      </w:pPr>
      <w:r w:rsidRPr="008F479E">
        <w:rPr>
          <w:color w:val="000000" w:themeColor="text1"/>
        </w:rPr>
        <w:t xml:space="preserve">Adhoc reports - HCC will respond to adhoc queries from the OPCC staff wherever possible within 5 working days, but there may be occasions when a response will be required by the OPCC the same day.  This should be confirmed by the relevant HCC staff at time of receipt of the enquiry. </w:t>
      </w:r>
    </w:p>
    <w:p w14:paraId="28723162" w14:textId="77777777" w:rsidR="005345BC" w:rsidRPr="008F479E" w:rsidRDefault="00F979FB">
      <w:pPr>
        <w:pStyle w:val="Heading1"/>
        <w:spacing w:after="102" w:line="259" w:lineRule="auto"/>
        <w:ind w:left="-5"/>
        <w:rPr>
          <w:color w:val="000000" w:themeColor="text1"/>
        </w:rPr>
      </w:pPr>
      <w:r w:rsidRPr="008F479E">
        <w:rPr>
          <w:color w:val="000000" w:themeColor="text1"/>
          <w:sz w:val="22"/>
        </w:rPr>
        <w:t>4</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Treasury Management Consultant</w:t>
      </w:r>
      <w:r w:rsidRPr="008F479E">
        <w:rPr>
          <w:b w:val="0"/>
          <w:color w:val="000000" w:themeColor="text1"/>
          <w:sz w:val="40"/>
        </w:rPr>
        <w:t xml:space="preserve"> </w:t>
      </w:r>
    </w:p>
    <w:p w14:paraId="3FDD3CD1" w14:textId="77777777" w:rsidR="005345BC" w:rsidRPr="008F479E" w:rsidRDefault="00F979FB">
      <w:pPr>
        <w:spacing w:after="7" w:line="258" w:lineRule="auto"/>
        <w:ind w:left="619" w:right="171" w:hanging="634"/>
        <w:rPr>
          <w:color w:val="000000" w:themeColor="text1"/>
        </w:rPr>
      </w:pPr>
      <w:r w:rsidRPr="008F479E">
        <w:rPr>
          <w:color w:val="000000" w:themeColor="text1"/>
          <w:sz w:val="22"/>
        </w:rPr>
        <w:t>4.1</w:t>
      </w:r>
      <w:r w:rsidRPr="008F479E">
        <w:rPr>
          <w:rFonts w:ascii="Times New Roman" w:eastAsia="Times New Roman" w:hAnsi="Times New Roman" w:cs="Times New Roman"/>
          <w:color w:val="000000" w:themeColor="text1"/>
          <w:sz w:val="13"/>
        </w:rPr>
        <w:t xml:space="preserve">         </w:t>
      </w:r>
      <w:r w:rsidRPr="008F479E">
        <w:rPr>
          <w:color w:val="000000" w:themeColor="text1"/>
        </w:rPr>
        <w:t>HCC contract with a third-party company (currently Arlingclose) for treasury management expertise and consultancy. Through HCC, the OPCC will be able to access the following services from the consultant:</w:t>
      </w:r>
      <w:r w:rsidRPr="008F479E">
        <w:rPr>
          <w:color w:val="000000" w:themeColor="text1"/>
          <w:sz w:val="32"/>
        </w:rPr>
        <w:t xml:space="preserve"> </w:t>
      </w:r>
    </w:p>
    <w:p w14:paraId="2572EAF4" w14:textId="77777777" w:rsidR="008E7AA3" w:rsidRPr="008F479E" w:rsidRDefault="00F979FB" w:rsidP="008E7AA3">
      <w:pPr>
        <w:pStyle w:val="ListParagraph"/>
        <w:numPr>
          <w:ilvl w:val="0"/>
          <w:numId w:val="12"/>
        </w:numPr>
        <w:ind w:right="272"/>
        <w:rPr>
          <w:color w:val="000000" w:themeColor="text1"/>
        </w:rPr>
      </w:pPr>
      <w:r w:rsidRPr="008F479E">
        <w:rPr>
          <w:color w:val="000000" w:themeColor="text1"/>
        </w:rPr>
        <w:t xml:space="preserve">quarterly investment benchmarking o attendance at the quarterly client meetings held virtually or in Winchester between the consultants and HCC’s Director of Corporate Operations </w:t>
      </w:r>
    </w:p>
    <w:p w14:paraId="44AC61FD" w14:textId="77777777" w:rsidR="005345BC" w:rsidRPr="008F479E" w:rsidRDefault="00F979FB" w:rsidP="008E7AA3">
      <w:pPr>
        <w:pStyle w:val="ListParagraph"/>
        <w:numPr>
          <w:ilvl w:val="0"/>
          <w:numId w:val="12"/>
        </w:numPr>
        <w:ind w:right="272"/>
        <w:rPr>
          <w:color w:val="000000" w:themeColor="text1"/>
        </w:rPr>
      </w:pPr>
      <w:r w:rsidRPr="008F479E">
        <w:rPr>
          <w:color w:val="000000" w:themeColor="text1"/>
        </w:rPr>
        <w:t xml:space="preserve">economic commentary and other financial sector information. </w:t>
      </w:r>
    </w:p>
    <w:p w14:paraId="24380E77" w14:textId="77777777" w:rsidR="005345BC" w:rsidRPr="008F479E" w:rsidRDefault="00F979FB">
      <w:pPr>
        <w:pStyle w:val="Heading1"/>
        <w:spacing w:after="162" w:line="259" w:lineRule="auto"/>
        <w:ind w:left="-5"/>
        <w:rPr>
          <w:color w:val="000000" w:themeColor="text1"/>
        </w:rPr>
      </w:pPr>
      <w:r w:rsidRPr="008F479E">
        <w:rPr>
          <w:color w:val="000000" w:themeColor="text1"/>
          <w:sz w:val="22"/>
        </w:rPr>
        <w:t>5</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The OPCC’s responsibilities</w:t>
      </w:r>
      <w:r w:rsidRPr="008F479E">
        <w:rPr>
          <w:b w:val="0"/>
          <w:color w:val="000000" w:themeColor="text1"/>
          <w:sz w:val="40"/>
        </w:rPr>
        <w:t xml:space="preserve"> </w:t>
      </w:r>
    </w:p>
    <w:p w14:paraId="158F9FC2" w14:textId="77777777" w:rsidR="005345BC" w:rsidRPr="008F479E" w:rsidRDefault="00F979FB">
      <w:pPr>
        <w:spacing w:after="7" w:line="258" w:lineRule="auto"/>
        <w:ind w:left="-15" w:right="171" w:firstLine="0"/>
        <w:rPr>
          <w:color w:val="000000" w:themeColor="text1"/>
        </w:rPr>
      </w:pPr>
      <w:r w:rsidRPr="008F479E">
        <w:rPr>
          <w:color w:val="000000" w:themeColor="text1"/>
          <w:sz w:val="22"/>
        </w:rPr>
        <w:t>5.1</w:t>
      </w:r>
      <w:r w:rsidRPr="008F479E">
        <w:rPr>
          <w:rFonts w:ascii="Times New Roman" w:eastAsia="Times New Roman" w:hAnsi="Times New Roman" w:cs="Times New Roman"/>
          <w:color w:val="000000" w:themeColor="text1"/>
          <w:sz w:val="13"/>
        </w:rPr>
        <w:t xml:space="preserve">         </w:t>
      </w:r>
      <w:r w:rsidRPr="008F479E">
        <w:rPr>
          <w:color w:val="000000" w:themeColor="text1"/>
        </w:rPr>
        <w:t>The OPCC shall provide the following:</w:t>
      </w:r>
      <w:r w:rsidRPr="008F479E">
        <w:rPr>
          <w:color w:val="000000" w:themeColor="text1"/>
          <w:sz w:val="32"/>
        </w:rPr>
        <w:t xml:space="preserve"> </w:t>
      </w:r>
    </w:p>
    <w:p w14:paraId="41F0959E" w14:textId="77777777" w:rsidR="005345BC" w:rsidRPr="008F479E" w:rsidRDefault="00F979FB">
      <w:pPr>
        <w:numPr>
          <w:ilvl w:val="0"/>
          <w:numId w:val="10"/>
        </w:numPr>
        <w:ind w:right="175" w:hanging="360"/>
        <w:rPr>
          <w:color w:val="000000" w:themeColor="text1"/>
        </w:rPr>
      </w:pPr>
      <w:r w:rsidRPr="008F479E">
        <w:rPr>
          <w:color w:val="000000" w:themeColor="text1"/>
        </w:rPr>
        <w:t xml:space="preserve">Strategy – the OPCC will agree the draft strategy reports produced by HCC, with changes made as necessary and present them to their senior officers and members for approval. The OPCC finance officers will contribute to treasury management reports drafted by HCC, including the producing of figures for some prudential indicators.  </w:t>
      </w:r>
    </w:p>
    <w:p w14:paraId="45A89475" w14:textId="77777777" w:rsidR="005345BC" w:rsidRPr="008F479E" w:rsidRDefault="00F979FB">
      <w:pPr>
        <w:numPr>
          <w:ilvl w:val="0"/>
          <w:numId w:val="10"/>
        </w:numPr>
        <w:ind w:right="175" w:hanging="360"/>
        <w:rPr>
          <w:color w:val="000000" w:themeColor="text1"/>
        </w:rPr>
      </w:pPr>
      <w:r w:rsidRPr="008F479E">
        <w:rPr>
          <w:color w:val="000000" w:themeColor="text1"/>
        </w:rPr>
        <w:t xml:space="preserve">Long-term borrowing – as part of agreeing the treasury management strategy (or at other points throughout the year as necessary) the OPCC will identify any changes required for its long-term borrowing (new borrowing, repayment or restructuring of borrowing) and the parameters within which changes will occur. </w:t>
      </w:r>
    </w:p>
    <w:p w14:paraId="6F541FF9" w14:textId="77777777" w:rsidR="005345BC" w:rsidRPr="008F479E" w:rsidRDefault="00F979FB">
      <w:pPr>
        <w:numPr>
          <w:ilvl w:val="0"/>
          <w:numId w:val="10"/>
        </w:numPr>
        <w:ind w:right="175" w:hanging="360"/>
        <w:rPr>
          <w:color w:val="000000" w:themeColor="text1"/>
        </w:rPr>
      </w:pPr>
      <w:r w:rsidRPr="008F479E">
        <w:rPr>
          <w:color w:val="000000" w:themeColor="text1"/>
        </w:rPr>
        <w:t xml:space="preserve">Cashflow forecast – the OPCC will provide their best estimate of a future cashflow forecast and provide timely updates if there are significant changes. </w:t>
      </w:r>
    </w:p>
    <w:p w14:paraId="095B7AA3" w14:textId="77777777" w:rsidR="005345BC" w:rsidRPr="008F479E" w:rsidRDefault="00F979FB">
      <w:pPr>
        <w:numPr>
          <w:ilvl w:val="0"/>
          <w:numId w:val="10"/>
        </w:numPr>
        <w:ind w:right="175" w:hanging="360"/>
        <w:rPr>
          <w:color w:val="000000" w:themeColor="text1"/>
        </w:rPr>
      </w:pPr>
      <w:r w:rsidRPr="008F479E">
        <w:rPr>
          <w:color w:val="000000" w:themeColor="text1"/>
        </w:rPr>
        <w:t xml:space="preserve">Payments - the OPCC will provide HCC with details of the total value of all BACS payments, including those relating to payroll and pensions transactions on the day the BACS file is submitted for processing. </w:t>
      </w:r>
    </w:p>
    <w:p w14:paraId="157C7757" w14:textId="77777777" w:rsidR="005345BC" w:rsidRPr="008F479E" w:rsidRDefault="00F979FB">
      <w:pPr>
        <w:numPr>
          <w:ilvl w:val="0"/>
          <w:numId w:val="10"/>
        </w:numPr>
        <w:ind w:right="175" w:hanging="360"/>
        <w:rPr>
          <w:color w:val="000000" w:themeColor="text1"/>
        </w:rPr>
      </w:pPr>
      <w:r w:rsidRPr="008F479E">
        <w:rPr>
          <w:color w:val="000000" w:themeColor="text1"/>
        </w:rPr>
        <w:t xml:space="preserve">Income - the OPCC will provide HCC with details of the expected grant and tax income at the beginning of each month. </w:t>
      </w:r>
    </w:p>
    <w:p w14:paraId="62FAF9F4" w14:textId="77777777" w:rsidR="005345BC" w:rsidRPr="008F479E" w:rsidRDefault="00F979FB">
      <w:pPr>
        <w:numPr>
          <w:ilvl w:val="0"/>
          <w:numId w:val="10"/>
        </w:numPr>
        <w:ind w:right="175" w:hanging="360"/>
        <w:rPr>
          <w:color w:val="000000" w:themeColor="text1"/>
        </w:rPr>
      </w:pPr>
      <w:r w:rsidRPr="008F479E">
        <w:rPr>
          <w:color w:val="000000" w:themeColor="text1"/>
        </w:rPr>
        <w:t xml:space="preserve">CHAPS - the OPCC will advise HCC of the value of any CHAPS payments by 5pm on the day prior to settlement. If an urgent unforeseen payment is to be made then the OPCC should inform HCC to check if there are any treasury management implications. </w:t>
      </w:r>
    </w:p>
    <w:p w14:paraId="5153EC11" w14:textId="77777777" w:rsidR="005345BC" w:rsidRPr="008F479E" w:rsidRDefault="00F979FB">
      <w:pPr>
        <w:numPr>
          <w:ilvl w:val="0"/>
          <w:numId w:val="10"/>
        </w:numPr>
        <w:spacing w:after="373"/>
        <w:ind w:right="175" w:hanging="360"/>
        <w:rPr>
          <w:color w:val="000000" w:themeColor="text1"/>
        </w:rPr>
      </w:pPr>
      <w:r w:rsidRPr="008F479E">
        <w:rPr>
          <w:color w:val="000000" w:themeColor="text1"/>
        </w:rPr>
        <w:t xml:space="preserve">Access to bank accounts – the OPCC will manage and maintain a contract for banking services and escalate any issues that HCC staff pass on as appropriate. the OPCC authorise agreed HCC officers to access the Authority’s bank account information, to make payments on its behalf using the agreed online system and access and maintain investment accounts.  </w:t>
      </w:r>
    </w:p>
    <w:p w14:paraId="1B942DA2" w14:textId="77777777" w:rsidR="005345BC" w:rsidRPr="008F479E" w:rsidRDefault="00F979FB">
      <w:pPr>
        <w:numPr>
          <w:ilvl w:val="0"/>
          <w:numId w:val="11"/>
        </w:numPr>
        <w:spacing w:after="101" w:line="259" w:lineRule="auto"/>
        <w:ind w:hanging="581"/>
        <w:rPr>
          <w:color w:val="000000" w:themeColor="text1"/>
        </w:rPr>
      </w:pPr>
      <w:r w:rsidRPr="008F479E">
        <w:rPr>
          <w:b/>
          <w:color w:val="000000" w:themeColor="text1"/>
        </w:rPr>
        <w:t>Basis of Charges</w:t>
      </w:r>
      <w:r w:rsidRPr="008F479E">
        <w:rPr>
          <w:color w:val="000000" w:themeColor="text1"/>
          <w:sz w:val="40"/>
        </w:rPr>
        <w:t xml:space="preserve"> </w:t>
      </w:r>
      <w:r w:rsidRPr="008F479E">
        <w:rPr>
          <w:b/>
          <w:color w:val="000000" w:themeColor="text1"/>
        </w:rPr>
        <w:t xml:space="preserve"> </w:t>
      </w:r>
    </w:p>
    <w:p w14:paraId="1EA75115" w14:textId="77777777" w:rsidR="005345BC" w:rsidRPr="008F479E" w:rsidRDefault="00F979FB">
      <w:pPr>
        <w:numPr>
          <w:ilvl w:val="1"/>
          <w:numId w:val="11"/>
        </w:numPr>
        <w:spacing w:after="7" w:line="258" w:lineRule="auto"/>
        <w:ind w:right="171" w:hanging="600"/>
        <w:rPr>
          <w:color w:val="000000" w:themeColor="text1"/>
        </w:rPr>
      </w:pPr>
      <w:r w:rsidRPr="008F479E">
        <w:rPr>
          <w:color w:val="000000" w:themeColor="text1"/>
        </w:rPr>
        <w:t>Charges are based on a fixed annual fee for the period 01 April to 31 March and are comprised of the HCC Treasury Management charge and the charge for the Treasury Advisor. HCC Treasury Management charges for each year are as follows below, all charges are subject to VAT.</w:t>
      </w:r>
      <w:r w:rsidRPr="008F479E">
        <w:rPr>
          <w:color w:val="000000" w:themeColor="text1"/>
          <w:sz w:val="32"/>
        </w:rPr>
        <w:t xml:space="preserve"> </w:t>
      </w:r>
    </w:p>
    <w:p w14:paraId="13DE5312" w14:textId="77777777" w:rsidR="005345BC" w:rsidRPr="008F479E" w:rsidRDefault="00F979FB">
      <w:pPr>
        <w:spacing w:after="50" w:line="259" w:lineRule="auto"/>
        <w:ind w:left="0" w:firstLine="0"/>
        <w:rPr>
          <w:color w:val="000000" w:themeColor="text1"/>
        </w:rPr>
      </w:pPr>
      <w:r w:rsidRPr="008F479E">
        <w:rPr>
          <w:color w:val="000000" w:themeColor="text1"/>
        </w:rPr>
        <w:t xml:space="preserve">  </w:t>
      </w:r>
    </w:p>
    <w:p w14:paraId="5325951B" w14:textId="77777777" w:rsidR="005345BC" w:rsidRPr="008F479E" w:rsidRDefault="00F979FB">
      <w:pPr>
        <w:spacing w:after="0" w:line="259" w:lineRule="auto"/>
        <w:ind w:left="1279" w:firstLine="0"/>
        <w:rPr>
          <w:color w:val="000000" w:themeColor="text1"/>
        </w:rPr>
      </w:pPr>
      <w:r w:rsidRPr="008F479E">
        <w:rPr>
          <w:color w:val="000000" w:themeColor="text1"/>
        </w:rPr>
        <w:t xml:space="preserve"> </w:t>
      </w:r>
    </w:p>
    <w:p w14:paraId="63D61628" w14:textId="77777777" w:rsidR="005345BC" w:rsidRPr="008F479E" w:rsidRDefault="00F979FB">
      <w:pPr>
        <w:spacing w:after="114" w:line="259" w:lineRule="auto"/>
        <w:ind w:left="557" w:hanging="10"/>
        <w:jc w:val="center"/>
        <w:rPr>
          <w:color w:val="000000" w:themeColor="text1"/>
        </w:rPr>
      </w:pPr>
      <w:r w:rsidRPr="008F479E">
        <w:rPr>
          <w:color w:val="000000" w:themeColor="text1"/>
        </w:rPr>
        <w:t xml:space="preserve">HCC Treasury Management </w:t>
      </w:r>
    </w:p>
    <w:p w14:paraId="271CE535" w14:textId="77777777" w:rsidR="005345BC" w:rsidRPr="008F479E" w:rsidRDefault="00F979FB">
      <w:pPr>
        <w:tabs>
          <w:tab w:val="center" w:pos="1714"/>
          <w:tab w:val="center" w:pos="3975"/>
        </w:tabs>
        <w:spacing w:after="69"/>
        <w:ind w:left="0" w:firstLine="0"/>
        <w:rPr>
          <w:color w:val="000000" w:themeColor="text1"/>
        </w:rPr>
      </w:pPr>
      <w:r w:rsidRPr="008F479E">
        <w:rPr>
          <w:rFonts w:ascii="Calibri" w:eastAsia="Calibri" w:hAnsi="Calibri" w:cs="Calibri"/>
          <w:color w:val="000000" w:themeColor="text1"/>
          <w:sz w:val="22"/>
        </w:rPr>
        <w:tab/>
      </w:r>
      <w:r w:rsidRPr="008F479E">
        <w:rPr>
          <w:color w:val="000000" w:themeColor="text1"/>
        </w:rPr>
        <w:t xml:space="preserve">2024/25 </w:t>
      </w:r>
      <w:r w:rsidRPr="008F479E">
        <w:rPr>
          <w:color w:val="000000" w:themeColor="text1"/>
        </w:rPr>
        <w:tab/>
        <w:t xml:space="preserve">£18,000 </w:t>
      </w:r>
    </w:p>
    <w:p w14:paraId="1A91F294" w14:textId="77777777" w:rsidR="005345BC" w:rsidRPr="008F479E" w:rsidRDefault="00F979FB">
      <w:pPr>
        <w:tabs>
          <w:tab w:val="center" w:pos="1714"/>
          <w:tab w:val="center" w:pos="3975"/>
        </w:tabs>
        <w:spacing w:after="71"/>
        <w:ind w:left="0" w:firstLine="0"/>
        <w:rPr>
          <w:color w:val="000000" w:themeColor="text1"/>
        </w:rPr>
      </w:pPr>
      <w:r w:rsidRPr="008F479E">
        <w:rPr>
          <w:rFonts w:ascii="Calibri" w:eastAsia="Calibri" w:hAnsi="Calibri" w:cs="Calibri"/>
          <w:color w:val="000000" w:themeColor="text1"/>
          <w:sz w:val="22"/>
        </w:rPr>
        <w:tab/>
      </w:r>
      <w:r w:rsidRPr="008F479E">
        <w:rPr>
          <w:color w:val="000000" w:themeColor="text1"/>
        </w:rPr>
        <w:t xml:space="preserve">2025/26 </w:t>
      </w:r>
      <w:r w:rsidRPr="008F479E">
        <w:rPr>
          <w:color w:val="000000" w:themeColor="text1"/>
        </w:rPr>
        <w:tab/>
        <w:t xml:space="preserve">£25,000 </w:t>
      </w:r>
    </w:p>
    <w:p w14:paraId="6C13E6D0" w14:textId="77777777" w:rsidR="005345BC" w:rsidRPr="008F479E" w:rsidRDefault="00F979FB">
      <w:pPr>
        <w:tabs>
          <w:tab w:val="center" w:pos="1714"/>
          <w:tab w:val="center" w:pos="3975"/>
        </w:tabs>
        <w:spacing w:after="69"/>
        <w:ind w:left="0" w:firstLine="0"/>
        <w:rPr>
          <w:color w:val="000000" w:themeColor="text1"/>
        </w:rPr>
      </w:pPr>
      <w:r w:rsidRPr="008F479E">
        <w:rPr>
          <w:rFonts w:ascii="Calibri" w:eastAsia="Calibri" w:hAnsi="Calibri" w:cs="Calibri"/>
          <w:color w:val="000000" w:themeColor="text1"/>
          <w:sz w:val="22"/>
        </w:rPr>
        <w:tab/>
      </w:r>
      <w:r w:rsidRPr="008F479E">
        <w:rPr>
          <w:color w:val="000000" w:themeColor="text1"/>
        </w:rPr>
        <w:t xml:space="preserve">2026/27 </w:t>
      </w:r>
      <w:r w:rsidRPr="008F479E">
        <w:rPr>
          <w:color w:val="000000" w:themeColor="text1"/>
        </w:rPr>
        <w:tab/>
        <w:t xml:space="preserve">£31,000 </w:t>
      </w:r>
    </w:p>
    <w:p w14:paraId="528AAB9A" w14:textId="77777777" w:rsidR="005345BC" w:rsidRPr="008F479E" w:rsidRDefault="00F979FB">
      <w:pPr>
        <w:tabs>
          <w:tab w:val="center" w:pos="2201"/>
          <w:tab w:val="center" w:pos="5179"/>
        </w:tabs>
        <w:spacing w:after="38"/>
        <w:ind w:left="0" w:firstLine="0"/>
        <w:rPr>
          <w:color w:val="000000" w:themeColor="text1"/>
        </w:rPr>
      </w:pPr>
      <w:r w:rsidRPr="008F479E">
        <w:rPr>
          <w:rFonts w:ascii="Calibri" w:eastAsia="Calibri" w:hAnsi="Calibri" w:cs="Calibri"/>
          <w:color w:val="000000" w:themeColor="text1"/>
          <w:sz w:val="22"/>
        </w:rPr>
        <w:tab/>
      </w:r>
      <w:r w:rsidRPr="008F479E">
        <w:rPr>
          <w:color w:val="000000" w:themeColor="text1"/>
        </w:rPr>
        <w:t xml:space="preserve">2027/28 onwards </w:t>
      </w:r>
      <w:r w:rsidRPr="008F479E">
        <w:rPr>
          <w:color w:val="000000" w:themeColor="text1"/>
        </w:rPr>
        <w:tab/>
        <w:t xml:space="preserve">£31,000 + inflationary increase </w:t>
      </w:r>
    </w:p>
    <w:p w14:paraId="2CE61E78" w14:textId="77777777" w:rsidR="005345BC" w:rsidRPr="008F479E" w:rsidRDefault="00F979FB">
      <w:pPr>
        <w:spacing w:after="21" w:line="259" w:lineRule="auto"/>
        <w:ind w:left="0" w:firstLine="0"/>
        <w:rPr>
          <w:color w:val="000000" w:themeColor="text1"/>
        </w:rPr>
      </w:pPr>
      <w:r w:rsidRPr="008F479E">
        <w:rPr>
          <w:color w:val="000000" w:themeColor="text1"/>
        </w:rPr>
        <w:t xml:space="preserve">  </w:t>
      </w:r>
    </w:p>
    <w:p w14:paraId="132BAE2C" w14:textId="77777777" w:rsidR="005345BC" w:rsidRPr="008F479E" w:rsidRDefault="00F979FB">
      <w:pPr>
        <w:ind w:left="624" w:right="175" w:firstLine="0"/>
        <w:rPr>
          <w:color w:val="000000" w:themeColor="text1"/>
        </w:rPr>
      </w:pPr>
      <w:r w:rsidRPr="008F479E">
        <w:rPr>
          <w:color w:val="000000" w:themeColor="text1"/>
        </w:rPr>
        <w:t xml:space="preserve">The charges for the Treasury Management advisor for 2024/25 onwards will be subject to the new contract.  </w:t>
      </w:r>
      <w:r w:rsidRPr="008F479E">
        <w:rPr>
          <w:color w:val="000000" w:themeColor="text1"/>
        </w:rPr>
        <w:tab/>
        <w:t xml:space="preserve"> </w:t>
      </w:r>
      <w:r w:rsidRPr="008F479E">
        <w:rPr>
          <w:color w:val="000000" w:themeColor="text1"/>
        </w:rPr>
        <w:tab/>
        <w:t xml:space="preserve"> </w:t>
      </w:r>
      <w:r w:rsidRPr="008F479E">
        <w:rPr>
          <w:color w:val="000000" w:themeColor="text1"/>
        </w:rPr>
        <w:tab/>
        <w:t xml:space="preserve"> </w:t>
      </w:r>
      <w:r w:rsidRPr="008F479E">
        <w:rPr>
          <w:color w:val="000000" w:themeColor="text1"/>
        </w:rPr>
        <w:tab/>
        <w:t xml:space="preserve"> </w:t>
      </w:r>
      <w:r w:rsidRPr="008F479E">
        <w:rPr>
          <w:color w:val="000000" w:themeColor="text1"/>
        </w:rPr>
        <w:tab/>
        <w:t xml:space="preserve"> </w:t>
      </w:r>
    </w:p>
    <w:p w14:paraId="0DC599E4" w14:textId="77777777" w:rsidR="005345BC" w:rsidRPr="008F479E" w:rsidRDefault="00F979FB">
      <w:pPr>
        <w:numPr>
          <w:ilvl w:val="1"/>
          <w:numId w:val="11"/>
        </w:numPr>
        <w:spacing w:after="181" w:line="258" w:lineRule="auto"/>
        <w:ind w:right="171" w:hanging="600"/>
        <w:rPr>
          <w:color w:val="000000" w:themeColor="text1"/>
        </w:rPr>
      </w:pPr>
      <w:r w:rsidRPr="008F479E">
        <w:rPr>
          <w:color w:val="000000" w:themeColor="text1"/>
        </w:rPr>
        <w:t xml:space="preserve">The charge for HCC Treasury Management will be uplifted and an inflationary increase will apply as shown in the table above based on the agreed Local Government pay award for that year. The uplift will apply from the 1 April each year. </w:t>
      </w:r>
      <w:r w:rsidRPr="008F479E">
        <w:rPr>
          <w:color w:val="000000" w:themeColor="text1"/>
          <w:sz w:val="32"/>
        </w:rPr>
        <w:t xml:space="preserve"> </w:t>
      </w:r>
    </w:p>
    <w:p w14:paraId="70AD7360" w14:textId="77777777" w:rsidR="005345BC" w:rsidRPr="008F479E" w:rsidRDefault="00F979FB">
      <w:pPr>
        <w:numPr>
          <w:ilvl w:val="1"/>
          <w:numId w:val="11"/>
        </w:numPr>
        <w:spacing w:after="193" w:line="258" w:lineRule="auto"/>
        <w:ind w:right="171" w:hanging="600"/>
        <w:rPr>
          <w:color w:val="000000" w:themeColor="text1"/>
        </w:rPr>
      </w:pPr>
      <w:r w:rsidRPr="008F479E">
        <w:rPr>
          <w:color w:val="000000" w:themeColor="text1"/>
        </w:rPr>
        <w:t>Additional services not included in the contract will be charged by agreement between HCC and the OPCC.</w:t>
      </w:r>
      <w:r w:rsidRPr="008F479E">
        <w:rPr>
          <w:color w:val="000000" w:themeColor="text1"/>
          <w:sz w:val="32"/>
        </w:rPr>
        <w:t xml:space="preserve"> </w:t>
      </w:r>
    </w:p>
    <w:p w14:paraId="493028E1" w14:textId="77777777" w:rsidR="005345BC" w:rsidRPr="008F479E" w:rsidRDefault="00F979FB">
      <w:pPr>
        <w:numPr>
          <w:ilvl w:val="1"/>
          <w:numId w:val="11"/>
        </w:numPr>
        <w:spacing w:after="304" w:line="258" w:lineRule="auto"/>
        <w:ind w:right="171" w:hanging="600"/>
        <w:rPr>
          <w:color w:val="000000" w:themeColor="text1"/>
        </w:rPr>
      </w:pPr>
      <w:r w:rsidRPr="008F479E">
        <w:rPr>
          <w:color w:val="000000" w:themeColor="text1"/>
        </w:rPr>
        <w:t>The service will be invoiced annually in advance in April each year, following the agreement of that year’s Local Government pay award, for payment within 30 days.</w:t>
      </w:r>
      <w:r w:rsidRPr="008F479E">
        <w:rPr>
          <w:color w:val="000000" w:themeColor="text1"/>
          <w:sz w:val="32"/>
        </w:rPr>
        <w:t xml:space="preserve"> </w:t>
      </w:r>
    </w:p>
    <w:p w14:paraId="579D1515" w14:textId="77777777" w:rsidR="005345BC" w:rsidRPr="008F479E" w:rsidRDefault="00F979FB">
      <w:pPr>
        <w:pStyle w:val="Heading1"/>
        <w:spacing w:after="102" w:line="259" w:lineRule="auto"/>
        <w:ind w:left="-5"/>
        <w:rPr>
          <w:color w:val="000000" w:themeColor="text1"/>
        </w:rPr>
      </w:pPr>
      <w:r w:rsidRPr="008F479E">
        <w:rPr>
          <w:color w:val="000000" w:themeColor="text1"/>
          <w:sz w:val="22"/>
        </w:rPr>
        <w:t>7</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Quality Assurance Arrangements</w:t>
      </w:r>
      <w:r w:rsidRPr="008F479E">
        <w:rPr>
          <w:b w:val="0"/>
          <w:color w:val="000000" w:themeColor="text1"/>
          <w:sz w:val="40"/>
        </w:rPr>
        <w:t xml:space="preserve"> </w:t>
      </w:r>
    </w:p>
    <w:p w14:paraId="403E9C33" w14:textId="77777777" w:rsidR="005345BC" w:rsidRPr="008F479E" w:rsidRDefault="00F979FB">
      <w:pPr>
        <w:spacing w:after="179" w:line="258" w:lineRule="auto"/>
        <w:ind w:left="619" w:right="171" w:hanging="634"/>
        <w:rPr>
          <w:color w:val="000000" w:themeColor="text1"/>
        </w:rPr>
      </w:pPr>
      <w:r w:rsidRPr="008F479E">
        <w:rPr>
          <w:color w:val="000000" w:themeColor="text1"/>
          <w:sz w:val="22"/>
        </w:rPr>
        <w:t>7.1</w:t>
      </w:r>
      <w:r w:rsidRPr="008F479E">
        <w:rPr>
          <w:rFonts w:ascii="Times New Roman" w:eastAsia="Times New Roman" w:hAnsi="Times New Roman" w:cs="Times New Roman"/>
          <w:color w:val="000000" w:themeColor="text1"/>
          <w:sz w:val="13"/>
        </w:rPr>
        <w:t xml:space="preserve">         </w:t>
      </w:r>
      <w:r w:rsidRPr="008F479E">
        <w:rPr>
          <w:color w:val="000000" w:themeColor="text1"/>
        </w:rPr>
        <w:t>Meetings - HCC Investments &amp; Borrowing team will arrange at least quarterly meetings with the CFO and/or their teams to review the implementation of the treasury strategy, changes for future year’s strategies and delivery of the treasury strategy.</w:t>
      </w:r>
      <w:r w:rsidRPr="008F479E">
        <w:rPr>
          <w:color w:val="000000" w:themeColor="text1"/>
          <w:sz w:val="32"/>
        </w:rPr>
        <w:t xml:space="preserve"> </w:t>
      </w:r>
    </w:p>
    <w:p w14:paraId="3CFB14A3" w14:textId="77777777" w:rsidR="005345BC" w:rsidRPr="008F479E" w:rsidRDefault="00F979FB">
      <w:pPr>
        <w:spacing w:after="179" w:line="258" w:lineRule="auto"/>
        <w:ind w:left="619" w:right="171" w:hanging="634"/>
        <w:rPr>
          <w:color w:val="000000" w:themeColor="text1"/>
        </w:rPr>
      </w:pPr>
      <w:r w:rsidRPr="008F479E">
        <w:rPr>
          <w:color w:val="000000" w:themeColor="text1"/>
          <w:sz w:val="22"/>
        </w:rPr>
        <w:t>7.2</w:t>
      </w:r>
      <w:r w:rsidRPr="008F479E">
        <w:rPr>
          <w:rFonts w:ascii="Times New Roman" w:eastAsia="Times New Roman" w:hAnsi="Times New Roman" w:cs="Times New Roman"/>
          <w:color w:val="000000" w:themeColor="text1"/>
          <w:sz w:val="13"/>
        </w:rPr>
        <w:t xml:space="preserve">         </w:t>
      </w:r>
      <w:r w:rsidRPr="008F479E">
        <w:rPr>
          <w:color w:val="000000" w:themeColor="text1"/>
        </w:rPr>
        <w:t>Compliance - at all times, there must be full compliance with the the OPCC’s Investment strategy which is in line with the CIPFA Code of Practice on Treasury Management. This includes full compliance with the criteria for selecting investment counterparties as defined in the Treasury Management Strategy.</w:t>
      </w:r>
      <w:r w:rsidRPr="008F479E">
        <w:rPr>
          <w:color w:val="000000" w:themeColor="text1"/>
          <w:sz w:val="32"/>
        </w:rPr>
        <w:t xml:space="preserve"> </w:t>
      </w:r>
    </w:p>
    <w:p w14:paraId="07538F54" w14:textId="77777777" w:rsidR="005345BC" w:rsidRPr="008F479E" w:rsidRDefault="00F979FB">
      <w:pPr>
        <w:spacing w:after="314" w:line="258" w:lineRule="auto"/>
        <w:ind w:left="619" w:right="171" w:hanging="634"/>
        <w:rPr>
          <w:color w:val="000000" w:themeColor="text1"/>
        </w:rPr>
      </w:pPr>
      <w:r w:rsidRPr="008F479E">
        <w:rPr>
          <w:color w:val="000000" w:themeColor="text1"/>
          <w:sz w:val="22"/>
        </w:rPr>
        <w:t>7.3</w:t>
      </w:r>
      <w:r w:rsidRPr="008F479E">
        <w:rPr>
          <w:rFonts w:ascii="Times New Roman" w:eastAsia="Times New Roman" w:hAnsi="Times New Roman" w:cs="Times New Roman"/>
          <w:color w:val="000000" w:themeColor="text1"/>
          <w:sz w:val="13"/>
        </w:rPr>
        <w:t xml:space="preserve">         </w:t>
      </w:r>
      <w:r w:rsidRPr="008F479E">
        <w:rPr>
          <w:color w:val="000000" w:themeColor="text1"/>
        </w:rPr>
        <w:t xml:space="preserve">Internal Audit – Reports and information from HCC’s Internal Auditors will be made available to THE OPCC upon request. </w:t>
      </w:r>
      <w:r w:rsidRPr="008F479E">
        <w:rPr>
          <w:color w:val="000000" w:themeColor="text1"/>
          <w:sz w:val="32"/>
        </w:rPr>
        <w:t xml:space="preserve"> </w:t>
      </w:r>
    </w:p>
    <w:p w14:paraId="2BAE4263" w14:textId="77777777" w:rsidR="005345BC" w:rsidRPr="008F479E" w:rsidRDefault="00F979FB">
      <w:pPr>
        <w:pStyle w:val="Heading1"/>
        <w:spacing w:after="102" w:line="259" w:lineRule="auto"/>
        <w:ind w:left="-5"/>
        <w:rPr>
          <w:color w:val="000000" w:themeColor="text1"/>
        </w:rPr>
      </w:pPr>
      <w:r w:rsidRPr="008F479E">
        <w:rPr>
          <w:color w:val="000000" w:themeColor="text1"/>
          <w:sz w:val="22"/>
        </w:rPr>
        <w:t>8</w:t>
      </w:r>
      <w:r w:rsidRPr="008F479E">
        <w:rPr>
          <w:rFonts w:ascii="Times New Roman" w:eastAsia="Times New Roman" w:hAnsi="Times New Roman" w:cs="Times New Roman"/>
          <w:b w:val="0"/>
          <w:color w:val="000000" w:themeColor="text1"/>
          <w:sz w:val="13"/>
        </w:rPr>
        <w:t xml:space="preserve">              </w:t>
      </w:r>
      <w:r w:rsidRPr="008F479E">
        <w:rPr>
          <w:color w:val="000000" w:themeColor="text1"/>
          <w:sz w:val="37"/>
          <w:vertAlign w:val="superscript"/>
        </w:rPr>
        <w:t>Duration and Termination</w:t>
      </w:r>
      <w:r w:rsidRPr="008F479E">
        <w:rPr>
          <w:b w:val="0"/>
          <w:color w:val="000000" w:themeColor="text1"/>
          <w:sz w:val="40"/>
        </w:rPr>
        <w:t xml:space="preserve"> </w:t>
      </w:r>
    </w:p>
    <w:p w14:paraId="5735A4A2" w14:textId="77777777" w:rsidR="005345BC" w:rsidRPr="008F479E" w:rsidRDefault="00F979FB">
      <w:pPr>
        <w:spacing w:after="0" w:line="264" w:lineRule="auto"/>
        <w:ind w:left="624" w:right="264" w:hanging="624"/>
        <w:jc w:val="both"/>
        <w:rPr>
          <w:color w:val="000000" w:themeColor="text1"/>
        </w:rPr>
      </w:pPr>
      <w:r w:rsidRPr="008F479E">
        <w:rPr>
          <w:color w:val="000000" w:themeColor="text1"/>
          <w:sz w:val="22"/>
        </w:rPr>
        <w:t>8.1</w:t>
      </w:r>
      <w:r w:rsidRPr="008F479E">
        <w:rPr>
          <w:rFonts w:ascii="Times New Roman" w:eastAsia="Times New Roman" w:hAnsi="Times New Roman" w:cs="Times New Roman"/>
          <w:color w:val="000000" w:themeColor="text1"/>
          <w:sz w:val="13"/>
        </w:rPr>
        <w:t xml:space="preserve">         </w:t>
      </w:r>
      <w:r w:rsidRPr="008F479E">
        <w:rPr>
          <w:color w:val="000000" w:themeColor="text1"/>
        </w:rPr>
        <w:t>The terms of this agreement will be fixed until 31 March 2029 after which time either party can cancel this agreement by giving the other party 12 months’ notice in writing.</w:t>
      </w:r>
      <w:r w:rsidRPr="008F479E">
        <w:rPr>
          <w:b/>
          <w:i/>
          <w:color w:val="000000" w:themeColor="text1"/>
        </w:rPr>
        <w:t xml:space="preserve"> </w:t>
      </w:r>
      <w:r w:rsidRPr="008F479E">
        <w:rPr>
          <w:color w:val="000000" w:themeColor="text1"/>
          <w:sz w:val="32"/>
        </w:rPr>
        <w:t xml:space="preserve">  </w:t>
      </w:r>
    </w:p>
    <w:p w14:paraId="3FF9BE6E" w14:textId="77777777" w:rsidR="005345BC" w:rsidRPr="008F479E" w:rsidRDefault="00F979FB">
      <w:pPr>
        <w:spacing w:after="84" w:line="259" w:lineRule="auto"/>
        <w:ind w:left="624" w:firstLine="0"/>
        <w:rPr>
          <w:color w:val="000000" w:themeColor="text1"/>
        </w:rPr>
      </w:pPr>
      <w:r w:rsidRPr="008F479E">
        <w:rPr>
          <w:b/>
          <w:i/>
          <w:color w:val="000000" w:themeColor="text1"/>
        </w:rPr>
        <w:t xml:space="preserve"> </w:t>
      </w:r>
    </w:p>
    <w:p w14:paraId="6B0B6B28" w14:textId="77777777" w:rsidR="005345BC" w:rsidRPr="008F479E" w:rsidRDefault="00F979FB">
      <w:pPr>
        <w:spacing w:after="24"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301ADEA2" w14:textId="77777777" w:rsidR="005345BC" w:rsidRPr="008F479E" w:rsidRDefault="00F979FB">
      <w:pPr>
        <w:pStyle w:val="Heading2"/>
        <w:spacing w:after="13"/>
        <w:rPr>
          <w:color w:val="000000" w:themeColor="text1"/>
        </w:rPr>
      </w:pPr>
      <w:r w:rsidRPr="008F479E">
        <w:rPr>
          <w:color w:val="000000" w:themeColor="text1"/>
        </w:rPr>
        <w:t>Signed on behalf of Hampshire County Council</w:t>
      </w:r>
      <w:r w:rsidRPr="008F479E">
        <w:rPr>
          <w:b w:val="0"/>
          <w:color w:val="000000" w:themeColor="text1"/>
        </w:rPr>
        <w:t xml:space="preserve"> </w:t>
      </w:r>
    </w:p>
    <w:p w14:paraId="11DBC57F" w14:textId="77777777" w:rsidR="005345BC" w:rsidRPr="008F479E" w:rsidRDefault="00F979FB">
      <w:pPr>
        <w:spacing w:after="21"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3734480B" w14:textId="77777777" w:rsidR="005345BC" w:rsidRPr="008F479E" w:rsidRDefault="00F979FB">
      <w:pPr>
        <w:spacing w:after="24"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6BBC9C98" w14:textId="77777777" w:rsidR="005345BC" w:rsidRPr="008F479E" w:rsidRDefault="00F979FB">
      <w:pPr>
        <w:spacing w:after="13" w:line="270" w:lineRule="auto"/>
        <w:ind w:left="10" w:hanging="10"/>
        <w:rPr>
          <w:color w:val="000000" w:themeColor="text1"/>
        </w:rPr>
      </w:pPr>
      <w:r w:rsidRPr="008F479E">
        <w:rPr>
          <w:b/>
          <w:color w:val="000000" w:themeColor="text1"/>
        </w:rPr>
        <w:t xml:space="preserve">……………………………………………………..                       </w:t>
      </w:r>
      <w:r w:rsidRPr="008F479E">
        <w:rPr>
          <w:color w:val="000000" w:themeColor="text1"/>
        </w:rPr>
        <w:t xml:space="preserve"> </w:t>
      </w:r>
    </w:p>
    <w:p w14:paraId="3DD061D0" w14:textId="77777777" w:rsidR="005345BC" w:rsidRPr="008F479E" w:rsidRDefault="00F979FB">
      <w:pPr>
        <w:spacing w:after="42"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7E45464B" w14:textId="77777777" w:rsidR="005345BC" w:rsidRPr="008F479E" w:rsidRDefault="00F979FB">
      <w:pPr>
        <w:tabs>
          <w:tab w:val="center" w:pos="6927"/>
        </w:tabs>
        <w:spacing w:after="20" w:line="270" w:lineRule="auto"/>
        <w:ind w:left="0" w:firstLine="0"/>
        <w:rPr>
          <w:color w:val="000000" w:themeColor="text1"/>
        </w:rPr>
      </w:pPr>
      <w:r w:rsidRPr="008F479E">
        <w:rPr>
          <w:b/>
          <w:color w:val="000000" w:themeColor="text1"/>
        </w:rPr>
        <w:t>Position ………………………………………….</w:t>
      </w:r>
      <w:r w:rsidRPr="008F479E">
        <w:rPr>
          <w:color w:val="000000" w:themeColor="text1"/>
        </w:rPr>
        <w:t xml:space="preserve">  </w:t>
      </w:r>
      <w:r w:rsidRPr="008F479E">
        <w:rPr>
          <w:color w:val="000000" w:themeColor="text1"/>
        </w:rPr>
        <w:tab/>
      </w:r>
      <w:r w:rsidRPr="008F479E">
        <w:rPr>
          <w:b/>
          <w:color w:val="000000" w:themeColor="text1"/>
        </w:rPr>
        <w:t>Date ………………….</w:t>
      </w:r>
      <w:r w:rsidRPr="008F479E">
        <w:rPr>
          <w:color w:val="000000" w:themeColor="text1"/>
        </w:rPr>
        <w:t xml:space="preserve"> </w:t>
      </w:r>
    </w:p>
    <w:p w14:paraId="42A6B45D" w14:textId="77777777" w:rsidR="005345BC" w:rsidRPr="008F479E" w:rsidRDefault="00F979FB">
      <w:pPr>
        <w:spacing w:after="0"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10623D36" w14:textId="77777777" w:rsidR="005345BC" w:rsidRPr="008F479E" w:rsidRDefault="00F979FB">
      <w:pPr>
        <w:pStyle w:val="Heading2"/>
        <w:spacing w:after="9"/>
        <w:rPr>
          <w:color w:val="000000" w:themeColor="text1"/>
        </w:rPr>
      </w:pPr>
      <w:r w:rsidRPr="008F479E">
        <w:rPr>
          <w:color w:val="000000" w:themeColor="text1"/>
        </w:rPr>
        <w:t>Signed on behalf of Police and Crime Commissioner for Hampshire &amp; the Isle of Wight</w:t>
      </w:r>
      <w:r w:rsidRPr="008F479E">
        <w:rPr>
          <w:b w:val="0"/>
          <w:color w:val="000000" w:themeColor="text1"/>
        </w:rPr>
        <w:t xml:space="preserve"> </w:t>
      </w:r>
    </w:p>
    <w:p w14:paraId="23D309E6" w14:textId="77777777" w:rsidR="005345BC" w:rsidRPr="008F479E" w:rsidRDefault="00F979FB">
      <w:pPr>
        <w:spacing w:after="24"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722F88C1" w14:textId="77777777" w:rsidR="005345BC" w:rsidRPr="008F479E" w:rsidRDefault="00F979FB">
      <w:pPr>
        <w:spacing w:after="24"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249E49E7" w14:textId="77777777" w:rsidR="005345BC" w:rsidRPr="008F479E" w:rsidRDefault="00F979FB">
      <w:pPr>
        <w:spacing w:after="10" w:line="270" w:lineRule="auto"/>
        <w:ind w:left="10" w:hanging="10"/>
        <w:rPr>
          <w:color w:val="000000" w:themeColor="text1"/>
        </w:rPr>
      </w:pPr>
      <w:r w:rsidRPr="008F479E">
        <w:rPr>
          <w:b/>
          <w:color w:val="000000" w:themeColor="text1"/>
        </w:rPr>
        <w:t xml:space="preserve">……………………………………………………..                       </w:t>
      </w:r>
      <w:r w:rsidRPr="008F479E">
        <w:rPr>
          <w:color w:val="000000" w:themeColor="text1"/>
        </w:rPr>
        <w:t xml:space="preserve"> </w:t>
      </w:r>
    </w:p>
    <w:p w14:paraId="6785EB12" w14:textId="77777777" w:rsidR="005345BC" w:rsidRPr="008F479E" w:rsidRDefault="00F979FB">
      <w:pPr>
        <w:spacing w:after="45" w:line="259" w:lineRule="auto"/>
        <w:ind w:left="0" w:firstLine="0"/>
        <w:rPr>
          <w:color w:val="000000" w:themeColor="text1"/>
        </w:rPr>
      </w:pPr>
      <w:r w:rsidRPr="008F479E">
        <w:rPr>
          <w:b/>
          <w:color w:val="000000" w:themeColor="text1"/>
        </w:rPr>
        <w:t xml:space="preserve"> </w:t>
      </w:r>
      <w:r w:rsidRPr="008F479E">
        <w:rPr>
          <w:color w:val="000000" w:themeColor="text1"/>
        </w:rPr>
        <w:t xml:space="preserve"> </w:t>
      </w:r>
    </w:p>
    <w:p w14:paraId="17980EAC" w14:textId="77777777" w:rsidR="005345BC" w:rsidRPr="008F479E" w:rsidRDefault="00F979FB">
      <w:pPr>
        <w:tabs>
          <w:tab w:val="center" w:pos="6927"/>
        </w:tabs>
        <w:spacing w:after="20" w:line="270" w:lineRule="auto"/>
        <w:ind w:left="0" w:firstLine="0"/>
        <w:rPr>
          <w:color w:val="000000" w:themeColor="text1"/>
        </w:rPr>
      </w:pPr>
      <w:r w:rsidRPr="008F479E">
        <w:rPr>
          <w:b/>
          <w:color w:val="000000" w:themeColor="text1"/>
        </w:rPr>
        <w:t xml:space="preserve">Position …………………………….……………  </w:t>
      </w:r>
      <w:r w:rsidRPr="008F479E">
        <w:rPr>
          <w:color w:val="000000" w:themeColor="text1"/>
        </w:rPr>
        <w:t xml:space="preserve"> </w:t>
      </w:r>
      <w:r w:rsidRPr="008F479E">
        <w:rPr>
          <w:color w:val="000000" w:themeColor="text1"/>
        </w:rPr>
        <w:tab/>
      </w:r>
      <w:r w:rsidRPr="008F479E">
        <w:rPr>
          <w:b/>
          <w:color w:val="000000" w:themeColor="text1"/>
        </w:rPr>
        <w:t>Date ………………….</w:t>
      </w:r>
      <w:r w:rsidRPr="008F479E">
        <w:rPr>
          <w:color w:val="000000" w:themeColor="text1"/>
        </w:rPr>
        <w:t xml:space="preserve"> </w:t>
      </w:r>
    </w:p>
    <w:p w14:paraId="3F779CFF" w14:textId="77777777" w:rsidR="005345BC" w:rsidRDefault="00F979FB">
      <w:pPr>
        <w:spacing w:after="21" w:line="259" w:lineRule="auto"/>
        <w:ind w:left="0" w:firstLine="0"/>
      </w:pPr>
      <w:r>
        <w:t xml:space="preserve">  </w:t>
      </w:r>
    </w:p>
    <w:p w14:paraId="6ACECB89" w14:textId="77777777" w:rsidR="005345BC" w:rsidRDefault="00F979FB">
      <w:pPr>
        <w:spacing w:after="24" w:line="259" w:lineRule="auto"/>
        <w:ind w:left="0" w:firstLine="0"/>
      </w:pPr>
      <w:r>
        <w:t xml:space="preserve">  </w:t>
      </w:r>
    </w:p>
    <w:p w14:paraId="1A632C00" w14:textId="77777777" w:rsidR="005345BC" w:rsidRDefault="00F979FB">
      <w:pPr>
        <w:spacing w:after="24" w:line="259" w:lineRule="auto"/>
        <w:ind w:left="0" w:firstLine="0"/>
      </w:pPr>
      <w:r>
        <w:t xml:space="preserve"> </w:t>
      </w:r>
    </w:p>
    <w:p w14:paraId="699BBEC2" w14:textId="77777777" w:rsidR="005345BC" w:rsidRDefault="00F979FB">
      <w:pPr>
        <w:spacing w:after="0" w:line="259" w:lineRule="auto"/>
        <w:ind w:left="0" w:firstLine="0"/>
      </w:pPr>
      <w:r>
        <w:t xml:space="preserve"> </w:t>
      </w:r>
    </w:p>
    <w:p w14:paraId="16F2129D" w14:textId="77777777" w:rsidR="005345BC" w:rsidRDefault="003C6F22">
      <w:pPr>
        <w:spacing w:after="36" w:line="259" w:lineRule="auto"/>
        <w:ind w:left="0" w:firstLine="0"/>
      </w:pPr>
      <w:hyperlink r:id="rId19" w:anchor="_ftnref1">
        <w:r w:rsidR="00F979FB">
          <w:rPr>
            <w:color w:val="0000FF"/>
            <w:sz w:val="19"/>
            <w:u w:val="single" w:color="0000FF"/>
            <w:vertAlign w:val="superscript"/>
          </w:rPr>
          <w:t>[1]</w:t>
        </w:r>
      </w:hyperlink>
      <w:hyperlink r:id="rId20">
        <w:r w:rsidR="00F979FB">
          <w:rPr>
            <w:sz w:val="19"/>
          </w:rPr>
          <w:t xml:space="preserve"> </w:t>
        </w:r>
      </w:hyperlink>
      <w:hyperlink r:id="rId21">
        <w:r w:rsidR="00F979FB">
          <w:rPr>
            <w:sz w:val="19"/>
            <w:u w:val="single" w:color="000000"/>
          </w:rPr>
          <w:t>http://www.legislation.gov.uk/ukpga/2003/26/contents</w:t>
        </w:r>
      </w:hyperlink>
      <w:hyperlink r:id="rId22">
        <w:r w:rsidR="00F979FB">
          <w:t xml:space="preserve"> </w:t>
        </w:r>
      </w:hyperlink>
    </w:p>
    <w:p w14:paraId="5FC0C75B" w14:textId="77777777" w:rsidR="005345BC" w:rsidRDefault="00F979FB">
      <w:pPr>
        <w:spacing w:after="184" w:line="259" w:lineRule="auto"/>
        <w:ind w:left="0" w:firstLine="0"/>
      </w:pPr>
      <w:r>
        <w:t xml:space="preserve"> </w:t>
      </w:r>
    </w:p>
    <w:p w14:paraId="01ACE25A" w14:textId="77777777" w:rsidR="005345BC" w:rsidRDefault="00F979FB" w:rsidP="008E7AA3">
      <w:pPr>
        <w:spacing w:after="182" w:line="259" w:lineRule="auto"/>
        <w:ind w:left="0" w:firstLine="0"/>
      </w:pPr>
      <w:r>
        <w:t xml:space="preserve"> </w:t>
      </w:r>
    </w:p>
    <w:p w14:paraId="60744693" w14:textId="77777777" w:rsidR="005345BC" w:rsidRDefault="00F979FB">
      <w:pPr>
        <w:spacing w:after="184" w:line="259" w:lineRule="auto"/>
        <w:ind w:left="0" w:firstLine="0"/>
      </w:pPr>
      <w:r>
        <w:t xml:space="preserve"> </w:t>
      </w:r>
    </w:p>
    <w:p w14:paraId="67C451DD" w14:textId="77777777" w:rsidR="005345BC" w:rsidRDefault="005345BC" w:rsidP="008E7AA3">
      <w:pPr>
        <w:spacing w:after="182" w:line="259" w:lineRule="auto"/>
        <w:ind w:left="0" w:firstLine="0"/>
        <w:sectPr w:rsidR="005345BC" w:rsidSect="008A7646">
          <w:pgSz w:w="12240" w:h="15840"/>
          <w:pgMar w:top="1450" w:right="1263" w:bottom="1452" w:left="1418" w:header="720" w:footer="720" w:gutter="0"/>
          <w:cols w:space="720"/>
        </w:sectPr>
      </w:pPr>
    </w:p>
    <w:p w14:paraId="718581AB" w14:textId="77777777" w:rsidR="005345BC" w:rsidRDefault="00F979FB">
      <w:pPr>
        <w:pStyle w:val="Heading1"/>
        <w:spacing w:after="37" w:line="259" w:lineRule="auto"/>
        <w:ind w:left="0" w:right="4362" w:firstLine="0"/>
        <w:jc w:val="right"/>
      </w:pPr>
      <w:r>
        <w:rPr>
          <w:sz w:val="56"/>
        </w:rPr>
        <w:t>TM charge (ex. Advisors)</w:t>
      </w:r>
    </w:p>
    <w:p w14:paraId="29CC7D06" w14:textId="77777777" w:rsidR="005345BC" w:rsidRDefault="00F979FB">
      <w:pPr>
        <w:tabs>
          <w:tab w:val="center" w:pos="7884"/>
        </w:tabs>
        <w:spacing w:after="52" w:line="259" w:lineRule="auto"/>
        <w:ind w:left="-15" w:firstLine="0"/>
      </w:pPr>
      <w:r>
        <w:rPr>
          <w:sz w:val="56"/>
        </w:rPr>
        <w:t>2023/24</w:t>
      </w:r>
      <w:r>
        <w:rPr>
          <w:sz w:val="56"/>
        </w:rPr>
        <w:tab/>
        <w:t>£11,600</w:t>
      </w:r>
    </w:p>
    <w:p w14:paraId="24E52B6B" w14:textId="77777777" w:rsidR="005345BC" w:rsidRDefault="00F979FB">
      <w:pPr>
        <w:tabs>
          <w:tab w:val="center" w:pos="7883"/>
        </w:tabs>
        <w:spacing w:after="52" w:line="259" w:lineRule="auto"/>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764F985" wp14:editId="17C5287A">
                <wp:simplePos x="0" y="0"/>
                <wp:positionH relativeFrom="page">
                  <wp:posOffset>0</wp:posOffset>
                </wp:positionH>
                <wp:positionV relativeFrom="page">
                  <wp:posOffset>0</wp:posOffset>
                </wp:positionV>
                <wp:extent cx="12192000" cy="1435608"/>
                <wp:effectExtent l="0" t="0" r="0" b="0"/>
                <wp:wrapTopAndBottom/>
                <wp:docPr id="44919" name="Group 44919"/>
                <wp:cNvGraphicFramePr/>
                <a:graphic xmlns:a="http://schemas.openxmlformats.org/drawingml/2006/main">
                  <a:graphicData uri="http://schemas.microsoft.com/office/word/2010/wordprocessingGroup">
                    <wpg:wgp>
                      <wpg:cNvGrpSpPr/>
                      <wpg:grpSpPr>
                        <a:xfrm>
                          <a:off x="0" y="0"/>
                          <a:ext cx="12192000" cy="1435608"/>
                          <a:chOff x="0" y="0"/>
                          <a:chExt cx="12192000" cy="1435608"/>
                        </a:xfrm>
                      </wpg:grpSpPr>
                      <wps:wsp>
                        <wps:cNvPr id="54801" name="Shape 54801"/>
                        <wps:cNvSpPr/>
                        <wps:spPr>
                          <a:xfrm>
                            <a:off x="0" y="0"/>
                            <a:ext cx="12192000" cy="1325880"/>
                          </a:xfrm>
                          <a:custGeom>
                            <a:avLst/>
                            <a:gdLst/>
                            <a:ahLst/>
                            <a:cxnLst/>
                            <a:rect l="0" t="0" r="0" b="0"/>
                            <a:pathLst>
                              <a:path w="12192000" h="1325880">
                                <a:moveTo>
                                  <a:pt x="0" y="0"/>
                                </a:moveTo>
                                <a:lnTo>
                                  <a:pt x="12192000" y="0"/>
                                </a:lnTo>
                                <a:lnTo>
                                  <a:pt x="12192000" y="1325880"/>
                                </a:lnTo>
                                <a:lnTo>
                                  <a:pt x="0" y="1325880"/>
                                </a:lnTo>
                                <a:lnTo>
                                  <a:pt x="0" y="0"/>
                                </a:lnTo>
                              </a:path>
                            </a:pathLst>
                          </a:custGeom>
                          <a:ln w="0" cap="flat">
                            <a:miter lim="127000"/>
                          </a:ln>
                        </wps:spPr>
                        <wps:style>
                          <a:lnRef idx="0">
                            <a:srgbClr val="000000">
                              <a:alpha val="0"/>
                            </a:srgbClr>
                          </a:lnRef>
                          <a:fillRef idx="1">
                            <a:srgbClr val="002060">
                              <a:alpha val="50196"/>
                            </a:srgbClr>
                          </a:fillRef>
                          <a:effectRef idx="0">
                            <a:scrgbClr r="0" g="0" b="0"/>
                          </a:effectRef>
                          <a:fontRef idx="none"/>
                        </wps:style>
                        <wps:bodyPr/>
                      </wps:wsp>
                      <wps:wsp>
                        <wps:cNvPr id="54802" name="Shape 54802"/>
                        <wps:cNvSpPr/>
                        <wps:spPr>
                          <a:xfrm>
                            <a:off x="0" y="1327404"/>
                            <a:ext cx="12192000" cy="108204"/>
                          </a:xfrm>
                          <a:custGeom>
                            <a:avLst/>
                            <a:gdLst/>
                            <a:ahLst/>
                            <a:cxnLst/>
                            <a:rect l="0" t="0" r="0" b="0"/>
                            <a:pathLst>
                              <a:path w="12192000" h="108204">
                                <a:moveTo>
                                  <a:pt x="0" y="0"/>
                                </a:moveTo>
                                <a:lnTo>
                                  <a:pt x="12192000" y="0"/>
                                </a:lnTo>
                                <a:lnTo>
                                  <a:pt x="12192000" y="108204"/>
                                </a:lnTo>
                                <a:lnTo>
                                  <a:pt x="0" y="10820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5106" name="Rectangle 5106"/>
                        <wps:cNvSpPr/>
                        <wps:spPr>
                          <a:xfrm>
                            <a:off x="929640" y="427839"/>
                            <a:ext cx="4341282" cy="699203"/>
                          </a:xfrm>
                          <a:prstGeom prst="rect">
                            <a:avLst/>
                          </a:prstGeom>
                          <a:ln>
                            <a:noFill/>
                          </a:ln>
                        </wps:spPr>
                        <wps:txbx>
                          <w:txbxContent>
                            <w:p w14:paraId="4BDE5A29" w14:textId="77777777" w:rsidR="003C6F22" w:rsidRDefault="003C6F22">
                              <w:pPr>
                                <w:spacing w:after="160" w:line="259" w:lineRule="auto"/>
                                <w:ind w:left="0" w:firstLine="0"/>
                              </w:pPr>
                              <w:r>
                                <w:rPr>
                                  <w:color w:val="FFFFFF"/>
                                  <w:sz w:val="88"/>
                                </w:rPr>
                                <w:t>Fee proposal</w:t>
                              </w:r>
                            </w:p>
                          </w:txbxContent>
                        </wps:txbx>
                        <wps:bodyPr horzOverflow="overflow" vert="horz" lIns="0" tIns="0" rIns="0" bIns="0" rtlCol="0">
                          <a:noAutofit/>
                        </wps:bodyPr>
                      </wps:wsp>
                    </wpg:wgp>
                  </a:graphicData>
                </a:graphic>
              </wp:anchor>
            </w:drawing>
          </mc:Choice>
          <mc:Fallback>
            <w:pict>
              <v:group w14:anchorId="1764F985" id="Group 44919" o:spid="_x0000_s1026" style="position:absolute;left:0;text-align:left;margin-left:0;margin-top:0;width:960pt;height:113.05pt;z-index:251661312;mso-position-horizontal-relative:page;mso-position-vertical-relative:page" coordsize="121920,1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">
                <v:shape id="Shape 54801" o:spid="_x0000_s1027" style="position:absolute;width:121920;height:13258;visibility:visible;mso-wrap-style:square;v-text-anchor:top" coordsize="12192000,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" path="m,l12192000,r,1325880l,1325880,,e" fillcolor="#002060" stroked="f" strokeweight="0">
                  <v:fill opacity="32896f"/>
                  <v:stroke miterlimit="83231f" joinstyle="miter"/>
                  <v:path arrowok="t" textboxrect="0,0,12192000,1325880"/>
                </v:shape>
                <v:shape id="Shape 54802" o:spid="_x0000_s1028" style="position:absolute;top:13274;width:121920;height:1082;visibility:visible;mso-wrap-style:square;v-text-anchor:top" coordsize="1219200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" path="m,l12192000,r,108204l,108204,,e" fillcolor="#002060" stroked="f" strokeweight="0">
                  <v:stroke miterlimit="83231f" joinstyle="miter"/>
                  <v:path arrowok="t" textboxrect="0,0,12192000,108204"/>
                </v:shape>
                <v:rect id="Rectangle 5106" o:spid="_x0000_s1029" style="position:absolute;left:9296;top:4278;width:43413;height:6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uRxxAAAAN0AAAAPAAAAZHJzL2Rvd25yZXYueG1sRI9Bi8Iw&#10;FITvgv8hPMGbpi4o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FyK5HHEAAAA3QAAAA8A&#10;AAAAAAAAAAAAAAAABwIAAGRycy9kb3ducmV2LnhtbFBLBQYAAAAAAwADALcAAAD4AgAAAAA=&#10;" filled="f" stroked="f">
                  <v:textbox inset="0,0,0,0">
                    <w:txbxContent>
                      <w:p w14:paraId="4BDE5A29" w14:textId="77777777" w:rsidR="003C6F22" w:rsidRDefault="003C6F22">
                        <w:pPr>
                          <w:spacing w:after="160" w:line="259" w:lineRule="auto"/>
                          <w:ind w:left="0" w:firstLine="0"/>
                        </w:pPr>
                        <w:r>
                          <w:rPr>
                            <w:color w:val="FFFFFF"/>
                            <w:sz w:val="88"/>
                          </w:rPr>
                          <w:t>Fee proposal</w:t>
                        </w:r>
                      </w:p>
                    </w:txbxContent>
                  </v:textbox>
                </v:rect>
                <w10:wrap type="topAndBottom" anchorx="page" anchory="page"/>
              </v:group>
            </w:pict>
          </mc:Fallback>
        </mc:AlternateContent>
      </w:r>
      <w:r>
        <w:rPr>
          <w:noProof/>
        </w:rPr>
        <w:drawing>
          <wp:anchor distT="0" distB="0" distL="114300" distR="114300" simplePos="0" relativeHeight="251662336" behindDoc="0" locked="0" layoutInCell="1" allowOverlap="0" wp14:anchorId="01AE9CE7" wp14:editId="22C5EF76">
            <wp:simplePos x="0" y="0"/>
            <wp:positionH relativeFrom="page">
              <wp:posOffset>11567160</wp:posOffset>
            </wp:positionH>
            <wp:positionV relativeFrom="page">
              <wp:posOffset>6126480</wp:posOffset>
            </wp:positionV>
            <wp:extent cx="507492" cy="673608"/>
            <wp:effectExtent l="0" t="0" r="0" b="0"/>
            <wp:wrapTopAndBottom/>
            <wp:docPr id="5105" name="Picture 5105"/>
            <wp:cNvGraphicFramePr/>
            <a:graphic xmlns:a="http://schemas.openxmlformats.org/drawingml/2006/main">
              <a:graphicData uri="http://schemas.openxmlformats.org/drawingml/2006/picture">
                <pic:pic xmlns:pic="http://schemas.openxmlformats.org/drawingml/2006/picture">
                  <pic:nvPicPr>
                    <pic:cNvPr id="5105" name="Picture 5105"/>
                    <pic:cNvPicPr/>
                  </pic:nvPicPr>
                  <pic:blipFill>
                    <a:blip r:embed="rId23"/>
                    <a:stretch>
                      <a:fillRect/>
                    </a:stretch>
                  </pic:blipFill>
                  <pic:spPr>
                    <a:xfrm>
                      <a:off x="0" y="0"/>
                      <a:ext cx="507492" cy="673608"/>
                    </a:xfrm>
                    <a:prstGeom prst="rect">
                      <a:avLst/>
                    </a:prstGeom>
                  </pic:spPr>
                </pic:pic>
              </a:graphicData>
            </a:graphic>
          </wp:anchor>
        </w:drawing>
      </w:r>
      <w:r>
        <w:rPr>
          <w:sz w:val="56"/>
        </w:rPr>
        <w:t>2024/25</w:t>
      </w:r>
      <w:r>
        <w:rPr>
          <w:sz w:val="56"/>
        </w:rPr>
        <w:tab/>
        <w:t>£18,000</w:t>
      </w:r>
    </w:p>
    <w:p w14:paraId="06BF725B" w14:textId="77777777" w:rsidR="005345BC" w:rsidRDefault="00F979FB">
      <w:pPr>
        <w:tabs>
          <w:tab w:val="center" w:pos="7883"/>
        </w:tabs>
        <w:spacing w:after="52" w:line="259" w:lineRule="auto"/>
        <w:ind w:left="-15" w:firstLine="0"/>
      </w:pPr>
      <w:r>
        <w:rPr>
          <w:sz w:val="56"/>
        </w:rPr>
        <w:t>2025/26</w:t>
      </w:r>
      <w:r>
        <w:rPr>
          <w:sz w:val="56"/>
        </w:rPr>
        <w:tab/>
        <w:t>£25,000</w:t>
      </w:r>
    </w:p>
    <w:p w14:paraId="7992AF4C" w14:textId="77777777" w:rsidR="005345BC" w:rsidRDefault="00F979FB">
      <w:pPr>
        <w:tabs>
          <w:tab w:val="center" w:pos="7883"/>
        </w:tabs>
        <w:spacing w:after="52" w:line="259" w:lineRule="auto"/>
        <w:ind w:left="-15" w:firstLine="0"/>
      </w:pPr>
      <w:r>
        <w:rPr>
          <w:sz w:val="56"/>
        </w:rPr>
        <w:t>2026/27</w:t>
      </w:r>
      <w:r>
        <w:rPr>
          <w:sz w:val="56"/>
        </w:rPr>
        <w:tab/>
        <w:t>£31,000</w:t>
      </w:r>
    </w:p>
    <w:p w14:paraId="0B5BF731" w14:textId="77777777" w:rsidR="005345BC" w:rsidRDefault="00F979FB">
      <w:pPr>
        <w:spacing w:after="52" w:line="259" w:lineRule="auto"/>
        <w:ind w:left="-5" w:hanging="10"/>
      </w:pPr>
      <w:r>
        <w:rPr>
          <w:sz w:val="56"/>
        </w:rPr>
        <w:t>2027/28 onwards £31,000 + inflationary inc.</w:t>
      </w:r>
    </w:p>
    <w:sectPr w:rsidR="005345BC">
      <w:pgSz w:w="19200" w:h="10800" w:orient="landscape"/>
      <w:pgMar w:top="1440" w:right="1440" w:bottom="1440" w:left="21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F82"/>
    <w:multiLevelType w:val="hybridMultilevel"/>
    <w:tmpl w:val="997EEB0A"/>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 w15:restartNumberingAfterBreak="0">
    <w:nsid w:val="08740105"/>
    <w:multiLevelType w:val="hybridMultilevel"/>
    <w:tmpl w:val="BC30025A"/>
    <w:lvl w:ilvl="0" w:tplc="9322F5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EAA22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BE24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3EA9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ED6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0EC5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5C60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4A42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D215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5F5E83"/>
    <w:multiLevelType w:val="hybridMultilevel"/>
    <w:tmpl w:val="035E67B4"/>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3" w15:restartNumberingAfterBreak="0">
    <w:nsid w:val="0FF975A3"/>
    <w:multiLevelType w:val="hybridMultilevel"/>
    <w:tmpl w:val="8AF67B50"/>
    <w:lvl w:ilvl="0" w:tplc="0E36881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68580">
      <w:start w:val="1"/>
      <w:numFmt w:val="bullet"/>
      <w:lvlText w:val="o"/>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7677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3863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D066F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086A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4A62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025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AC4AB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1E39D6"/>
    <w:multiLevelType w:val="hybridMultilevel"/>
    <w:tmpl w:val="03F67080"/>
    <w:lvl w:ilvl="0" w:tplc="5E540F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BAA1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3E5D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C62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872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72A1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002A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30E7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7006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AE7AFE"/>
    <w:multiLevelType w:val="hybridMultilevel"/>
    <w:tmpl w:val="615EAD84"/>
    <w:lvl w:ilvl="0" w:tplc="301C14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2612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362E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5AA6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256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7AF4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887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C35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CB5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1C46A2"/>
    <w:multiLevelType w:val="hybridMultilevel"/>
    <w:tmpl w:val="06F68BA0"/>
    <w:lvl w:ilvl="0" w:tplc="24680C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12B7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A58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6A5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1276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2A21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6AED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AC3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ECD3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982A06"/>
    <w:multiLevelType w:val="hybridMultilevel"/>
    <w:tmpl w:val="AFCCD7C6"/>
    <w:lvl w:ilvl="0" w:tplc="6BD8B4D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80C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2A7F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41C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256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68FF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EBC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063B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9A9A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F61961"/>
    <w:multiLevelType w:val="hybridMultilevel"/>
    <w:tmpl w:val="BC244E00"/>
    <w:lvl w:ilvl="0" w:tplc="C206E8C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3E9D2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76A09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F01DB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66FB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2A001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AC1E2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943F8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06D0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D2157B"/>
    <w:multiLevelType w:val="hybridMultilevel"/>
    <w:tmpl w:val="9E385E5C"/>
    <w:lvl w:ilvl="0" w:tplc="6180C40A">
      <w:start w:val="1"/>
      <w:numFmt w:val="bullet"/>
      <w:lvlText w:val="o"/>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2C928">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04FB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CA2D7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41BE2">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92F4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32BEA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72A9C2">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087CC0">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515278"/>
    <w:multiLevelType w:val="hybridMultilevel"/>
    <w:tmpl w:val="36DE71B4"/>
    <w:lvl w:ilvl="0" w:tplc="935A5B18">
      <w:start w:val="1"/>
      <w:numFmt w:val="bullet"/>
      <w:lvlText w:val="-"/>
      <w:lvlJc w:val="left"/>
      <w:pPr>
        <w:ind w:left="979"/>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2CAE9950">
      <w:start w:val="1"/>
      <w:numFmt w:val="bullet"/>
      <w:lvlText w:val="o"/>
      <w:lvlJc w:val="left"/>
      <w:pPr>
        <w:ind w:left="171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3BC8C46">
      <w:start w:val="1"/>
      <w:numFmt w:val="bullet"/>
      <w:lvlText w:val="▪"/>
      <w:lvlJc w:val="left"/>
      <w:pPr>
        <w:ind w:left="243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009A7EF2">
      <w:start w:val="1"/>
      <w:numFmt w:val="bullet"/>
      <w:lvlText w:val="•"/>
      <w:lvlJc w:val="left"/>
      <w:pPr>
        <w:ind w:left="315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878C9EE0">
      <w:start w:val="1"/>
      <w:numFmt w:val="bullet"/>
      <w:lvlText w:val="o"/>
      <w:lvlJc w:val="left"/>
      <w:pPr>
        <w:ind w:left="387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6F20A5FC">
      <w:start w:val="1"/>
      <w:numFmt w:val="bullet"/>
      <w:lvlText w:val="▪"/>
      <w:lvlJc w:val="left"/>
      <w:pPr>
        <w:ind w:left="459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67049982">
      <w:start w:val="1"/>
      <w:numFmt w:val="bullet"/>
      <w:lvlText w:val="•"/>
      <w:lvlJc w:val="left"/>
      <w:pPr>
        <w:ind w:left="531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B80A053C">
      <w:start w:val="1"/>
      <w:numFmt w:val="bullet"/>
      <w:lvlText w:val="o"/>
      <w:lvlJc w:val="left"/>
      <w:pPr>
        <w:ind w:left="603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4CD63D9E">
      <w:start w:val="1"/>
      <w:numFmt w:val="bullet"/>
      <w:lvlText w:val="▪"/>
      <w:lvlJc w:val="left"/>
      <w:pPr>
        <w:ind w:left="6754"/>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1" w15:restartNumberingAfterBreak="0">
    <w:nsid w:val="43717AB0"/>
    <w:multiLevelType w:val="multilevel"/>
    <w:tmpl w:val="FB9E7DAC"/>
    <w:lvl w:ilvl="0">
      <w:start w:val="6"/>
      <w:numFmt w:val="decimal"/>
      <w:lvlText w:val="%1"/>
      <w:lvlJc w:val="left"/>
      <w:pPr>
        <w:ind w:left="581"/>
      </w:pPr>
      <w:rPr>
        <w:rFonts w:ascii="Arial" w:eastAsia="Arial" w:hAnsi="Arial" w:cs="Arial"/>
        <w:b/>
        <w:bCs/>
        <w:i w:val="0"/>
        <w:strike w:val="0"/>
        <w:dstrike w:val="0"/>
        <w:color w:val="0F4761"/>
        <w:sz w:val="22"/>
        <w:szCs w:val="22"/>
        <w:u w:val="none" w:color="000000"/>
        <w:bdr w:val="none" w:sz="0" w:space="0" w:color="auto"/>
        <w:shd w:val="clear" w:color="auto" w:fill="auto"/>
        <w:vertAlign w:val="baseline"/>
      </w:rPr>
    </w:lvl>
    <w:lvl w:ilvl="1">
      <w:start w:val="1"/>
      <w:numFmt w:val="decimal"/>
      <w:lvlText w:val="%1.%2"/>
      <w:lvlJc w:val="left"/>
      <w:pPr>
        <w:ind w:left="132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F4761"/>
        <w:sz w:val="22"/>
        <w:szCs w:val="22"/>
        <w:u w:val="none" w:color="000000"/>
        <w:bdr w:val="none" w:sz="0" w:space="0" w:color="auto"/>
        <w:shd w:val="clear" w:color="auto" w:fill="auto"/>
        <w:vertAlign w:val="baseline"/>
      </w:rPr>
    </w:lvl>
  </w:abstractNum>
  <w:abstractNum w:abstractNumId="12" w15:restartNumberingAfterBreak="0">
    <w:nsid w:val="5B313115"/>
    <w:multiLevelType w:val="hybridMultilevel"/>
    <w:tmpl w:val="80BE77D6"/>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3" w15:restartNumberingAfterBreak="0">
    <w:nsid w:val="77820DB4"/>
    <w:multiLevelType w:val="hybridMultilevel"/>
    <w:tmpl w:val="D200F912"/>
    <w:lvl w:ilvl="0" w:tplc="D04C6AB2">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08E9C">
      <w:start w:val="1"/>
      <w:numFmt w:val="bullet"/>
      <w:lvlText w:val="o"/>
      <w:lvlJc w:val="left"/>
      <w:pPr>
        <w:ind w:left="2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4AAA56">
      <w:start w:val="1"/>
      <w:numFmt w:val="bullet"/>
      <w:lvlText w:val="▪"/>
      <w:lvlJc w:val="left"/>
      <w:pPr>
        <w:ind w:left="3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80EAAA">
      <w:start w:val="1"/>
      <w:numFmt w:val="bullet"/>
      <w:lvlText w:val="•"/>
      <w:lvlJc w:val="left"/>
      <w:pPr>
        <w:ind w:left="3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A7668">
      <w:start w:val="1"/>
      <w:numFmt w:val="bullet"/>
      <w:lvlText w:val="o"/>
      <w:lvlJc w:val="left"/>
      <w:pPr>
        <w:ind w:left="4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6C4DB6">
      <w:start w:val="1"/>
      <w:numFmt w:val="bullet"/>
      <w:lvlText w:val="▪"/>
      <w:lvlJc w:val="left"/>
      <w:pPr>
        <w:ind w:left="5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4CAB8">
      <w:start w:val="1"/>
      <w:numFmt w:val="bullet"/>
      <w:lvlText w:val="•"/>
      <w:lvlJc w:val="left"/>
      <w:pPr>
        <w:ind w:left="6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4794A">
      <w:start w:val="1"/>
      <w:numFmt w:val="bullet"/>
      <w:lvlText w:val="o"/>
      <w:lvlJc w:val="left"/>
      <w:pPr>
        <w:ind w:left="6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7C1CF4">
      <w:start w:val="1"/>
      <w:numFmt w:val="bullet"/>
      <w:lvlText w:val="▪"/>
      <w:lvlJc w:val="left"/>
      <w:pPr>
        <w:ind w:left="7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5"/>
  </w:num>
  <w:num w:numId="3">
    <w:abstractNumId w:val="1"/>
  </w:num>
  <w:num w:numId="4">
    <w:abstractNumId w:val="6"/>
  </w:num>
  <w:num w:numId="5">
    <w:abstractNumId w:val="4"/>
  </w:num>
  <w:num w:numId="6">
    <w:abstractNumId w:val="7"/>
  </w:num>
  <w:num w:numId="7">
    <w:abstractNumId w:val="10"/>
  </w:num>
  <w:num w:numId="8">
    <w:abstractNumId w:val="3"/>
  </w:num>
  <w:num w:numId="9">
    <w:abstractNumId w:val="9"/>
  </w:num>
  <w:num w:numId="10">
    <w:abstractNumId w:val="8"/>
  </w:num>
  <w:num w:numId="11">
    <w:abstractNumId w:val="11"/>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BC"/>
    <w:rsid w:val="000A303C"/>
    <w:rsid w:val="001605E8"/>
    <w:rsid w:val="00193E02"/>
    <w:rsid w:val="00240A56"/>
    <w:rsid w:val="003C6F22"/>
    <w:rsid w:val="00430E67"/>
    <w:rsid w:val="00445B84"/>
    <w:rsid w:val="00460891"/>
    <w:rsid w:val="005345BC"/>
    <w:rsid w:val="00570988"/>
    <w:rsid w:val="005F05B0"/>
    <w:rsid w:val="008A7646"/>
    <w:rsid w:val="008E7AA3"/>
    <w:rsid w:val="008F479E"/>
    <w:rsid w:val="00976EAF"/>
    <w:rsid w:val="00F9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8B32"/>
  <w15:docId w15:val="{F1A1E3C9-46B6-40D1-B46C-EA19CEF8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71" w:lineRule="auto"/>
      <w:ind w:left="145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70" w:line="270"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70" w:line="27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A7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kc-word-edit.officeapps.live.com/we/wordeditorframe.aspx?new=1&amp;ui=en%2DUS&amp;rs=en%2DUS&amp;wdorigin=OFFICECOM-WEB.START.NEW-INSTANT&amp;wdprevioussessionsrc=HarmonyWeb&amp;wdprevioussession=ac191080-5877-4fd3-b837-08178663543f&amp;wdenableroaming=1&amp;mscc=1&amp;wdodb=1&amp;hid=50C207A1-8043-8000-0974-E2F437BCEC76&amp;wopisrc=https%3A%2F%2Fforcesserip-my.sharepoint.com%2Fpersonal%2Fkaren_williams_hampshire_police_uk%2F_vti_bin%2Fwopi.ashx%2Ffiles%2Fc754fe84273a4d0e9d0e9f0826124790&amp;wdhostclicktime=1706879887766&amp;jsapi=1&amp;jsapiver=v1&amp;newsession=1&amp;corrid=56a28ed7-c69c-48bd-aaf8-a253194d7d25&amp;usid=56a28ed7-c69c-48bd-aaf8-a253194d7d25&amp;sftc=1&amp;cac=1&amp;mtf=1&amp;sfp=1&amp;wdredirectionreason=Unified_SingleFlush&amp;rct=Medium&amp;ctp=LeastProtected" TargetMode="External"/><Relationship Id="rId13" Type="http://schemas.openxmlformats.org/officeDocument/2006/relationships/hyperlink" Target="http://www.legislation.gov.uk/ukpga/2003/26/section/4" TargetMode="External"/><Relationship Id="rId18" Type="http://schemas.openxmlformats.org/officeDocument/2006/relationships/hyperlink" Target="http://www.legislation.gov.uk/ukpga/2003/26/section/12"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www.legislation.gov.uk/ukpga/2003/26/contents" TargetMode="External"/><Relationship Id="rId7" Type="http://schemas.openxmlformats.org/officeDocument/2006/relationships/hyperlink" Target="https://ukc-word-edit.officeapps.live.com/we/wordeditorframe.aspx?new=1&amp;ui=en%2DUS&amp;rs=en%2DUS&amp;wdorigin=OFFICECOM-WEB.START.NEW-INSTANT&amp;wdprevioussessionsrc=HarmonyWeb&amp;wdprevioussession=ac191080-5877-4fd3-b837-08178663543f&amp;wdenableroaming=1&amp;mscc=1&amp;wdodb=1&amp;hid=50C207A1-8043-8000-0974-E2F437BCEC76&amp;wopisrc=https%3A%2F%2Fforcesserip-my.sharepoint.com%2Fpersonal%2Fkaren_williams_hampshire_police_uk%2F_vti_bin%2Fwopi.ashx%2Ffiles%2Fc754fe84273a4d0e9d0e9f0826124790&amp;wdhostclicktime=1706879887766&amp;jsapi=1&amp;jsapiver=v1&amp;newsession=1&amp;corrid=56a28ed7-c69c-48bd-aaf8-a253194d7d25&amp;usid=56a28ed7-c69c-48bd-aaf8-a253194d7d25&amp;sftc=1&amp;cac=1&amp;mtf=1&amp;sfp=1&amp;wdredirectionreason=Unified_SingleFlush&amp;rct=Medium&amp;ctp=LeastProtected" TargetMode="External"/><Relationship Id="rId12" Type="http://schemas.openxmlformats.org/officeDocument/2006/relationships/hyperlink" Target="http://www.legislation.gov.uk/ukpga/2003/26/section/3" TargetMode="External"/><Relationship Id="rId17" Type="http://schemas.openxmlformats.org/officeDocument/2006/relationships/hyperlink" Target="http://www.legislation.gov.uk/ukpga/2003/26/section/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egislation.gov.uk/ukpga/2003/26/section/5" TargetMode="External"/><Relationship Id="rId20" Type="http://schemas.openxmlformats.org/officeDocument/2006/relationships/hyperlink" Target="http://www.legislation.gov.uk/ukpga/2003/26/contents" TargetMode="External"/><Relationship Id="rId29"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egislation.gov.uk/ukpga/2003/26/section/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legislation.gov.uk/ukpga/2003/26/section/5" TargetMode="External"/><Relationship Id="rId23" Type="http://schemas.openxmlformats.org/officeDocument/2006/relationships/image" Target="media/image3.png"/><Relationship Id="rId28" Type="http://schemas.openxmlformats.org/officeDocument/2006/relationships/customXml" Target="../customXml/item3.xml"/><Relationship Id="rId10" Type="http://schemas.openxmlformats.org/officeDocument/2006/relationships/hyperlink" Target="http://www.legislation.gov.uk/ukpga/2003/26/section/2" TargetMode="External"/><Relationship Id="rId19" Type="http://schemas.openxmlformats.org/officeDocument/2006/relationships/hyperlink" Target="https://ukc-word-edit.officeapps.live.com/we/wordeditorframe.aspx?new=1&amp;ui=en%2DUS&amp;rs=en%2DUS&amp;wdorigin=OFFICECOM-WEB.START.NEW-INSTANT&amp;wdprevioussessionsrc=HarmonyWeb&amp;wdprevioussession=ac191080-5877-4fd3-b837-08178663543f&amp;wdenableroaming=1&amp;mscc=1&amp;wdodb=1&amp;hid=50C207A1-8043-8000-0974-E2F437BCEC76&amp;wopisrc=https%3A%2F%2Fforcesserip-my.sharepoint.com%2Fpersonal%2Fkaren_williams_hampshire_police_uk%2F_vti_bin%2Fwopi.ashx%2Ffiles%2Fc754fe84273a4d0e9d0e9f0826124790&amp;wdhostclicktime=1706879887766&amp;jsapi=1&amp;jsapiver=v1&amp;newsession=1&amp;corrid=56a28ed7-c69c-48bd-aaf8-a253194d7d25&amp;usid=56a28ed7-c69c-48bd-aaf8-a253194d7d25&amp;sftc=1&amp;cac=1&amp;mtf=1&amp;sfp=1&amp;wdredirectionreason=Unified_SingleFlush&amp;rct=Medium&amp;ctp=LeastProtected" TargetMode="External"/><Relationship Id="rId4" Type="http://schemas.openxmlformats.org/officeDocument/2006/relationships/webSettings" Target="webSettings.xml"/><Relationship Id="rId9" Type="http://schemas.openxmlformats.org/officeDocument/2006/relationships/hyperlink" Target="http://www.legislation.gov.uk/ukpga/2003/26/section/2" TargetMode="External"/><Relationship Id="rId14" Type="http://schemas.openxmlformats.org/officeDocument/2006/relationships/hyperlink" Target="http://www.legislation.gov.uk/ukpga/2003/26/section/4" TargetMode="External"/><Relationship Id="rId22" Type="http://schemas.openxmlformats.org/officeDocument/2006/relationships/hyperlink" Target="http://www.legislation.gov.uk/ukpga/2003/26/content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D26W3NZ7Q65C-1769354795-295</_dlc_DocId>
    <_dlc_DocIdUrl xmlns="8a591856-d661-425b-ad69-aaea4a49d22f">
      <Url>https://forcesserip.sharepoint.com/sites/teamhccocojwr-JAC/_layouts/15/DocIdRedir.aspx?ID=D26W3NZ7Q65C-1769354795-295</Url>
      <Description>D26W3NZ7Q65C-1769354795-295</Description>
    </_dlc_DocIdUrl>
  </documentManagement>
</p:properties>
</file>

<file path=customXml/itemProps1.xml><?xml version="1.0" encoding="utf-8"?>
<ds:datastoreItem xmlns:ds="http://schemas.openxmlformats.org/officeDocument/2006/customXml" ds:itemID="{5730A41E-4616-473B-AE56-F9AD8A3ABD84}"/>
</file>

<file path=customXml/itemProps2.xml><?xml version="1.0" encoding="utf-8"?>
<ds:datastoreItem xmlns:ds="http://schemas.openxmlformats.org/officeDocument/2006/customXml" ds:itemID="{A160B24C-3429-4DA5-BEE2-9B43A10D8937}"/>
</file>

<file path=customXml/itemProps3.xml><?xml version="1.0" encoding="utf-8"?>
<ds:datastoreItem xmlns:ds="http://schemas.openxmlformats.org/officeDocument/2006/customXml" ds:itemID="{94E88B62-495F-4547-914E-FF29F311899B}"/>
</file>

<file path=customXml/itemProps4.xml><?xml version="1.0" encoding="utf-8"?>
<ds:datastoreItem xmlns:ds="http://schemas.openxmlformats.org/officeDocument/2006/customXml" ds:itemID="{DD83EE7D-320B-4637-84DE-1C1762996BA4}"/>
</file>

<file path=docProps/app.xml><?xml version="1.0" encoding="utf-8"?>
<Properties xmlns="http://schemas.openxmlformats.org/officeDocument/2006/extended-properties" xmlns:vt="http://schemas.openxmlformats.org/officeDocument/2006/docPropsVTypes">
  <Template>Normal</Template>
  <TotalTime>30</TotalTime>
  <Pages>33</Pages>
  <Words>9192</Words>
  <Characters>52401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61471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Karen (48689)</dc:creator>
  <cp:keywords/>
  <cp:lastModifiedBy>Goddard, Jane (13814)</cp:lastModifiedBy>
  <cp:revision>10</cp:revision>
  <dcterms:created xsi:type="dcterms:W3CDTF">2024-02-02T14:27:00Z</dcterms:created>
  <dcterms:modified xsi:type="dcterms:W3CDTF">2024-02-05T15:04:00Z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5a16e898-dad4-46c8-b3a8-6b545a633fee</vt:lpwstr>
  </property>
  <property fmtid="{D5CDD505-2E9C-101B-9397-08002B2CF9AE}" pid="4" name="ForceDepartment">
    <vt:lpwstr/>
  </property>
</Properties>
</file>