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192" w14:textId="62D9943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POLICE AND CRIME COMMISSIONER FOR HAMPSHIRE AND </w:t>
      </w:r>
      <w:r w:rsidR="003C1D7A">
        <w:rPr>
          <w:rFonts w:ascii="Arial" w:eastAsia="Calibri" w:hAnsi="Arial" w:cs="Arial"/>
          <w:b/>
        </w:rPr>
        <w:t>ISLE OF WIGHT</w:t>
      </w:r>
    </w:p>
    <w:p w14:paraId="0AF98633" w14:textId="2C034E1B"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JOINT AUDIT COMMITTEE – </w:t>
      </w:r>
      <w:r w:rsidR="002801EB">
        <w:rPr>
          <w:rFonts w:ascii="Arial" w:eastAsia="Calibri" w:hAnsi="Arial" w:cs="Arial"/>
          <w:b/>
        </w:rPr>
        <w:t>2</w:t>
      </w:r>
      <w:r w:rsidR="004E6C73">
        <w:rPr>
          <w:rFonts w:ascii="Arial" w:eastAsia="Calibri" w:hAnsi="Arial" w:cs="Arial"/>
          <w:b/>
        </w:rPr>
        <w:t>8</w:t>
      </w:r>
      <w:r w:rsidR="002801EB">
        <w:rPr>
          <w:rFonts w:ascii="Arial" w:eastAsia="Calibri" w:hAnsi="Arial" w:cs="Arial"/>
          <w:b/>
        </w:rPr>
        <w:t xml:space="preserve"> </w:t>
      </w:r>
      <w:r w:rsidR="004E6C73">
        <w:rPr>
          <w:rFonts w:ascii="Arial" w:eastAsia="Calibri" w:hAnsi="Arial" w:cs="Arial"/>
          <w:b/>
        </w:rPr>
        <w:t>Nov</w:t>
      </w:r>
      <w:r w:rsidR="002801EB">
        <w:rPr>
          <w:rFonts w:ascii="Arial" w:eastAsia="Calibri" w:hAnsi="Arial" w:cs="Arial"/>
          <w:b/>
        </w:rPr>
        <w:t>ember</w:t>
      </w:r>
      <w:r w:rsidR="00EB3915">
        <w:rPr>
          <w:rFonts w:ascii="Arial" w:eastAsia="Calibri" w:hAnsi="Arial" w:cs="Arial"/>
          <w:b/>
        </w:rPr>
        <w:t xml:space="preserve"> 2023</w:t>
      </w:r>
    </w:p>
    <w:p w14:paraId="219E02EF" w14:textId="311C15BB" w:rsidR="0051299B" w:rsidRPr="0024206A" w:rsidRDefault="003E2BB5" w:rsidP="0051299B">
      <w:pPr>
        <w:pStyle w:val="ListParagraph"/>
        <w:spacing w:after="200" w:line="276" w:lineRule="auto"/>
        <w:ind w:left="0"/>
        <w:rPr>
          <w:rFonts w:ascii="Arial" w:hAnsi="Arial" w:cs="Arial"/>
          <w:i/>
        </w:rPr>
      </w:pPr>
      <w:r>
        <w:rPr>
          <w:rFonts w:ascii="Arial" w:eastAsia="Calibri" w:hAnsi="Arial" w:cs="Arial"/>
          <w:i/>
        </w:rPr>
        <w:t>Mid-year</w:t>
      </w:r>
      <w:r w:rsidR="0051299B" w:rsidRPr="0024206A">
        <w:rPr>
          <w:rFonts w:ascii="Arial" w:eastAsia="Calibri" w:hAnsi="Arial" w:cs="Arial"/>
          <w:i/>
        </w:rPr>
        <w:t xml:space="preserve"> Treasury </w:t>
      </w:r>
      <w:r w:rsidR="00F00D2A">
        <w:rPr>
          <w:rFonts w:ascii="Arial" w:eastAsia="Calibri" w:hAnsi="Arial" w:cs="Arial"/>
          <w:i/>
        </w:rPr>
        <w:t>Management</w:t>
      </w:r>
      <w:r w:rsidR="0051299B" w:rsidRPr="0024206A">
        <w:rPr>
          <w:rFonts w:ascii="Arial" w:eastAsia="Calibri" w:hAnsi="Arial" w:cs="Arial"/>
          <w:i/>
        </w:rPr>
        <w:t xml:space="preserve"> Report 20</w:t>
      </w:r>
      <w:r w:rsidR="001546C7" w:rsidRPr="0024206A">
        <w:rPr>
          <w:rFonts w:ascii="Arial" w:eastAsia="Calibri" w:hAnsi="Arial" w:cs="Arial"/>
          <w:i/>
        </w:rPr>
        <w:t>2</w:t>
      </w:r>
      <w:r w:rsidR="00F00D2A">
        <w:rPr>
          <w:rFonts w:ascii="Arial" w:eastAsia="Calibri" w:hAnsi="Arial" w:cs="Arial"/>
          <w:i/>
        </w:rPr>
        <w:t>3</w:t>
      </w:r>
      <w:r w:rsidR="00EB3915">
        <w:rPr>
          <w:rFonts w:ascii="Arial" w:eastAsia="Calibri" w:hAnsi="Arial" w:cs="Arial"/>
          <w:i/>
        </w:rPr>
        <w:t>/2</w:t>
      </w:r>
      <w:r w:rsidR="00F00D2A">
        <w:rPr>
          <w:rFonts w:ascii="Arial" w:eastAsia="Calibri" w:hAnsi="Arial" w:cs="Arial"/>
          <w:i/>
        </w:rPr>
        <w:t>4</w:t>
      </w:r>
    </w:p>
    <w:p w14:paraId="45E34B56" w14:textId="7777777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REPORT OF THE CHIEF FINANCE OFFICER OF THE OFFICE OF THE POLICE AND CRIME COMMISSIONER</w:t>
      </w:r>
    </w:p>
    <w:p w14:paraId="3BCE0B24"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Purpose</w:t>
      </w:r>
    </w:p>
    <w:p w14:paraId="6A8E494E" w14:textId="000976EB" w:rsidR="0051299B"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The Police </w:t>
      </w:r>
      <w:r w:rsidR="00943EA5" w:rsidRPr="00E4751E">
        <w:rPr>
          <w:rFonts w:ascii="Arial" w:hAnsi="Arial" w:cs="Arial"/>
        </w:rPr>
        <w:t>and</w:t>
      </w:r>
      <w:r w:rsidRPr="00E4751E">
        <w:rPr>
          <w:rFonts w:ascii="Arial" w:hAnsi="Arial" w:cs="Arial"/>
        </w:rPr>
        <w:t xml:space="preserve"> Crime Commissioner for Hampshire (PCC)</w:t>
      </w:r>
      <w:r w:rsidR="001931BA">
        <w:rPr>
          <w:rFonts w:ascii="Arial" w:hAnsi="Arial" w:cs="Arial"/>
        </w:rPr>
        <w:t xml:space="preserve"> </w:t>
      </w:r>
      <w:r w:rsidR="002D017E">
        <w:rPr>
          <w:rFonts w:ascii="Arial" w:hAnsi="Arial" w:cs="Arial"/>
        </w:rPr>
        <w:t xml:space="preserve">has </w:t>
      </w:r>
      <w:r w:rsidR="002D017E" w:rsidRPr="0080189C">
        <w:rPr>
          <w:rFonts w:ascii="Arial" w:hAnsi="Arial" w:cs="Arial"/>
        </w:rPr>
        <w:t xml:space="preserve">adopted the Chartered Institute of Public Finance and Accountancy’s Treasury Management in the Public Services: Code of Practice (the CIPFA Code) which requires the </w:t>
      </w:r>
      <w:r w:rsidR="001102F6">
        <w:rPr>
          <w:rFonts w:ascii="Arial" w:hAnsi="Arial" w:cs="Arial"/>
        </w:rPr>
        <w:t>PCC</w:t>
      </w:r>
      <w:r w:rsidR="002D017E" w:rsidRPr="0080189C">
        <w:rPr>
          <w:rFonts w:ascii="Arial" w:hAnsi="Arial" w:cs="Arial"/>
        </w:rPr>
        <w:t xml:space="preserve"> to approve, as a minimum, </w:t>
      </w:r>
      <w:r w:rsidR="002D017E" w:rsidRPr="00845C8A">
        <w:rPr>
          <w:rFonts w:ascii="Arial" w:hAnsi="Arial" w:cs="Arial"/>
        </w:rPr>
        <w:t>four treasury management reports a year, including an annual strategy and outturn repor</w:t>
      </w:r>
      <w:r w:rsidR="002D017E">
        <w:rPr>
          <w:rFonts w:ascii="Arial" w:hAnsi="Arial" w:cs="Arial"/>
        </w:rPr>
        <w:t>t</w:t>
      </w:r>
      <w:r w:rsidR="00D145F8" w:rsidRPr="00E4751E">
        <w:rPr>
          <w:rFonts w:ascii="Arial" w:hAnsi="Arial" w:cs="Arial"/>
        </w:rPr>
        <w:t>.</w:t>
      </w:r>
    </w:p>
    <w:p w14:paraId="0452CAAE" w14:textId="636C20E3" w:rsidR="00452CD9" w:rsidRPr="00E4751E" w:rsidRDefault="00D661D7" w:rsidP="003C3808">
      <w:pPr>
        <w:pStyle w:val="ListParagraph"/>
        <w:numPr>
          <w:ilvl w:val="1"/>
          <w:numId w:val="2"/>
        </w:numPr>
        <w:spacing w:after="240"/>
        <w:ind w:left="720" w:hanging="720"/>
        <w:rPr>
          <w:rFonts w:ascii="Arial" w:hAnsi="Arial" w:cs="Arial"/>
        </w:rPr>
      </w:pPr>
      <w:r w:rsidRPr="006A2B8D">
        <w:rPr>
          <w:rFonts w:ascii="Arial" w:hAnsi="Arial" w:cs="Arial"/>
        </w:rPr>
        <w:t>This report provides an update on treasury management activity in the first half of 2023/24 and meets the requirement in the 2021 Code, mandatory from 1 April 2023, of quarterly reporting of the treasury management prudential indicators</w:t>
      </w:r>
      <w:r w:rsidR="00452CD9">
        <w:rPr>
          <w:rFonts w:ascii="Arial" w:hAnsi="Arial" w:cs="Arial"/>
        </w:rPr>
        <w:t>.</w:t>
      </w:r>
    </w:p>
    <w:p w14:paraId="6F9F1E62"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Recommendation</w:t>
      </w:r>
    </w:p>
    <w:p w14:paraId="465D88C4" w14:textId="17A71423"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It is recommended that the Joint Audit Committee </w:t>
      </w:r>
      <w:r w:rsidR="00056D9C">
        <w:rPr>
          <w:rFonts w:ascii="Arial" w:hAnsi="Arial" w:cs="Arial"/>
        </w:rPr>
        <w:t xml:space="preserve">(JAC) </w:t>
      </w:r>
      <w:r w:rsidRPr="00E4751E">
        <w:rPr>
          <w:rFonts w:ascii="Arial" w:hAnsi="Arial" w:cs="Arial"/>
        </w:rPr>
        <w:t>considers the report and makes observations as appropriate.</w:t>
      </w:r>
    </w:p>
    <w:p w14:paraId="0D54A817" w14:textId="517778D2" w:rsidR="0051299B" w:rsidRPr="00E4751E" w:rsidRDefault="00F51C52"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Executive Summary</w:t>
      </w:r>
    </w:p>
    <w:p w14:paraId="03C12884" w14:textId="75909BEE" w:rsidR="00065027" w:rsidRPr="00E4751E" w:rsidRDefault="005F1C03" w:rsidP="003C3808">
      <w:pPr>
        <w:pStyle w:val="ListParagraph"/>
        <w:numPr>
          <w:ilvl w:val="1"/>
          <w:numId w:val="2"/>
        </w:numPr>
        <w:spacing w:after="240"/>
        <w:ind w:left="720" w:hanging="720"/>
        <w:rPr>
          <w:rFonts w:ascii="Arial" w:hAnsi="Arial" w:cs="Arial"/>
        </w:rPr>
      </w:pPr>
      <w:r w:rsidRPr="00E4751E">
        <w:rPr>
          <w:rFonts w:ascii="Arial" w:hAnsi="Arial" w:cs="Arial"/>
        </w:rPr>
        <w:t>Th</w:t>
      </w:r>
      <w:r w:rsidR="00F51C52" w:rsidRPr="00E4751E">
        <w:rPr>
          <w:rFonts w:ascii="Arial" w:hAnsi="Arial" w:cs="Arial"/>
        </w:rPr>
        <w:t>e</w:t>
      </w:r>
      <w:r w:rsidRPr="00E4751E">
        <w:rPr>
          <w:rFonts w:ascii="Arial" w:hAnsi="Arial" w:cs="Arial"/>
        </w:rPr>
        <w:t xml:space="preserve"> report fulfils the PCC’s legal obligation</w:t>
      </w:r>
      <w:r w:rsidR="00377E7F" w:rsidRPr="00E4751E">
        <w:rPr>
          <w:rFonts w:ascii="Arial" w:hAnsi="Arial" w:cs="Arial"/>
        </w:rPr>
        <w:t xml:space="preserve"> under the Local Government Act 2003</w:t>
      </w:r>
      <w:r w:rsidRPr="00E4751E">
        <w:rPr>
          <w:rFonts w:ascii="Arial" w:hAnsi="Arial" w:cs="Arial"/>
        </w:rPr>
        <w:t xml:space="preserve"> to have regard to the CIPFA Code</w:t>
      </w:r>
      <w:r w:rsidR="00F51C52" w:rsidRPr="00E4751E">
        <w:rPr>
          <w:rFonts w:ascii="Arial" w:hAnsi="Arial" w:cs="Arial"/>
        </w:rPr>
        <w:t xml:space="preserve"> and provides an update </w:t>
      </w:r>
      <w:r w:rsidR="00C9405F" w:rsidRPr="00E4751E">
        <w:rPr>
          <w:rFonts w:ascii="Arial" w:hAnsi="Arial" w:cs="Arial"/>
        </w:rPr>
        <w:t xml:space="preserve">on the performance of the treasury management function during </w:t>
      </w:r>
      <w:r w:rsidR="00074374">
        <w:rPr>
          <w:rFonts w:ascii="Arial" w:hAnsi="Arial" w:cs="Arial"/>
        </w:rPr>
        <w:t>the first half of</w:t>
      </w:r>
      <w:r w:rsidR="003A527E">
        <w:rPr>
          <w:rFonts w:ascii="Arial" w:hAnsi="Arial" w:cs="Arial"/>
        </w:rPr>
        <w:t xml:space="preserve"> </w:t>
      </w:r>
      <w:r w:rsidR="00C9405F" w:rsidRPr="00E4751E">
        <w:rPr>
          <w:rFonts w:ascii="Arial" w:hAnsi="Arial" w:cs="Arial"/>
        </w:rPr>
        <w:t>202</w:t>
      </w:r>
      <w:r w:rsidR="00EA6201">
        <w:rPr>
          <w:rFonts w:ascii="Arial" w:hAnsi="Arial" w:cs="Arial"/>
        </w:rPr>
        <w:t>3</w:t>
      </w:r>
      <w:r w:rsidR="00A2040A" w:rsidRPr="00E4751E">
        <w:rPr>
          <w:rFonts w:ascii="Arial" w:hAnsi="Arial" w:cs="Arial"/>
        </w:rPr>
        <w:t>/2</w:t>
      </w:r>
      <w:r w:rsidR="00EA6201">
        <w:rPr>
          <w:rFonts w:ascii="Arial" w:hAnsi="Arial" w:cs="Arial"/>
        </w:rPr>
        <w:t>4</w:t>
      </w:r>
      <w:r w:rsidR="00EC6B20">
        <w:rPr>
          <w:rFonts w:ascii="Arial" w:hAnsi="Arial" w:cs="Arial"/>
        </w:rPr>
        <w:t>.</w:t>
      </w:r>
    </w:p>
    <w:p w14:paraId="776996C6" w14:textId="716D25F3" w:rsidR="00EC6236" w:rsidRPr="001B4C97" w:rsidRDefault="00EC6236" w:rsidP="001D0F8E">
      <w:pPr>
        <w:pStyle w:val="ListParagraph"/>
        <w:numPr>
          <w:ilvl w:val="1"/>
          <w:numId w:val="2"/>
        </w:numPr>
        <w:spacing w:after="240"/>
        <w:ind w:left="720" w:hanging="720"/>
        <w:outlineLvl w:val="0"/>
        <w:rPr>
          <w:rFonts w:ascii="Arial" w:eastAsia="Calibri" w:hAnsi="Arial" w:cs="Arial"/>
        </w:rPr>
      </w:pPr>
      <w:r w:rsidRPr="001B4C97">
        <w:rPr>
          <w:rFonts w:ascii="Arial" w:hAnsi="Arial" w:cs="Arial"/>
        </w:rPr>
        <w:t>The PCC’s treasury management strategy</w:t>
      </w:r>
      <w:r w:rsidR="00E21BE2" w:rsidRPr="001B4C97">
        <w:rPr>
          <w:rFonts w:ascii="Arial" w:hAnsi="Arial" w:cs="Arial"/>
        </w:rPr>
        <w:t xml:space="preserve"> was most recently updated and approved by the PCC in </w:t>
      </w:r>
      <w:r w:rsidR="00B14AC6">
        <w:rPr>
          <w:rFonts w:ascii="Arial" w:hAnsi="Arial" w:cs="Arial"/>
        </w:rPr>
        <w:t>March</w:t>
      </w:r>
      <w:r w:rsidR="00B14AC6" w:rsidRPr="001B4C97">
        <w:rPr>
          <w:rFonts w:ascii="Arial" w:hAnsi="Arial" w:cs="Arial"/>
        </w:rPr>
        <w:t xml:space="preserve"> </w:t>
      </w:r>
      <w:r w:rsidR="00E21BE2" w:rsidRPr="001B4C97">
        <w:rPr>
          <w:rFonts w:ascii="Arial" w:hAnsi="Arial" w:cs="Arial"/>
        </w:rPr>
        <w:t>202</w:t>
      </w:r>
      <w:r w:rsidR="00007E62">
        <w:rPr>
          <w:rFonts w:ascii="Arial" w:hAnsi="Arial" w:cs="Arial"/>
        </w:rPr>
        <w:t>3</w:t>
      </w:r>
      <w:r w:rsidR="00317DA6" w:rsidRPr="001B4C97">
        <w:rPr>
          <w:rFonts w:ascii="Arial" w:hAnsi="Arial" w:cs="Arial"/>
        </w:rPr>
        <w:t xml:space="preserve">. </w:t>
      </w:r>
      <w:r w:rsidRPr="001B4C97">
        <w:rPr>
          <w:rFonts w:ascii="Arial" w:hAnsi="Arial" w:cs="Arial"/>
        </w:rPr>
        <w:t xml:space="preserve"> The PCC has borrowed and invested sums of money and is therefore exposed to financial risks including the loss of invested funds and the revenue effect of changing interest rates.  The successful identification, monitoring and control of risk are therefore central to the PCC’s treasury management strategy.</w:t>
      </w:r>
    </w:p>
    <w:p w14:paraId="2D264A5E" w14:textId="0B05C52A" w:rsidR="0051299B" w:rsidRPr="00EE2047" w:rsidRDefault="0051299B" w:rsidP="001D0F8E">
      <w:pPr>
        <w:pStyle w:val="ListParagraph"/>
        <w:numPr>
          <w:ilvl w:val="1"/>
          <w:numId w:val="2"/>
        </w:numPr>
        <w:spacing w:after="240"/>
        <w:ind w:left="720" w:hanging="720"/>
        <w:outlineLvl w:val="0"/>
        <w:rPr>
          <w:rFonts w:ascii="Arial" w:eastAsia="Calibri" w:hAnsi="Arial" w:cs="Arial"/>
        </w:rPr>
      </w:pPr>
      <w:r w:rsidRPr="00EE2047">
        <w:rPr>
          <w:rFonts w:ascii="Arial" w:hAnsi="Arial" w:cs="Arial"/>
        </w:rPr>
        <w:t>Treasury management in the context of this report is defined as:</w:t>
      </w:r>
      <w:r w:rsidR="00413F43" w:rsidRPr="00EE2047">
        <w:rPr>
          <w:rFonts w:ascii="Arial" w:hAnsi="Arial" w:cs="Arial"/>
        </w:rPr>
        <w:t xml:space="preserve"> </w:t>
      </w:r>
      <w:r w:rsidRPr="00EE2047">
        <w:rPr>
          <w:rFonts w:ascii="Arial" w:eastAsia="Calibri" w:hAnsi="Arial" w:cs="Arial"/>
        </w:rPr>
        <w:t>“The management of the organisation’s investments and cash flows, its banking, money market and capital market transactions; the effective control of the risks associated with those activities; and the pursuit of optimum performance consistent with those risks.”</w:t>
      </w:r>
    </w:p>
    <w:p w14:paraId="30FFB165" w14:textId="53216D79"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lastRenderedPageBreak/>
        <w:t>This report sets out the performance of the treasury management function during</w:t>
      </w:r>
      <w:r w:rsidR="00F730E9">
        <w:rPr>
          <w:rFonts w:ascii="Arial" w:hAnsi="Arial" w:cs="Arial"/>
        </w:rPr>
        <w:t xml:space="preserve"> the first half of</w:t>
      </w:r>
      <w:r w:rsidR="004535F5">
        <w:rPr>
          <w:rFonts w:ascii="Arial" w:hAnsi="Arial" w:cs="Arial"/>
        </w:rPr>
        <w:t xml:space="preserve"> 20</w:t>
      </w:r>
      <w:r w:rsidR="007042FB" w:rsidRPr="00EE2047">
        <w:rPr>
          <w:rFonts w:ascii="Arial" w:hAnsi="Arial" w:cs="Arial"/>
        </w:rPr>
        <w:t>2</w:t>
      </w:r>
      <w:r w:rsidR="00E83D61">
        <w:rPr>
          <w:rFonts w:ascii="Arial" w:hAnsi="Arial" w:cs="Arial"/>
        </w:rPr>
        <w:t>3</w:t>
      </w:r>
      <w:r w:rsidR="004535F5">
        <w:rPr>
          <w:rFonts w:ascii="Arial" w:hAnsi="Arial" w:cs="Arial"/>
        </w:rPr>
        <w:t>/24</w:t>
      </w:r>
      <w:r w:rsidRPr="00EE2047">
        <w:rPr>
          <w:rFonts w:ascii="Arial" w:hAnsi="Arial" w:cs="Arial"/>
        </w:rPr>
        <w:t>, to include the effects of the decisions taken and the transactions executed in the</w:t>
      </w:r>
      <w:r w:rsidR="00E52F61">
        <w:rPr>
          <w:rFonts w:ascii="Arial" w:hAnsi="Arial" w:cs="Arial"/>
        </w:rPr>
        <w:t xml:space="preserve"> first </w:t>
      </w:r>
      <w:r w:rsidR="00F730E9">
        <w:rPr>
          <w:rFonts w:ascii="Arial" w:hAnsi="Arial" w:cs="Arial"/>
        </w:rPr>
        <w:t>six</w:t>
      </w:r>
      <w:r w:rsidR="00E52F61">
        <w:rPr>
          <w:rFonts w:ascii="Arial" w:hAnsi="Arial" w:cs="Arial"/>
        </w:rPr>
        <w:t xml:space="preserve"> months of the financial</w:t>
      </w:r>
      <w:r w:rsidRPr="00EE2047">
        <w:rPr>
          <w:rFonts w:ascii="Arial" w:hAnsi="Arial" w:cs="Arial"/>
        </w:rPr>
        <w:t xml:space="preserve"> year.</w:t>
      </w:r>
    </w:p>
    <w:p w14:paraId="5C4540D6" w14:textId="0455734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Overall responsibility for treasury management remains with the PCC.  No treasury management activity is without risk</w:t>
      </w:r>
      <w:r w:rsidR="00377E7F" w:rsidRPr="00EE2047">
        <w:rPr>
          <w:rFonts w:ascii="Arial" w:hAnsi="Arial" w:cs="Arial"/>
        </w:rPr>
        <w:t xml:space="preserve"> and </w:t>
      </w:r>
      <w:r w:rsidRPr="00EE2047">
        <w:rPr>
          <w:rFonts w:ascii="Arial" w:hAnsi="Arial" w:cs="Arial"/>
        </w:rPr>
        <w:t xml:space="preserve">the effective identification and management of risk are </w:t>
      </w:r>
      <w:r w:rsidR="00377E7F" w:rsidRPr="00EE2047">
        <w:rPr>
          <w:rFonts w:ascii="Arial" w:hAnsi="Arial" w:cs="Arial"/>
        </w:rPr>
        <w:t xml:space="preserve">therefore </w:t>
      </w:r>
      <w:r w:rsidRPr="00EE2047">
        <w:rPr>
          <w:rFonts w:ascii="Arial" w:hAnsi="Arial" w:cs="Arial"/>
        </w:rPr>
        <w:t>integral to the PCC’s treasury management objectives.</w:t>
      </w:r>
    </w:p>
    <w:p w14:paraId="67D54714" w14:textId="47BAEE20"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All treasury activity has complied with the PCC’s Treasury Management Strategy and Investment Strategy for 20</w:t>
      </w:r>
      <w:r w:rsidR="005D4882" w:rsidRPr="00EE2047">
        <w:rPr>
          <w:rFonts w:ascii="Arial" w:hAnsi="Arial" w:cs="Arial"/>
        </w:rPr>
        <w:t>2</w:t>
      </w:r>
      <w:r w:rsidR="00D94515">
        <w:rPr>
          <w:rFonts w:ascii="Arial" w:hAnsi="Arial" w:cs="Arial"/>
        </w:rPr>
        <w:t>3</w:t>
      </w:r>
      <w:r w:rsidR="00804E4F" w:rsidRPr="00EE2047">
        <w:rPr>
          <w:rFonts w:ascii="Arial" w:hAnsi="Arial" w:cs="Arial"/>
        </w:rPr>
        <w:t>/2</w:t>
      </w:r>
      <w:r w:rsidR="00D94515">
        <w:rPr>
          <w:rFonts w:ascii="Arial" w:hAnsi="Arial" w:cs="Arial"/>
        </w:rPr>
        <w:t>4</w:t>
      </w:r>
      <w:r w:rsidRPr="00EE2047">
        <w:rPr>
          <w:rFonts w:ascii="Arial" w:hAnsi="Arial" w:cs="Arial"/>
        </w:rPr>
        <w:t>, and all relevant statute, guidance and accounting standards. In addition</w:t>
      </w:r>
      <w:r w:rsidR="00377E7F" w:rsidRPr="00EE2047">
        <w:rPr>
          <w:rFonts w:ascii="Arial" w:hAnsi="Arial" w:cs="Arial"/>
        </w:rPr>
        <w:t>, support in undertaking treasury management activities has been provided by</w:t>
      </w:r>
      <w:r w:rsidRPr="00EE2047">
        <w:rPr>
          <w:rFonts w:ascii="Arial" w:hAnsi="Arial" w:cs="Arial"/>
        </w:rPr>
        <w:t xml:space="preserve"> the PCC’s treasury advisers, Arlingclose</w:t>
      </w:r>
      <w:r w:rsidR="00377E7F" w:rsidRPr="00EE2047">
        <w:rPr>
          <w:rFonts w:ascii="Arial" w:hAnsi="Arial" w:cs="Arial"/>
        </w:rPr>
        <w:t xml:space="preserve">. </w:t>
      </w:r>
    </w:p>
    <w:p w14:paraId="7ED92704" w14:textId="0A133EB9" w:rsidR="00377E7F" w:rsidRPr="00142897" w:rsidRDefault="00377E7F" w:rsidP="003C3808">
      <w:pPr>
        <w:pStyle w:val="ListParagraph"/>
        <w:numPr>
          <w:ilvl w:val="1"/>
          <w:numId w:val="2"/>
        </w:numPr>
        <w:spacing w:after="240"/>
        <w:ind w:left="720" w:hanging="720"/>
        <w:rPr>
          <w:rFonts w:ascii="Arial" w:hAnsi="Arial" w:cs="Arial"/>
        </w:rPr>
      </w:pPr>
      <w:r w:rsidRPr="00142897">
        <w:rPr>
          <w:rFonts w:ascii="Arial" w:hAnsi="Arial" w:cs="Arial"/>
        </w:rPr>
        <w:t xml:space="preserve">The Prudential Code includes the requirement to produce and have approved a Capital Strategy, a summary document covering capital expenditure and financing, treasury management and non-treasury investments. The PCC’s </w:t>
      </w:r>
      <w:r w:rsidR="001A04A9" w:rsidRPr="00142897">
        <w:rPr>
          <w:rFonts w:ascii="Arial" w:hAnsi="Arial" w:cs="Arial"/>
        </w:rPr>
        <w:t>most recent</w:t>
      </w:r>
      <w:r w:rsidRPr="00142897">
        <w:rPr>
          <w:rFonts w:ascii="Arial" w:hAnsi="Arial" w:cs="Arial"/>
        </w:rPr>
        <w:t xml:space="preserve"> Capital and Investment Strategy, complying with CIPFA’s requirement, was approved by the PCC </w:t>
      </w:r>
      <w:r w:rsidR="005C4922" w:rsidRPr="00142897">
        <w:rPr>
          <w:rFonts w:ascii="Arial" w:hAnsi="Arial" w:cs="Arial"/>
        </w:rPr>
        <w:t>i</w:t>
      </w:r>
      <w:r w:rsidR="0023548B" w:rsidRPr="00142897">
        <w:rPr>
          <w:rFonts w:ascii="Arial" w:hAnsi="Arial" w:cs="Arial"/>
        </w:rPr>
        <w:t>n February 20</w:t>
      </w:r>
      <w:r w:rsidR="00140D97" w:rsidRPr="00142897">
        <w:rPr>
          <w:rFonts w:ascii="Arial" w:hAnsi="Arial" w:cs="Arial"/>
        </w:rPr>
        <w:t>2</w:t>
      </w:r>
      <w:r w:rsidR="003729C2">
        <w:rPr>
          <w:rFonts w:ascii="Arial" w:hAnsi="Arial" w:cs="Arial"/>
        </w:rPr>
        <w:t>3</w:t>
      </w:r>
      <w:r w:rsidR="0023548B" w:rsidRPr="00142897">
        <w:rPr>
          <w:rFonts w:ascii="Arial" w:hAnsi="Arial" w:cs="Arial"/>
        </w:rPr>
        <w:t>.</w:t>
      </w:r>
    </w:p>
    <w:p w14:paraId="7C14B556" w14:textId="4928D646" w:rsidR="005A60B2" w:rsidRPr="00142897" w:rsidRDefault="002F648B" w:rsidP="003C3808">
      <w:pPr>
        <w:keepNext/>
        <w:numPr>
          <w:ilvl w:val="0"/>
          <w:numId w:val="2"/>
        </w:numPr>
        <w:tabs>
          <w:tab w:val="num" w:pos="720"/>
        </w:tabs>
        <w:spacing w:after="240"/>
        <w:ind w:left="431" w:hanging="431"/>
        <w:outlineLvl w:val="0"/>
        <w:rPr>
          <w:rFonts w:ascii="Arial" w:hAnsi="Arial" w:cs="Arial"/>
          <w:b/>
        </w:rPr>
      </w:pPr>
      <w:r w:rsidRPr="00142897">
        <w:rPr>
          <w:rFonts w:ascii="Arial" w:hAnsi="Arial" w:cs="Arial"/>
          <w:b/>
        </w:rPr>
        <w:t>External Context</w:t>
      </w:r>
    </w:p>
    <w:p w14:paraId="3CCB5238" w14:textId="77777777" w:rsidR="00865810" w:rsidRDefault="003E0120" w:rsidP="00865810">
      <w:pPr>
        <w:pStyle w:val="ListParagraph"/>
        <w:numPr>
          <w:ilvl w:val="1"/>
          <w:numId w:val="2"/>
        </w:numPr>
        <w:spacing w:after="240"/>
        <w:ind w:left="720" w:hanging="720"/>
        <w:rPr>
          <w:rFonts w:ascii="Arial" w:hAnsi="Arial" w:cs="Arial"/>
        </w:rPr>
      </w:pPr>
      <w:r w:rsidRPr="00722CB9">
        <w:rPr>
          <w:rFonts w:ascii="Arial" w:hAnsi="Arial" w:cs="Arial"/>
        </w:rPr>
        <w:t xml:space="preserve">The following sections outline the key economic themes in the UK against which investment and borrowing decisions </w:t>
      </w:r>
      <w:r>
        <w:rPr>
          <w:rFonts w:ascii="Arial" w:hAnsi="Arial" w:cs="Arial"/>
        </w:rPr>
        <w:t>have been</w:t>
      </w:r>
      <w:r w:rsidRPr="00722CB9">
        <w:rPr>
          <w:rFonts w:ascii="Arial" w:hAnsi="Arial" w:cs="Arial"/>
        </w:rPr>
        <w:t xml:space="preserve"> made</w:t>
      </w:r>
      <w:r>
        <w:rPr>
          <w:rFonts w:ascii="Arial" w:hAnsi="Arial" w:cs="Arial"/>
        </w:rPr>
        <w:t xml:space="preserve"> so far</w:t>
      </w:r>
      <w:r w:rsidRPr="00722CB9">
        <w:rPr>
          <w:rFonts w:ascii="Arial" w:hAnsi="Arial" w:cs="Arial"/>
        </w:rPr>
        <w:t xml:space="preserve"> in 202</w:t>
      </w:r>
      <w:r>
        <w:rPr>
          <w:rFonts w:ascii="Arial" w:hAnsi="Arial" w:cs="Arial"/>
        </w:rPr>
        <w:t>3/24</w:t>
      </w:r>
      <w:r w:rsidR="0051299B" w:rsidRPr="00142897">
        <w:rPr>
          <w:rFonts w:ascii="Arial" w:hAnsi="Arial" w:cs="Arial"/>
        </w:rPr>
        <w:t>.</w:t>
      </w:r>
    </w:p>
    <w:p w14:paraId="3009DE0C" w14:textId="2597AB34" w:rsidR="00AA187F" w:rsidRPr="00AA187F" w:rsidRDefault="00AA187F" w:rsidP="00AA187F">
      <w:pPr>
        <w:pStyle w:val="ListParagraph"/>
        <w:spacing w:after="240"/>
        <w:rPr>
          <w:rFonts w:ascii="Arial" w:hAnsi="Arial" w:cs="Arial"/>
          <w:b/>
          <w:bCs/>
        </w:rPr>
      </w:pPr>
      <w:r w:rsidRPr="00AA187F">
        <w:rPr>
          <w:rFonts w:ascii="Arial" w:hAnsi="Arial" w:cs="Arial"/>
          <w:b/>
          <w:bCs/>
        </w:rPr>
        <w:t>Economic commentary</w:t>
      </w:r>
    </w:p>
    <w:p w14:paraId="21724319" w14:textId="77777777" w:rsidR="00751D54" w:rsidRPr="00F9225B" w:rsidRDefault="00751D54" w:rsidP="00751D54">
      <w:pPr>
        <w:pStyle w:val="ListParagraph"/>
        <w:numPr>
          <w:ilvl w:val="1"/>
          <w:numId w:val="2"/>
        </w:numPr>
        <w:spacing w:after="240"/>
        <w:ind w:left="720" w:hanging="720"/>
        <w:rPr>
          <w:rFonts w:ascii="Arial" w:hAnsi="Arial" w:cs="Arial"/>
        </w:rPr>
      </w:pPr>
      <w:r w:rsidRPr="00F9225B">
        <w:rPr>
          <w:rFonts w:ascii="Arial" w:hAnsi="Arial" w:cs="Arial"/>
        </w:rPr>
        <w:t>UK inflation has remained high over the period, keeping market expectations elevated of how much further the Bank of England (BoE) would hike rates. The Bank of England’s (BoE) Monetary Policy Committee (MPC) continued tightening monetary policy over most of the period, taking Bank Rate to 5.25% in August 2023, however, inflation data published in the latter part of the period undershot expectations, causing financial markets to reassess the peak in BoE Bank Rate. This was followed by the BoE deciding to keep Bank Rate on hold at 5.25% in</w:t>
      </w:r>
      <w:r>
        <w:rPr>
          <w:rFonts w:ascii="Arial" w:hAnsi="Arial" w:cs="Arial"/>
        </w:rPr>
        <w:t xml:space="preserve"> both</w:t>
      </w:r>
      <w:r w:rsidRPr="00F9225B">
        <w:rPr>
          <w:rFonts w:ascii="Arial" w:hAnsi="Arial" w:cs="Arial"/>
        </w:rPr>
        <w:t xml:space="preserve"> September</w:t>
      </w:r>
      <w:r>
        <w:rPr>
          <w:rFonts w:ascii="Arial" w:hAnsi="Arial" w:cs="Arial"/>
        </w:rPr>
        <w:t xml:space="preserve"> and November</w:t>
      </w:r>
      <w:r w:rsidRPr="00F9225B">
        <w:rPr>
          <w:rFonts w:ascii="Arial" w:hAnsi="Arial" w:cs="Arial"/>
        </w:rPr>
        <w:t xml:space="preserve"> 2023.</w:t>
      </w:r>
    </w:p>
    <w:p w14:paraId="7FC47B9F" w14:textId="4D6B5756" w:rsidR="00751D54" w:rsidRPr="00F9225B" w:rsidRDefault="00751D54" w:rsidP="00751D54">
      <w:pPr>
        <w:pStyle w:val="ListParagraph"/>
        <w:numPr>
          <w:ilvl w:val="1"/>
          <w:numId w:val="2"/>
        </w:numPr>
        <w:spacing w:after="240"/>
        <w:ind w:left="720" w:hanging="720"/>
        <w:rPr>
          <w:rFonts w:ascii="Arial" w:hAnsi="Arial" w:cs="Arial"/>
        </w:rPr>
      </w:pPr>
      <w:r w:rsidRPr="00063CE3">
        <w:rPr>
          <w:rFonts w:ascii="Arial" w:hAnsi="Arial" w:cs="Arial"/>
        </w:rPr>
        <w:t xml:space="preserve">Economic growth in the UK remained </w:t>
      </w:r>
      <w:r w:rsidR="000F5811" w:rsidRPr="00063CE3">
        <w:rPr>
          <w:rFonts w:ascii="Arial" w:hAnsi="Arial" w:cs="Arial"/>
        </w:rPr>
        <w:t>stagnant</w:t>
      </w:r>
      <w:r w:rsidRPr="00063CE3">
        <w:rPr>
          <w:rFonts w:ascii="Arial" w:hAnsi="Arial" w:cs="Arial"/>
        </w:rPr>
        <w:t xml:space="preserve"> </w:t>
      </w:r>
      <w:r w:rsidR="00CA1C2B">
        <w:rPr>
          <w:rFonts w:ascii="Arial" w:hAnsi="Arial" w:cs="Arial"/>
        </w:rPr>
        <w:t>between June and September 2023</w:t>
      </w:r>
      <w:r w:rsidR="009A5EFF">
        <w:rPr>
          <w:rFonts w:ascii="Arial" w:hAnsi="Arial" w:cs="Arial"/>
        </w:rPr>
        <w:t>, however with some changes to come in the fourth quarter of the calendar year</w:t>
      </w:r>
      <w:r w:rsidRPr="00063CE3">
        <w:rPr>
          <w:rFonts w:ascii="Arial" w:hAnsi="Arial" w:cs="Arial"/>
        </w:rPr>
        <w:t xml:space="preserve">. </w:t>
      </w:r>
      <w:r w:rsidR="00101A8D" w:rsidRPr="00063CE3">
        <w:rPr>
          <w:rFonts w:ascii="Arial" w:hAnsi="Arial" w:cs="Arial"/>
        </w:rPr>
        <w:t>The first estimate of</w:t>
      </w:r>
      <w:r w:rsidR="000B47F3" w:rsidRPr="00063CE3">
        <w:rPr>
          <w:rFonts w:ascii="Arial" w:hAnsi="Arial" w:cs="Arial"/>
        </w:rPr>
        <w:t xml:space="preserve"> UK GDP i</w:t>
      </w:r>
      <w:r w:rsidRPr="00063CE3">
        <w:rPr>
          <w:rFonts w:ascii="Arial" w:hAnsi="Arial" w:cs="Arial"/>
        </w:rPr>
        <w:t>n</w:t>
      </w:r>
      <w:r w:rsidRPr="00F9225B">
        <w:rPr>
          <w:rFonts w:ascii="Arial" w:hAnsi="Arial" w:cs="Arial"/>
        </w:rPr>
        <w:t xml:space="preserve"> calendar Quarter </w:t>
      </w:r>
      <w:r w:rsidR="000F5811" w:rsidRPr="00063CE3">
        <w:rPr>
          <w:rFonts w:ascii="Arial" w:hAnsi="Arial" w:cs="Arial"/>
        </w:rPr>
        <w:t>3</w:t>
      </w:r>
      <w:r w:rsidRPr="00063CE3">
        <w:rPr>
          <w:rFonts w:ascii="Arial" w:hAnsi="Arial" w:cs="Arial"/>
        </w:rPr>
        <w:t xml:space="preserve"> 2023</w:t>
      </w:r>
      <w:r w:rsidR="000B47F3" w:rsidRPr="00063CE3">
        <w:rPr>
          <w:rFonts w:ascii="Arial" w:hAnsi="Arial" w:cs="Arial"/>
        </w:rPr>
        <w:t xml:space="preserve"> indicated that</w:t>
      </w:r>
      <w:r w:rsidRPr="00063CE3">
        <w:rPr>
          <w:rFonts w:ascii="Arial" w:hAnsi="Arial" w:cs="Arial"/>
        </w:rPr>
        <w:t xml:space="preserve"> </w:t>
      </w:r>
      <w:r w:rsidRPr="00F9225B">
        <w:rPr>
          <w:rFonts w:ascii="Arial" w:hAnsi="Arial" w:cs="Arial"/>
        </w:rPr>
        <w:t xml:space="preserve">the economy </w:t>
      </w:r>
      <w:r w:rsidR="00E24B6D" w:rsidRPr="00063CE3">
        <w:rPr>
          <w:rFonts w:ascii="Arial" w:hAnsi="Arial" w:cs="Arial"/>
        </w:rPr>
        <w:t>showed no growth compared to the second quarter where it had increased by</w:t>
      </w:r>
      <w:r w:rsidRPr="00F9225B">
        <w:rPr>
          <w:rFonts w:ascii="Arial" w:hAnsi="Arial" w:cs="Arial"/>
        </w:rPr>
        <w:t xml:space="preserve"> 0.2%. </w:t>
      </w:r>
      <w:r w:rsidR="00B37D8F">
        <w:rPr>
          <w:rFonts w:ascii="Arial" w:hAnsi="Arial" w:cs="Arial"/>
        </w:rPr>
        <w:t xml:space="preserve">In September 2023 </w:t>
      </w:r>
      <w:r w:rsidRPr="00F9225B">
        <w:rPr>
          <w:rFonts w:ascii="Arial" w:hAnsi="Arial" w:cs="Arial"/>
        </w:rPr>
        <w:t xml:space="preserve">CPI (Consumer Prices Index) </w:t>
      </w:r>
      <w:r w:rsidR="00B37D8F">
        <w:rPr>
          <w:rFonts w:ascii="Arial" w:hAnsi="Arial" w:cs="Arial"/>
        </w:rPr>
        <w:t>inflation remained unchanged from the previous month at</w:t>
      </w:r>
      <w:r w:rsidRPr="00F9225B">
        <w:rPr>
          <w:rFonts w:ascii="Arial" w:hAnsi="Arial" w:cs="Arial"/>
        </w:rPr>
        <w:t xml:space="preserve"> 6.7</w:t>
      </w:r>
      <w:r w:rsidRPr="00063CE3">
        <w:rPr>
          <w:rFonts w:ascii="Arial" w:hAnsi="Arial" w:cs="Arial"/>
        </w:rPr>
        <w:t>%</w:t>
      </w:r>
      <w:r w:rsidR="0038185F">
        <w:rPr>
          <w:rFonts w:ascii="Arial" w:hAnsi="Arial" w:cs="Arial"/>
        </w:rPr>
        <w:t xml:space="preserve">, however </w:t>
      </w:r>
      <w:r w:rsidR="001F2A11">
        <w:rPr>
          <w:rFonts w:ascii="Arial" w:hAnsi="Arial" w:cs="Arial"/>
        </w:rPr>
        <w:t xml:space="preserve">at the time of writing news was just in that </w:t>
      </w:r>
      <w:r w:rsidR="008336F8">
        <w:rPr>
          <w:rFonts w:ascii="Arial" w:hAnsi="Arial" w:cs="Arial"/>
        </w:rPr>
        <w:t xml:space="preserve">a larger decline than expected in October 2023’s headline CPI </w:t>
      </w:r>
      <w:r w:rsidR="00ED20A5">
        <w:rPr>
          <w:rFonts w:ascii="Arial" w:hAnsi="Arial" w:cs="Arial"/>
        </w:rPr>
        <w:t>was seen</w:t>
      </w:r>
      <w:r w:rsidR="005F1C85">
        <w:rPr>
          <w:rFonts w:ascii="Arial" w:hAnsi="Arial" w:cs="Arial"/>
        </w:rPr>
        <w:t xml:space="preserve"> at 4.6%</w:t>
      </w:r>
      <w:r w:rsidR="00A01D44">
        <w:rPr>
          <w:rFonts w:ascii="Arial" w:hAnsi="Arial" w:cs="Arial"/>
        </w:rPr>
        <w:t>, with the most significant downward driver being due to housing and house</w:t>
      </w:r>
      <w:r w:rsidR="002071E1">
        <w:rPr>
          <w:rFonts w:ascii="Arial" w:hAnsi="Arial" w:cs="Arial"/>
        </w:rPr>
        <w:t>hold services.</w:t>
      </w:r>
      <w:r w:rsidRPr="00F9225B">
        <w:rPr>
          <w:rFonts w:ascii="Arial" w:hAnsi="Arial" w:cs="Arial"/>
        </w:rPr>
        <w:t xml:space="preserve"> </w:t>
      </w:r>
    </w:p>
    <w:p w14:paraId="555085DE" w14:textId="2FC7807E" w:rsidR="00865810" w:rsidRPr="00B85E75" w:rsidRDefault="00751D54" w:rsidP="00751D54">
      <w:pPr>
        <w:pStyle w:val="ListParagraph"/>
        <w:numPr>
          <w:ilvl w:val="1"/>
          <w:numId w:val="2"/>
        </w:numPr>
        <w:spacing w:after="240"/>
        <w:ind w:left="720" w:hanging="720"/>
        <w:rPr>
          <w:rFonts w:ascii="Arial" w:hAnsi="Arial" w:cs="Arial"/>
        </w:rPr>
      </w:pPr>
      <w:r w:rsidRPr="00F9225B">
        <w:rPr>
          <w:rFonts w:ascii="Arial" w:hAnsi="Arial" w:cs="Arial"/>
        </w:rPr>
        <w:lastRenderedPageBreak/>
        <w:t>Following the September MPC meeting, Arlingclose modestly revised its interest forecast to reflect the central view that 5.25% will now be the peak in Bank Rate</w:t>
      </w:r>
      <w:r w:rsidR="00865810" w:rsidRPr="00B85E75">
        <w:rPr>
          <w:rFonts w:ascii="Arial" w:hAnsi="Arial" w:cs="Arial"/>
        </w:rPr>
        <w:t>.</w:t>
      </w:r>
    </w:p>
    <w:p w14:paraId="0D2C8093"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Financial markets</w:t>
      </w:r>
    </w:p>
    <w:p w14:paraId="5200AE17" w14:textId="65849A3C" w:rsidR="00865810" w:rsidRPr="00B85E75" w:rsidRDefault="00473D25" w:rsidP="00865810">
      <w:pPr>
        <w:pStyle w:val="ListParagraph"/>
        <w:numPr>
          <w:ilvl w:val="1"/>
          <w:numId w:val="2"/>
        </w:numPr>
        <w:spacing w:after="240"/>
        <w:ind w:left="720" w:hanging="720"/>
        <w:rPr>
          <w:rFonts w:ascii="Arial" w:hAnsi="Arial" w:cs="Arial"/>
        </w:rPr>
      </w:pPr>
      <w:r w:rsidRPr="005F275D">
        <w:rPr>
          <w:rFonts w:ascii="Arial" w:hAnsi="Arial" w:cs="Arial"/>
        </w:rPr>
        <w:t>Financial market sentiment and bond yields remained volatile, with the latter generally trending downwards as there were signs inflation, while still high, was moderating and interest rates were at a peak. Gilt yields fell towards the end of the period</w:t>
      </w:r>
      <w:r w:rsidR="00865810" w:rsidRPr="00B85E75">
        <w:rPr>
          <w:rFonts w:ascii="Arial" w:hAnsi="Arial" w:cs="Arial"/>
        </w:rPr>
        <w:t>.</w:t>
      </w:r>
    </w:p>
    <w:p w14:paraId="7F237F58"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Credit review</w:t>
      </w:r>
    </w:p>
    <w:p w14:paraId="1633CF76" w14:textId="77777777" w:rsidR="007726C7" w:rsidRPr="00E66582" w:rsidRDefault="007726C7" w:rsidP="007726C7">
      <w:pPr>
        <w:pStyle w:val="ListParagraph"/>
        <w:numPr>
          <w:ilvl w:val="1"/>
          <w:numId w:val="2"/>
        </w:numPr>
        <w:spacing w:after="240"/>
        <w:ind w:left="720" w:hanging="720"/>
        <w:rPr>
          <w:rFonts w:ascii="Arial" w:hAnsi="Arial" w:cs="Arial"/>
        </w:rPr>
      </w:pPr>
      <w:r w:rsidRPr="00E66582">
        <w:rPr>
          <w:rFonts w:ascii="Arial" w:hAnsi="Arial" w:cs="Arial"/>
        </w:rPr>
        <w:t>In March 2023 Arlingclose completed a review of its credit advice on unsecured deposits at UK and non-UK banks following concerns of a wider financial crisis after the collapse of Silicon Valley Bank, and the purchase of Credit Suisse by UBS, as well as other well-publicised banking sector issues.  As a result, Arlingclose reduced the advised maximum duration limit for all banks on its recommended counterparty list to 35 days for unsecured investments. This stance continued to be maintained during Quarter 2 of the financial year.</w:t>
      </w:r>
    </w:p>
    <w:p w14:paraId="5CAAAE38" w14:textId="3C7DBB1C" w:rsidR="007726C7" w:rsidRPr="00E66582" w:rsidRDefault="007726C7" w:rsidP="007726C7">
      <w:pPr>
        <w:pStyle w:val="ListParagraph"/>
        <w:numPr>
          <w:ilvl w:val="1"/>
          <w:numId w:val="2"/>
        </w:numPr>
        <w:spacing w:after="240"/>
        <w:ind w:left="720" w:hanging="720"/>
        <w:rPr>
          <w:rFonts w:ascii="Arial" w:hAnsi="Arial" w:cs="Arial"/>
        </w:rPr>
      </w:pPr>
      <w:r w:rsidRPr="00E66582">
        <w:rPr>
          <w:rFonts w:ascii="Arial" w:hAnsi="Arial" w:cs="Arial"/>
        </w:rPr>
        <w:t>Arlingclose continued to monitor and assess credit default swap levels for signs of ongoing credit stress and no changes were made to recommended bank durations over Quarter 2 of the financial year. Credit default swaps are used as an indicator of credit risk, where higher premiums indicate higher perceived risks. Northern Trust Corporation was added to the counterparty list.</w:t>
      </w:r>
    </w:p>
    <w:p w14:paraId="62693E0E" w14:textId="2A026D70" w:rsidR="00431E02" w:rsidRPr="009C2D4B" w:rsidRDefault="007726C7" w:rsidP="007726C7">
      <w:pPr>
        <w:pStyle w:val="ListParagraph"/>
        <w:numPr>
          <w:ilvl w:val="1"/>
          <w:numId w:val="2"/>
        </w:numPr>
        <w:spacing w:after="240"/>
        <w:ind w:left="720" w:hanging="720"/>
        <w:rPr>
          <w:rFonts w:ascii="Arial" w:hAnsi="Arial" w:cs="Arial"/>
        </w:rPr>
      </w:pPr>
      <w:r w:rsidRPr="00E66582">
        <w:rPr>
          <w:rFonts w:ascii="Arial" w:hAnsi="Arial" w:cs="Arial"/>
        </w:rPr>
        <w:t xml:space="preserve">Heightened market volatility is expected to remain a feature, at least in the near term and, as ever, the institutions and durations on the </w:t>
      </w:r>
      <w:r w:rsidR="009F0D59">
        <w:rPr>
          <w:rFonts w:ascii="Arial" w:hAnsi="Arial" w:cs="Arial"/>
        </w:rPr>
        <w:t>PCC</w:t>
      </w:r>
      <w:r w:rsidRPr="00E66582">
        <w:rPr>
          <w:rFonts w:ascii="Arial" w:hAnsi="Arial" w:cs="Arial"/>
        </w:rPr>
        <w:t>’s counterparty list recommended by Arlingclose remains under constant review</w:t>
      </w:r>
      <w:r w:rsidR="002F273A" w:rsidRPr="009C2D4B">
        <w:rPr>
          <w:rFonts w:ascii="Arial" w:hAnsi="Arial" w:cs="Arial"/>
        </w:rPr>
        <w:t>.</w:t>
      </w:r>
      <w:r w:rsidR="007D26FE" w:rsidRPr="009C2D4B" w:rsidDel="007D26FE">
        <w:rPr>
          <w:rFonts w:ascii="Arial" w:hAnsi="Arial" w:cs="Arial"/>
        </w:rPr>
        <w:t xml:space="preserve"> </w:t>
      </w:r>
    </w:p>
    <w:p w14:paraId="1CEE9B4E" w14:textId="77777777" w:rsidR="00A042BB" w:rsidRPr="00D750B2" w:rsidRDefault="00A042BB" w:rsidP="003C3808">
      <w:pPr>
        <w:keepNext/>
        <w:numPr>
          <w:ilvl w:val="0"/>
          <w:numId w:val="2"/>
        </w:numPr>
        <w:tabs>
          <w:tab w:val="num" w:pos="720"/>
        </w:tabs>
        <w:spacing w:after="240"/>
        <w:ind w:left="431" w:hanging="431"/>
        <w:outlineLvl w:val="0"/>
        <w:rPr>
          <w:rFonts w:ascii="Arial" w:hAnsi="Arial" w:cs="Arial"/>
          <w:b/>
        </w:rPr>
      </w:pPr>
      <w:r w:rsidRPr="00D750B2">
        <w:rPr>
          <w:rFonts w:ascii="Arial" w:hAnsi="Arial" w:cs="Arial"/>
          <w:b/>
        </w:rPr>
        <w:t>Local Context</w:t>
      </w:r>
    </w:p>
    <w:p w14:paraId="08C8C15A" w14:textId="54040593" w:rsidR="009A520B" w:rsidRPr="000105AF" w:rsidRDefault="009A520B" w:rsidP="003C3808">
      <w:pPr>
        <w:pStyle w:val="ListParagraph"/>
        <w:numPr>
          <w:ilvl w:val="1"/>
          <w:numId w:val="2"/>
        </w:numPr>
        <w:spacing w:after="240"/>
        <w:ind w:left="720" w:hanging="720"/>
        <w:rPr>
          <w:rFonts w:ascii="Arial" w:hAnsi="Arial" w:cs="Arial"/>
        </w:rPr>
      </w:pPr>
      <w:proofErr w:type="gramStart"/>
      <w:r w:rsidRPr="000105AF">
        <w:rPr>
          <w:rFonts w:ascii="Arial" w:hAnsi="Arial" w:cs="Arial"/>
        </w:rPr>
        <w:t>At</w:t>
      </w:r>
      <w:proofErr w:type="gramEnd"/>
      <w:r w:rsidRPr="000105AF">
        <w:rPr>
          <w:rFonts w:ascii="Arial" w:hAnsi="Arial" w:cs="Arial"/>
        </w:rPr>
        <w:t xml:space="preserve"> 31</w:t>
      </w:r>
      <w:r w:rsidR="00EC6236" w:rsidRPr="000105AF">
        <w:rPr>
          <w:rFonts w:ascii="Arial" w:hAnsi="Arial" w:cs="Arial"/>
        </w:rPr>
        <w:t xml:space="preserve"> March </w:t>
      </w:r>
      <w:r w:rsidRPr="000105AF">
        <w:rPr>
          <w:rFonts w:ascii="Arial" w:hAnsi="Arial" w:cs="Arial"/>
        </w:rPr>
        <w:t>20</w:t>
      </w:r>
      <w:r w:rsidR="00A9602D" w:rsidRPr="000105AF">
        <w:rPr>
          <w:rFonts w:ascii="Arial" w:hAnsi="Arial" w:cs="Arial"/>
        </w:rPr>
        <w:t>2</w:t>
      </w:r>
      <w:r w:rsidR="00657716" w:rsidRPr="000105AF">
        <w:rPr>
          <w:rFonts w:ascii="Arial" w:hAnsi="Arial" w:cs="Arial"/>
        </w:rPr>
        <w:t>3</w:t>
      </w:r>
      <w:r w:rsidRPr="000105AF">
        <w:rPr>
          <w:rFonts w:ascii="Arial" w:hAnsi="Arial" w:cs="Arial"/>
        </w:rPr>
        <w:t xml:space="preserve"> t</w:t>
      </w:r>
      <w:r w:rsidR="00A042BB" w:rsidRPr="000105AF">
        <w:rPr>
          <w:rFonts w:ascii="Arial" w:hAnsi="Arial" w:cs="Arial"/>
        </w:rPr>
        <w:t xml:space="preserve">he </w:t>
      </w:r>
      <w:r w:rsidR="00564BE3" w:rsidRPr="000105AF">
        <w:rPr>
          <w:rFonts w:ascii="Arial" w:hAnsi="Arial" w:cs="Arial"/>
        </w:rPr>
        <w:t>PCC</w:t>
      </w:r>
      <w:r w:rsidR="00A042BB" w:rsidRPr="000105AF">
        <w:rPr>
          <w:rFonts w:ascii="Arial" w:hAnsi="Arial" w:cs="Arial"/>
        </w:rPr>
        <w:t xml:space="preserve">’s underlying need to borrow for capital purposes </w:t>
      </w:r>
      <w:r w:rsidR="00DD2792" w:rsidRPr="000105AF">
        <w:rPr>
          <w:rFonts w:ascii="Arial" w:hAnsi="Arial" w:cs="Arial"/>
        </w:rPr>
        <w:t>was £</w:t>
      </w:r>
      <w:r w:rsidR="00C964A6" w:rsidRPr="000105AF">
        <w:rPr>
          <w:rFonts w:ascii="Arial" w:hAnsi="Arial" w:cs="Arial"/>
        </w:rPr>
        <w:t>53.</w:t>
      </w:r>
      <w:r w:rsidR="00BF2C6C">
        <w:rPr>
          <w:rFonts w:ascii="Arial" w:hAnsi="Arial" w:cs="Arial"/>
        </w:rPr>
        <w:t>7</w:t>
      </w:r>
      <w:r w:rsidR="00DD2792" w:rsidRPr="000105AF">
        <w:rPr>
          <w:rFonts w:ascii="Arial" w:hAnsi="Arial" w:cs="Arial"/>
        </w:rPr>
        <w:t xml:space="preserve">m </w:t>
      </w:r>
      <w:r w:rsidRPr="000105AF">
        <w:rPr>
          <w:rFonts w:ascii="Arial" w:hAnsi="Arial" w:cs="Arial"/>
        </w:rPr>
        <w:t>as</w:t>
      </w:r>
      <w:r w:rsidR="00A042BB" w:rsidRPr="000105AF">
        <w:rPr>
          <w:rFonts w:ascii="Arial" w:hAnsi="Arial" w:cs="Arial"/>
        </w:rPr>
        <w:t xml:space="preserve"> measured by the Capital Financing Requirement (CFR), while </w:t>
      </w:r>
      <w:r w:rsidR="00B76A6B" w:rsidRPr="000105AF">
        <w:rPr>
          <w:rFonts w:ascii="Arial" w:hAnsi="Arial" w:cs="Arial"/>
        </w:rPr>
        <w:t>balance sheet resources</w:t>
      </w:r>
      <w:r w:rsidR="00DD2792" w:rsidRPr="000105AF">
        <w:rPr>
          <w:rFonts w:ascii="Arial" w:hAnsi="Arial" w:cs="Arial"/>
        </w:rPr>
        <w:t>,</w:t>
      </w:r>
      <w:r w:rsidR="00A042BB" w:rsidRPr="000105AF">
        <w:rPr>
          <w:rFonts w:ascii="Arial" w:hAnsi="Arial" w:cs="Arial"/>
        </w:rPr>
        <w:t xml:space="preserve"> </w:t>
      </w:r>
      <w:r w:rsidRPr="000105AF">
        <w:rPr>
          <w:rFonts w:ascii="Arial" w:hAnsi="Arial" w:cs="Arial"/>
        </w:rPr>
        <w:t xml:space="preserve">which </w:t>
      </w:r>
      <w:r w:rsidR="00A042BB" w:rsidRPr="000105AF">
        <w:rPr>
          <w:rFonts w:ascii="Arial" w:hAnsi="Arial" w:cs="Arial"/>
        </w:rPr>
        <w:t>are the underlying resources available for investment</w:t>
      </w:r>
      <w:r w:rsidR="00DD2792" w:rsidRPr="000105AF">
        <w:rPr>
          <w:rFonts w:ascii="Arial" w:hAnsi="Arial" w:cs="Arial"/>
        </w:rPr>
        <w:t>,</w:t>
      </w:r>
      <w:r w:rsidRPr="000105AF">
        <w:rPr>
          <w:rFonts w:ascii="Arial" w:hAnsi="Arial" w:cs="Arial"/>
        </w:rPr>
        <w:t xml:space="preserve"> </w:t>
      </w:r>
      <w:r w:rsidR="00F3179B" w:rsidRPr="000105AF">
        <w:rPr>
          <w:rFonts w:ascii="Arial" w:hAnsi="Arial" w:cs="Arial"/>
        </w:rPr>
        <w:t>amounted to</w:t>
      </w:r>
      <w:r w:rsidRPr="000105AF">
        <w:rPr>
          <w:rFonts w:ascii="Arial" w:hAnsi="Arial" w:cs="Arial"/>
        </w:rPr>
        <w:t xml:space="preserve"> </w:t>
      </w:r>
      <w:r w:rsidRPr="000E5EB4">
        <w:rPr>
          <w:rFonts w:ascii="Arial" w:hAnsi="Arial" w:cs="Arial"/>
        </w:rPr>
        <w:t>£</w:t>
      </w:r>
      <w:r w:rsidR="00B01C4F" w:rsidRPr="000E5EB4">
        <w:rPr>
          <w:rFonts w:ascii="Arial" w:hAnsi="Arial" w:cs="Arial"/>
        </w:rPr>
        <w:t>13</w:t>
      </w:r>
      <w:r w:rsidR="000A3405" w:rsidRPr="00003353">
        <w:rPr>
          <w:rFonts w:ascii="Arial" w:hAnsi="Arial" w:cs="Arial"/>
        </w:rPr>
        <w:t>1</w:t>
      </w:r>
      <w:r w:rsidR="00B01C4F" w:rsidRPr="000E5EB4">
        <w:rPr>
          <w:rFonts w:ascii="Arial" w:hAnsi="Arial" w:cs="Arial"/>
        </w:rPr>
        <w:t>.</w:t>
      </w:r>
      <w:r w:rsidR="00F1625B">
        <w:rPr>
          <w:rFonts w:ascii="Arial" w:hAnsi="Arial" w:cs="Arial"/>
        </w:rPr>
        <w:t>2</w:t>
      </w:r>
      <w:r w:rsidR="00657716" w:rsidRPr="000E5EB4">
        <w:rPr>
          <w:rFonts w:ascii="Arial" w:hAnsi="Arial" w:cs="Arial"/>
        </w:rPr>
        <w:t>m</w:t>
      </w:r>
      <w:r w:rsidR="00B01C4F" w:rsidRPr="000E5EB4">
        <w:rPr>
          <w:rFonts w:ascii="Arial" w:hAnsi="Arial" w:cs="Arial"/>
        </w:rPr>
        <w:t>.</w:t>
      </w:r>
      <w:r w:rsidR="000105AF" w:rsidRPr="000105AF">
        <w:rPr>
          <w:rFonts w:ascii="Arial" w:hAnsi="Arial" w:cs="Arial"/>
        </w:rPr>
        <w:t xml:space="preserve"> </w:t>
      </w:r>
      <w:r w:rsidR="00EC6236" w:rsidRPr="000105AF">
        <w:rPr>
          <w:rFonts w:ascii="Arial" w:hAnsi="Arial" w:cs="Arial"/>
        </w:rPr>
        <w:t>These factors are summarised in Table 1.</w:t>
      </w:r>
    </w:p>
    <w:tbl>
      <w:tblPr>
        <w:tblW w:w="7257" w:type="dxa"/>
        <w:jc w:val="center"/>
        <w:tblLayout w:type="fixed"/>
        <w:tblLook w:val="04A0" w:firstRow="1" w:lastRow="0" w:firstColumn="1" w:lastColumn="0" w:noHBand="0" w:noVBand="1"/>
      </w:tblPr>
      <w:tblGrid>
        <w:gridCol w:w="4707"/>
        <w:gridCol w:w="1275"/>
        <w:gridCol w:w="1275"/>
      </w:tblGrid>
      <w:tr w:rsidR="003F6E5F" w:rsidRPr="00D750B2" w14:paraId="10551DDA"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tcPr>
          <w:p w14:paraId="6F1000FF" w14:textId="25531B18" w:rsidR="003F6E5F" w:rsidRPr="00D750B2" w:rsidRDefault="003F6E5F" w:rsidP="003F6E5F">
            <w:pPr>
              <w:pStyle w:val="ListParagraph"/>
              <w:keepNext/>
              <w:ind w:left="0"/>
              <w:rPr>
                <w:rFonts w:ascii="Arial" w:hAnsi="Arial" w:cs="Arial"/>
                <w:b/>
                <w:bCs/>
              </w:rPr>
            </w:pPr>
            <w:r w:rsidRPr="00D750B2">
              <w:rPr>
                <w:rFonts w:ascii="Arial" w:hAnsi="Arial" w:cs="Arial"/>
                <w:b/>
                <w:bCs/>
              </w:rPr>
              <w:lastRenderedPageBreak/>
              <w:t>Table 1:  Balance sheet summary</w:t>
            </w:r>
          </w:p>
        </w:tc>
        <w:tc>
          <w:tcPr>
            <w:tcW w:w="1275" w:type="dxa"/>
            <w:tcBorders>
              <w:top w:val="single" w:sz="4" w:space="0" w:color="auto"/>
              <w:left w:val="single" w:sz="4" w:space="0" w:color="auto"/>
              <w:bottom w:val="single" w:sz="4" w:space="0" w:color="auto"/>
              <w:right w:val="single" w:sz="4" w:space="0" w:color="auto"/>
            </w:tcBorders>
            <w:vAlign w:val="bottom"/>
          </w:tcPr>
          <w:p w14:paraId="45ECF97F" w14:textId="10EBD92E" w:rsidR="003F6E5F" w:rsidRPr="00D750B2" w:rsidRDefault="003F6E5F" w:rsidP="003F6E5F">
            <w:pPr>
              <w:pStyle w:val="ListParagraph"/>
              <w:keepNext/>
              <w:ind w:left="0"/>
              <w:jc w:val="right"/>
              <w:rPr>
                <w:rFonts w:ascii="Arial" w:hAnsi="Arial" w:cs="Arial"/>
                <w:b/>
                <w:bCs/>
              </w:rPr>
            </w:pPr>
            <w:r w:rsidRPr="0067079C">
              <w:rPr>
                <w:rFonts w:ascii="Arial" w:hAnsi="Arial" w:cs="Arial"/>
                <w:b/>
                <w:bCs/>
              </w:rPr>
              <w:t>31/03/2</w:t>
            </w:r>
            <w:r>
              <w:rPr>
                <w:rFonts w:ascii="Arial" w:hAnsi="Arial" w:cs="Arial"/>
                <w:b/>
                <w:bCs/>
              </w:rPr>
              <w:t>3</w:t>
            </w:r>
            <w:r w:rsidRPr="0067079C">
              <w:rPr>
                <w:rFonts w:ascii="Arial" w:hAnsi="Arial" w:cs="Arial"/>
                <w:b/>
                <w:bCs/>
              </w:rPr>
              <w:br/>
              <w:t>Balance</w:t>
            </w:r>
            <w:r w:rsidRPr="0067079C">
              <w:rPr>
                <w:rFonts w:ascii="Arial" w:hAnsi="Arial" w:cs="Arial"/>
                <w:b/>
                <w:bCs/>
              </w:rPr>
              <w:br/>
              <w:t>£m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4C089F5" w14:textId="7F544AC7" w:rsidR="003F6E5F" w:rsidRPr="00D750B2" w:rsidRDefault="003F6E5F" w:rsidP="003F6E5F">
            <w:pPr>
              <w:pStyle w:val="ListParagraph"/>
              <w:keepNext/>
              <w:ind w:left="0"/>
              <w:jc w:val="right"/>
              <w:rPr>
                <w:rFonts w:ascii="Arial" w:hAnsi="Arial" w:cs="Arial"/>
                <w:b/>
                <w:bCs/>
              </w:rPr>
            </w:pPr>
            <w:r w:rsidRPr="00D750B2">
              <w:rPr>
                <w:rFonts w:ascii="Arial" w:hAnsi="Arial" w:cs="Arial"/>
                <w:b/>
                <w:bCs/>
              </w:rPr>
              <w:t>31/03/2</w:t>
            </w:r>
            <w:r>
              <w:rPr>
                <w:rFonts w:ascii="Arial" w:hAnsi="Arial" w:cs="Arial"/>
                <w:b/>
                <w:bCs/>
              </w:rPr>
              <w:t>4</w:t>
            </w:r>
            <w:r w:rsidRPr="00D750B2">
              <w:rPr>
                <w:rFonts w:ascii="Arial" w:hAnsi="Arial" w:cs="Arial"/>
                <w:b/>
                <w:bCs/>
              </w:rPr>
              <w:br/>
            </w:r>
            <w:r>
              <w:rPr>
                <w:rFonts w:ascii="Arial" w:hAnsi="Arial" w:cs="Arial"/>
                <w:b/>
                <w:bCs/>
              </w:rPr>
              <w:t>Forecast</w:t>
            </w:r>
            <w:r w:rsidRPr="00D750B2">
              <w:rPr>
                <w:rFonts w:ascii="Arial" w:hAnsi="Arial" w:cs="Arial"/>
                <w:b/>
                <w:bCs/>
              </w:rPr>
              <w:br/>
              <w:t>£m</w:t>
            </w:r>
          </w:p>
        </w:tc>
      </w:tr>
      <w:tr w:rsidR="00E676AD" w:rsidRPr="00D750B2" w14:paraId="2EC00FE1"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68006D7" w14:textId="47AD5BC4" w:rsidR="00E676AD" w:rsidRPr="00D750B2" w:rsidRDefault="00E676AD" w:rsidP="00E676AD">
            <w:pPr>
              <w:pStyle w:val="ListParagraph"/>
              <w:keepNext/>
              <w:ind w:left="0"/>
              <w:rPr>
                <w:rFonts w:ascii="Arial" w:hAnsi="Arial" w:cs="Arial"/>
              </w:rPr>
            </w:pPr>
            <w:r>
              <w:rPr>
                <w:rFonts w:ascii="Arial" w:hAnsi="Arial" w:cs="Arial"/>
              </w:rPr>
              <w:t>Total CFR</w:t>
            </w:r>
          </w:p>
        </w:tc>
        <w:tc>
          <w:tcPr>
            <w:tcW w:w="1275" w:type="dxa"/>
            <w:tcBorders>
              <w:top w:val="single" w:sz="4" w:space="0" w:color="auto"/>
              <w:left w:val="single" w:sz="4" w:space="0" w:color="auto"/>
              <w:bottom w:val="single" w:sz="4" w:space="0" w:color="auto"/>
              <w:right w:val="single" w:sz="4" w:space="0" w:color="auto"/>
            </w:tcBorders>
            <w:vAlign w:val="center"/>
          </w:tcPr>
          <w:p w14:paraId="08935740" w14:textId="417D85AB" w:rsidR="00E676AD" w:rsidRDefault="00E676AD" w:rsidP="00E676AD">
            <w:pPr>
              <w:pStyle w:val="ListParagraph"/>
              <w:keepNext/>
              <w:ind w:left="0"/>
              <w:jc w:val="right"/>
              <w:rPr>
                <w:rFonts w:ascii="Arial" w:hAnsi="Arial" w:cs="Arial"/>
              </w:rPr>
            </w:pPr>
            <w:r>
              <w:rPr>
                <w:rFonts w:ascii="Arial" w:hAnsi="Arial" w:cs="Arial"/>
              </w:rPr>
              <w:t>53.7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86F05E" w14:textId="21DB153E" w:rsidR="00E676AD" w:rsidRPr="00003353" w:rsidDel="00D43395" w:rsidRDefault="00E676AD" w:rsidP="00E676AD">
            <w:pPr>
              <w:pStyle w:val="ListParagraph"/>
              <w:keepNext/>
              <w:ind w:left="0"/>
              <w:jc w:val="right"/>
              <w:rPr>
                <w:rFonts w:ascii="Arial" w:hAnsi="Arial" w:cs="Arial"/>
              </w:rPr>
            </w:pPr>
            <w:r w:rsidRPr="00003353">
              <w:rPr>
                <w:rFonts w:ascii="Arial" w:hAnsi="Arial" w:cs="Arial"/>
              </w:rPr>
              <w:t>51.</w:t>
            </w:r>
            <w:r w:rsidR="002C3913">
              <w:rPr>
                <w:rFonts w:ascii="Arial" w:hAnsi="Arial" w:cs="Arial"/>
              </w:rPr>
              <w:t>2</w:t>
            </w:r>
          </w:p>
        </w:tc>
      </w:tr>
      <w:tr w:rsidR="00E676AD" w:rsidRPr="00D750B2" w14:paraId="6C00DE81"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0A1DE77" w14:textId="694B9E49" w:rsidR="00E676AD" w:rsidRPr="00D750B2" w:rsidRDefault="00E676AD" w:rsidP="00E676AD">
            <w:pPr>
              <w:pStyle w:val="ListParagraph"/>
              <w:keepNext/>
              <w:ind w:left="0"/>
              <w:rPr>
                <w:rFonts w:ascii="Arial" w:hAnsi="Arial" w:cs="Arial"/>
              </w:rPr>
            </w:pPr>
            <w:r>
              <w:rPr>
                <w:rFonts w:ascii="Arial" w:hAnsi="Arial" w:cs="Arial"/>
              </w:rPr>
              <w:t>Less: finance leases</w:t>
            </w:r>
          </w:p>
        </w:tc>
        <w:tc>
          <w:tcPr>
            <w:tcW w:w="1275" w:type="dxa"/>
            <w:tcBorders>
              <w:top w:val="single" w:sz="4" w:space="0" w:color="auto"/>
              <w:left w:val="single" w:sz="4" w:space="0" w:color="auto"/>
              <w:bottom w:val="single" w:sz="4" w:space="0" w:color="auto"/>
              <w:right w:val="single" w:sz="4" w:space="0" w:color="auto"/>
            </w:tcBorders>
            <w:vAlign w:val="center"/>
          </w:tcPr>
          <w:p w14:paraId="4CE05777" w14:textId="077DBC34" w:rsidR="00E676AD" w:rsidRDefault="00E676AD" w:rsidP="00E676AD">
            <w:pPr>
              <w:pStyle w:val="ListParagraph"/>
              <w:keepNext/>
              <w:ind w:left="0"/>
              <w:jc w:val="right"/>
              <w:rPr>
                <w:rFonts w:ascii="Arial" w:hAnsi="Arial" w:cs="Arial"/>
              </w:rPr>
            </w:pPr>
            <w:r>
              <w:rPr>
                <w:rFonts w:ascii="Arial" w:hAnsi="Arial" w:cs="Arial"/>
              </w:rPr>
              <w:t>(2.0)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886112" w14:textId="6CCAAC7C" w:rsidR="00E676AD" w:rsidRPr="00003353" w:rsidDel="00D43395" w:rsidRDefault="00E676AD" w:rsidP="00E676AD">
            <w:pPr>
              <w:pStyle w:val="ListParagraph"/>
              <w:keepNext/>
              <w:ind w:left="0"/>
              <w:jc w:val="right"/>
              <w:rPr>
                <w:rFonts w:ascii="Arial" w:hAnsi="Arial" w:cs="Arial"/>
              </w:rPr>
            </w:pPr>
            <w:r w:rsidRPr="00003353">
              <w:rPr>
                <w:rFonts w:ascii="Arial" w:hAnsi="Arial" w:cs="Arial"/>
              </w:rPr>
              <w:t>(1.1)</w:t>
            </w:r>
          </w:p>
        </w:tc>
      </w:tr>
      <w:tr w:rsidR="003F6E5F" w:rsidRPr="00D750B2" w14:paraId="7F3563D0"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C66DCF5" w14:textId="734A179B" w:rsidR="003F6E5F" w:rsidRPr="00003353" w:rsidRDefault="00E676AD" w:rsidP="003F6E5F">
            <w:pPr>
              <w:pStyle w:val="ListParagraph"/>
              <w:keepNext/>
              <w:ind w:left="0"/>
              <w:rPr>
                <w:rFonts w:ascii="Arial" w:hAnsi="Arial" w:cs="Arial"/>
                <w:b/>
              </w:rPr>
            </w:pPr>
            <w:r w:rsidRPr="00003353">
              <w:rPr>
                <w:rFonts w:ascii="Arial" w:hAnsi="Arial" w:cs="Arial"/>
                <w:b/>
              </w:rPr>
              <w:t xml:space="preserve">Loan </w:t>
            </w:r>
            <w:r w:rsidR="003F6E5F" w:rsidRPr="00003353">
              <w:rPr>
                <w:rFonts w:ascii="Arial" w:hAnsi="Arial" w:cs="Arial"/>
                <w:b/>
              </w:rPr>
              <w:t>CFR</w:t>
            </w:r>
          </w:p>
        </w:tc>
        <w:tc>
          <w:tcPr>
            <w:tcW w:w="1275" w:type="dxa"/>
            <w:tcBorders>
              <w:top w:val="single" w:sz="4" w:space="0" w:color="auto"/>
              <w:left w:val="single" w:sz="4" w:space="0" w:color="auto"/>
              <w:bottom w:val="single" w:sz="4" w:space="0" w:color="auto"/>
              <w:right w:val="single" w:sz="4" w:space="0" w:color="auto"/>
            </w:tcBorders>
            <w:vAlign w:val="center"/>
          </w:tcPr>
          <w:p w14:paraId="672C1AED" w14:textId="7DA9CA83" w:rsidR="003F6E5F" w:rsidRPr="00003353" w:rsidRDefault="00E676AD" w:rsidP="003F6E5F">
            <w:pPr>
              <w:pStyle w:val="ListParagraph"/>
              <w:keepNext/>
              <w:ind w:left="0"/>
              <w:jc w:val="right"/>
              <w:rPr>
                <w:rFonts w:ascii="Arial" w:hAnsi="Arial" w:cs="Arial"/>
                <w:b/>
              </w:rPr>
            </w:pPr>
            <w:r w:rsidRPr="0088314B">
              <w:rPr>
                <w:rFonts w:ascii="Arial" w:hAnsi="Arial" w:cs="Arial"/>
                <w:b/>
                <w:bCs/>
              </w:rPr>
              <w:t>5</w:t>
            </w:r>
            <w:r>
              <w:rPr>
                <w:rFonts w:ascii="Arial" w:hAnsi="Arial" w:cs="Arial"/>
                <w:b/>
                <w:bCs/>
              </w:rPr>
              <w:t>1</w:t>
            </w:r>
            <w:r w:rsidRPr="0088314B">
              <w:rPr>
                <w:rFonts w:ascii="Arial" w:hAnsi="Arial" w:cs="Arial"/>
                <w:b/>
                <w:bCs/>
              </w:rPr>
              <w:t>.</w:t>
            </w:r>
            <w:r>
              <w:rPr>
                <w:rFonts w:ascii="Arial" w:hAnsi="Arial" w:cs="Arial"/>
                <w:b/>
                <w:bCs/>
              </w:rPr>
              <w:t>7</w:t>
            </w:r>
            <w:r w:rsidRPr="0088314B">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937735" w14:textId="2CBB7CCD" w:rsidR="003F6E5F" w:rsidRPr="00003353" w:rsidRDefault="00E676AD" w:rsidP="003F6E5F">
            <w:pPr>
              <w:pStyle w:val="ListParagraph"/>
              <w:keepNext/>
              <w:ind w:left="0"/>
              <w:jc w:val="right"/>
              <w:rPr>
                <w:rFonts w:ascii="Arial" w:hAnsi="Arial" w:cs="Arial"/>
                <w:b/>
              </w:rPr>
            </w:pPr>
            <w:r>
              <w:rPr>
                <w:rFonts w:ascii="Arial" w:hAnsi="Arial" w:cs="Arial"/>
                <w:b/>
                <w:bCs/>
              </w:rPr>
              <w:t>50.</w:t>
            </w:r>
            <w:r w:rsidR="002E0460">
              <w:rPr>
                <w:rFonts w:ascii="Arial" w:hAnsi="Arial" w:cs="Arial"/>
                <w:b/>
                <w:bCs/>
              </w:rPr>
              <w:t>1</w:t>
            </w:r>
            <w:r w:rsidRPr="0088314B">
              <w:rPr>
                <w:rFonts w:ascii="Arial" w:hAnsi="Arial" w:cs="Arial"/>
                <w:b/>
                <w:bCs/>
              </w:rPr>
              <w:t xml:space="preserve"> </w:t>
            </w:r>
          </w:p>
        </w:tc>
      </w:tr>
      <w:tr w:rsidR="003F6E5F" w:rsidRPr="00D750B2" w14:paraId="34A6585D"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E432BD5" w14:textId="0A0081B5" w:rsidR="003F6E5F" w:rsidRPr="00DD17E9" w:rsidRDefault="003F6E5F" w:rsidP="003F6E5F">
            <w:pPr>
              <w:pStyle w:val="ListParagraph"/>
              <w:keepNext/>
              <w:ind w:left="0"/>
              <w:rPr>
                <w:rFonts w:ascii="Arial" w:hAnsi="Arial" w:cs="Arial"/>
                <w:b/>
              </w:rPr>
            </w:pPr>
            <w:r w:rsidRPr="00DD17E9">
              <w:rPr>
                <w:rFonts w:ascii="Arial" w:hAnsi="Arial" w:cs="Arial"/>
                <w:b/>
              </w:rPr>
              <w:t>External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F8C44E9" w14:textId="28F0DE70" w:rsidR="003F6E5F" w:rsidRDefault="003F6E5F" w:rsidP="003F6E5F">
            <w:pPr>
              <w:pStyle w:val="ListParagraph"/>
              <w:keepNext/>
              <w:ind w:left="0"/>
              <w:jc w:val="right"/>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7C3670" w14:textId="75F7D3FB" w:rsidR="003F6E5F" w:rsidRPr="00D750B2" w:rsidRDefault="003F6E5F" w:rsidP="003F6E5F">
            <w:pPr>
              <w:pStyle w:val="ListParagraph"/>
              <w:keepNext/>
              <w:ind w:left="0"/>
              <w:jc w:val="right"/>
              <w:rPr>
                <w:rFonts w:ascii="Arial" w:hAnsi="Arial" w:cs="Arial"/>
              </w:rPr>
            </w:pPr>
            <w:r>
              <w:rPr>
                <w:rFonts w:ascii="Arial" w:hAnsi="Arial" w:cs="Arial"/>
              </w:rPr>
              <w:t> </w:t>
            </w:r>
          </w:p>
        </w:tc>
      </w:tr>
      <w:tr w:rsidR="003F6E5F" w:rsidRPr="00D750B2" w14:paraId="120FB942" w14:textId="77777777" w:rsidTr="003F6E5F">
        <w:trPr>
          <w:trHeight w:val="355"/>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1832E1C" w14:textId="11BD60CB" w:rsidR="003F6E5F" w:rsidRPr="00D750B2" w:rsidRDefault="003F6E5F" w:rsidP="003F6E5F">
            <w:pPr>
              <w:pStyle w:val="ListParagraph"/>
              <w:keepNext/>
              <w:ind w:left="0"/>
              <w:rPr>
                <w:rFonts w:ascii="Arial" w:hAnsi="Arial" w:cs="Arial"/>
              </w:rPr>
            </w:pPr>
            <w:r w:rsidRPr="00D750B2">
              <w:rPr>
                <w:rFonts w:ascii="Arial" w:hAnsi="Arial" w:cs="Arial"/>
              </w:rPr>
              <w:t>Public Works Loan Board</w:t>
            </w:r>
          </w:p>
        </w:tc>
        <w:tc>
          <w:tcPr>
            <w:tcW w:w="1275" w:type="dxa"/>
            <w:tcBorders>
              <w:top w:val="single" w:sz="4" w:space="0" w:color="auto"/>
              <w:left w:val="single" w:sz="4" w:space="0" w:color="auto"/>
              <w:bottom w:val="single" w:sz="4" w:space="0" w:color="auto"/>
              <w:right w:val="single" w:sz="4" w:space="0" w:color="auto"/>
            </w:tcBorders>
            <w:vAlign w:val="center"/>
          </w:tcPr>
          <w:p w14:paraId="2C3A9384" w14:textId="75CB098F" w:rsidR="003F6E5F" w:rsidRPr="00D750B2" w:rsidRDefault="003F6E5F" w:rsidP="003F6E5F">
            <w:pPr>
              <w:pStyle w:val="ListParagraph"/>
              <w:keepNext/>
              <w:ind w:left="0"/>
              <w:jc w:val="right"/>
              <w:rPr>
                <w:rFonts w:ascii="Arial" w:hAnsi="Arial" w:cs="Arial"/>
              </w:rPr>
            </w:pPr>
            <w:r>
              <w:rPr>
                <w:rFonts w:ascii="Arial" w:hAnsi="Arial" w:cs="Arial"/>
              </w:rPr>
              <w:t xml:space="preserve">(29.7)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3349AF" w14:textId="3CA948C3" w:rsidR="003F6E5F" w:rsidRPr="00D750B2" w:rsidRDefault="003F6E5F" w:rsidP="003F6E5F">
            <w:pPr>
              <w:pStyle w:val="ListParagraph"/>
              <w:keepNext/>
              <w:ind w:left="0"/>
              <w:jc w:val="right"/>
              <w:rPr>
                <w:rFonts w:ascii="Arial" w:hAnsi="Arial" w:cs="Arial"/>
              </w:rPr>
            </w:pPr>
            <w:r w:rsidRPr="00D750B2">
              <w:rPr>
                <w:rFonts w:ascii="Arial" w:hAnsi="Arial" w:cs="Arial"/>
              </w:rPr>
              <w:t>(</w:t>
            </w:r>
            <w:r w:rsidR="005B0382">
              <w:rPr>
                <w:rFonts w:ascii="Arial" w:hAnsi="Arial" w:cs="Arial"/>
              </w:rPr>
              <w:t>1</w:t>
            </w:r>
            <w:r w:rsidR="005B0382" w:rsidRPr="00D750B2">
              <w:rPr>
                <w:rFonts w:ascii="Arial" w:hAnsi="Arial" w:cs="Arial"/>
              </w:rPr>
              <w:t>9</w:t>
            </w:r>
            <w:r w:rsidRPr="00D750B2">
              <w:rPr>
                <w:rFonts w:ascii="Arial" w:hAnsi="Arial" w:cs="Arial"/>
              </w:rPr>
              <w:t>.</w:t>
            </w:r>
            <w:r w:rsidR="002E0460">
              <w:rPr>
                <w:rFonts w:ascii="Arial" w:hAnsi="Arial" w:cs="Arial"/>
              </w:rPr>
              <w:t>4</w:t>
            </w:r>
            <w:r w:rsidR="00034A31">
              <w:rPr>
                <w:rFonts w:ascii="Arial" w:hAnsi="Arial" w:cs="Arial"/>
              </w:rPr>
              <w:t>)</w:t>
            </w:r>
            <w:r>
              <w:rPr>
                <w:rFonts w:ascii="Arial" w:hAnsi="Arial" w:cs="Arial"/>
              </w:rPr>
              <w:t xml:space="preserve"> </w:t>
            </w:r>
          </w:p>
        </w:tc>
      </w:tr>
      <w:tr w:rsidR="003F6E5F" w:rsidRPr="00D750B2" w14:paraId="395A288C"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9C78EC1" w14:textId="08111412" w:rsidR="003F6E5F" w:rsidRPr="00D750B2" w:rsidRDefault="003F6E5F" w:rsidP="003F6E5F">
            <w:pPr>
              <w:pStyle w:val="ListParagraph"/>
              <w:keepNext/>
              <w:ind w:left="0"/>
              <w:rPr>
                <w:rFonts w:ascii="Arial" w:hAnsi="Arial" w:cs="Arial"/>
                <w:b/>
                <w:bCs/>
              </w:rPr>
            </w:pPr>
            <w:r w:rsidRPr="00D750B2">
              <w:rPr>
                <w:rFonts w:ascii="Arial" w:hAnsi="Arial" w:cs="Arial"/>
                <w:b/>
                <w:bCs/>
              </w:rPr>
              <w:t>Internal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5EC3766" w14:textId="093AAA77" w:rsidR="003F6E5F" w:rsidRPr="0067079C" w:rsidRDefault="003F6E5F" w:rsidP="003F6E5F">
            <w:pPr>
              <w:pStyle w:val="ListParagraph"/>
              <w:keepNext/>
              <w:ind w:left="0"/>
              <w:jc w:val="right"/>
              <w:rPr>
                <w:rFonts w:ascii="Arial" w:hAnsi="Arial" w:cs="Arial"/>
                <w:b/>
                <w:bCs/>
              </w:rPr>
            </w:pPr>
            <w:r w:rsidRPr="00FF3F58">
              <w:rPr>
                <w:rFonts w:ascii="Arial" w:hAnsi="Arial" w:cs="Arial"/>
                <w:b/>
                <w:bCs/>
              </w:rPr>
              <w:t>2</w:t>
            </w:r>
            <w:r w:rsidR="007471F9">
              <w:rPr>
                <w:rFonts w:ascii="Arial" w:hAnsi="Arial" w:cs="Arial"/>
                <w:b/>
                <w:bCs/>
              </w:rPr>
              <w:t>2.0</w:t>
            </w:r>
            <w:r w:rsidRPr="00FF3F58">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BE9D2D" w14:textId="6D4A225E" w:rsidR="003F6E5F" w:rsidRPr="00D750B2" w:rsidRDefault="00355487" w:rsidP="003F6E5F">
            <w:pPr>
              <w:pStyle w:val="ListParagraph"/>
              <w:keepNext/>
              <w:ind w:left="0"/>
              <w:jc w:val="right"/>
              <w:rPr>
                <w:rFonts w:ascii="Arial" w:hAnsi="Arial" w:cs="Arial"/>
                <w:b/>
                <w:bCs/>
              </w:rPr>
            </w:pPr>
            <w:r>
              <w:rPr>
                <w:rFonts w:ascii="Arial" w:hAnsi="Arial" w:cs="Arial"/>
                <w:b/>
                <w:bCs/>
              </w:rPr>
              <w:t>30</w:t>
            </w:r>
            <w:r w:rsidR="00034A31" w:rsidRPr="005B0382">
              <w:rPr>
                <w:rFonts w:ascii="Arial" w:hAnsi="Arial" w:cs="Arial"/>
                <w:b/>
              </w:rPr>
              <w:t>.</w:t>
            </w:r>
            <w:r w:rsidR="002E0460">
              <w:rPr>
                <w:rFonts w:ascii="Arial" w:hAnsi="Arial" w:cs="Arial"/>
                <w:b/>
                <w:bCs/>
              </w:rPr>
              <w:t>7</w:t>
            </w:r>
            <w:r w:rsidR="00D532BA" w:rsidRPr="005B0382">
              <w:rPr>
                <w:rFonts w:ascii="Arial" w:hAnsi="Arial" w:cs="Arial"/>
                <w:b/>
                <w:bCs/>
              </w:rPr>
              <w:t xml:space="preserve"> </w:t>
            </w:r>
          </w:p>
        </w:tc>
      </w:tr>
      <w:tr w:rsidR="003F6E5F" w:rsidRPr="00B9643F" w14:paraId="66B180C9"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AE891FA" w14:textId="04D4DA42" w:rsidR="003F6E5F" w:rsidRPr="00B9643F" w:rsidRDefault="003F6E5F" w:rsidP="003F6E5F">
            <w:pPr>
              <w:pStyle w:val="ListParagraph"/>
              <w:keepNext/>
              <w:ind w:left="0"/>
              <w:rPr>
                <w:rFonts w:ascii="Arial" w:hAnsi="Arial" w:cs="Arial"/>
              </w:rPr>
            </w:pPr>
            <w:r>
              <w:rPr>
                <w:rFonts w:ascii="Arial" w:hAnsi="Arial" w:cs="Arial"/>
              </w:rPr>
              <w:t xml:space="preserve">Less: </w:t>
            </w:r>
            <w:r w:rsidR="00034A31">
              <w:rPr>
                <w:rFonts w:ascii="Arial" w:hAnsi="Arial" w:cs="Arial"/>
              </w:rPr>
              <w:t>Balance sheet resources</w:t>
            </w:r>
          </w:p>
        </w:tc>
        <w:tc>
          <w:tcPr>
            <w:tcW w:w="1275" w:type="dxa"/>
            <w:tcBorders>
              <w:top w:val="single" w:sz="4" w:space="0" w:color="auto"/>
              <w:left w:val="single" w:sz="4" w:space="0" w:color="auto"/>
              <w:bottom w:val="single" w:sz="4" w:space="0" w:color="auto"/>
              <w:right w:val="single" w:sz="4" w:space="0" w:color="auto"/>
            </w:tcBorders>
            <w:vAlign w:val="center"/>
          </w:tcPr>
          <w:p w14:paraId="2DF36F5C" w14:textId="4D2045BB" w:rsidR="003F6E5F" w:rsidRDefault="003F6E5F" w:rsidP="003F6E5F">
            <w:pPr>
              <w:pStyle w:val="ListParagraph"/>
              <w:keepNext/>
              <w:ind w:left="0"/>
              <w:jc w:val="right"/>
              <w:rPr>
                <w:rFonts w:ascii="Arial" w:hAnsi="Arial" w:cs="Arial"/>
              </w:rPr>
            </w:pPr>
            <w:r>
              <w:rPr>
                <w:rFonts w:ascii="Arial" w:hAnsi="Arial" w:cs="Arial"/>
              </w:rPr>
              <w:t>(1</w:t>
            </w:r>
            <w:r w:rsidR="006A46FF">
              <w:rPr>
                <w:rFonts w:ascii="Arial" w:hAnsi="Arial" w:cs="Arial"/>
              </w:rPr>
              <w:t>3</w:t>
            </w:r>
            <w:r w:rsidR="00F237F4">
              <w:rPr>
                <w:rFonts w:ascii="Arial" w:hAnsi="Arial" w:cs="Arial"/>
              </w:rPr>
              <w:t>1</w:t>
            </w:r>
            <w:r w:rsidR="006A46FF">
              <w:rPr>
                <w:rFonts w:ascii="Arial" w:hAnsi="Arial" w:cs="Arial"/>
              </w:rPr>
              <w:t>.</w:t>
            </w:r>
            <w:r w:rsidR="002C3913">
              <w:rPr>
                <w:rFonts w:ascii="Arial" w:hAnsi="Arial" w:cs="Arial"/>
              </w:rPr>
              <w:t>2</w:t>
            </w:r>
            <w:r>
              <w:rPr>
                <w:rFonts w:ascii="Arial" w:hAnsi="Arial" w:cs="Arial"/>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6241" w14:textId="70E890CE" w:rsidR="003F6E5F" w:rsidRPr="00B9643F" w:rsidRDefault="003F6E5F" w:rsidP="003F6E5F">
            <w:pPr>
              <w:pStyle w:val="ListParagraph"/>
              <w:keepNext/>
              <w:ind w:left="0"/>
              <w:jc w:val="right"/>
              <w:rPr>
                <w:rFonts w:ascii="Arial" w:hAnsi="Arial" w:cs="Arial"/>
              </w:rPr>
            </w:pPr>
            <w:r>
              <w:rPr>
                <w:rFonts w:ascii="Arial" w:hAnsi="Arial" w:cs="Arial"/>
              </w:rPr>
              <w:t>(</w:t>
            </w:r>
            <w:r w:rsidR="00E102C9" w:rsidDel="00583CC1">
              <w:rPr>
                <w:rFonts w:ascii="Arial" w:hAnsi="Arial" w:cs="Arial"/>
              </w:rPr>
              <w:t>130</w:t>
            </w:r>
            <w:r>
              <w:rPr>
                <w:rFonts w:ascii="Arial" w:hAnsi="Arial" w:cs="Arial"/>
              </w:rPr>
              <w:t>.</w:t>
            </w:r>
            <w:r w:rsidR="002E0460">
              <w:rPr>
                <w:rFonts w:ascii="Arial" w:hAnsi="Arial" w:cs="Arial"/>
              </w:rPr>
              <w:t>5</w:t>
            </w:r>
            <w:r>
              <w:rPr>
                <w:rFonts w:ascii="Arial" w:hAnsi="Arial" w:cs="Arial"/>
              </w:rPr>
              <w:t>)</w:t>
            </w:r>
          </w:p>
        </w:tc>
      </w:tr>
      <w:tr w:rsidR="003F6E5F" w:rsidRPr="00B9643F" w14:paraId="766727D5"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C98B422" w14:textId="0246A618" w:rsidR="003F6E5F" w:rsidRPr="00B9643F" w:rsidRDefault="003F6E5F" w:rsidP="003F6E5F">
            <w:pPr>
              <w:pStyle w:val="ListParagraph"/>
              <w:keepNext/>
              <w:ind w:left="0"/>
              <w:rPr>
                <w:rFonts w:ascii="Arial" w:hAnsi="Arial" w:cs="Arial"/>
                <w:b/>
                <w:bCs/>
              </w:rPr>
            </w:pPr>
            <w:r w:rsidRPr="00B9643F">
              <w:rPr>
                <w:rFonts w:ascii="Arial" w:hAnsi="Arial" w:cs="Arial"/>
                <w:b/>
                <w:bCs/>
              </w:rPr>
              <w:t>Net investments</w:t>
            </w:r>
          </w:p>
        </w:tc>
        <w:tc>
          <w:tcPr>
            <w:tcW w:w="1275" w:type="dxa"/>
            <w:tcBorders>
              <w:top w:val="single" w:sz="4" w:space="0" w:color="auto"/>
              <w:left w:val="single" w:sz="4" w:space="0" w:color="auto"/>
              <w:bottom w:val="single" w:sz="4" w:space="0" w:color="auto"/>
              <w:right w:val="single" w:sz="4" w:space="0" w:color="auto"/>
            </w:tcBorders>
            <w:vAlign w:val="center"/>
          </w:tcPr>
          <w:p w14:paraId="5D7BB030" w14:textId="6E60680B" w:rsidR="003F6E5F" w:rsidRPr="00FF3F58" w:rsidRDefault="003F6E5F" w:rsidP="003F6E5F">
            <w:pPr>
              <w:pStyle w:val="ListParagraph"/>
              <w:keepNext/>
              <w:ind w:left="0"/>
              <w:jc w:val="right"/>
              <w:rPr>
                <w:rFonts w:ascii="Arial" w:hAnsi="Arial" w:cs="Arial"/>
                <w:b/>
                <w:bCs/>
              </w:rPr>
            </w:pPr>
            <w:r>
              <w:rPr>
                <w:rFonts w:ascii="Arial" w:hAnsi="Arial" w:cs="Arial"/>
                <w:b/>
                <w:bCs/>
              </w:rPr>
              <w:t>(10</w:t>
            </w:r>
            <w:r w:rsidR="004E7F90">
              <w:rPr>
                <w:rFonts w:ascii="Arial" w:hAnsi="Arial" w:cs="Arial"/>
                <w:b/>
                <w:bCs/>
              </w:rPr>
              <w:t>9</w:t>
            </w:r>
            <w:r>
              <w:rPr>
                <w:rFonts w:ascii="Arial" w:hAnsi="Arial" w:cs="Arial"/>
                <w:b/>
                <w:bCs/>
              </w:rPr>
              <w:t>.</w:t>
            </w:r>
            <w:r w:rsidR="002C3913">
              <w:rPr>
                <w:rFonts w:ascii="Arial" w:hAnsi="Arial" w:cs="Arial"/>
                <w:b/>
                <w:bCs/>
              </w:rPr>
              <w:t>2</w:t>
            </w:r>
            <w:r w:rsidRPr="00FF3F58">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10EA7D" w14:textId="780AD995" w:rsidR="003F6E5F" w:rsidRPr="00B9643F" w:rsidRDefault="003F6E5F" w:rsidP="003F6E5F">
            <w:pPr>
              <w:pStyle w:val="ListParagraph"/>
              <w:keepNext/>
              <w:ind w:left="0"/>
              <w:jc w:val="right"/>
              <w:rPr>
                <w:rFonts w:ascii="Arial" w:hAnsi="Arial" w:cs="Arial"/>
                <w:b/>
                <w:bCs/>
              </w:rPr>
            </w:pPr>
            <w:r w:rsidRPr="00FF3F58">
              <w:rPr>
                <w:rFonts w:ascii="Arial" w:hAnsi="Arial" w:cs="Arial"/>
                <w:b/>
                <w:bCs/>
              </w:rPr>
              <w:t>(</w:t>
            </w:r>
            <w:r w:rsidR="00D3137B">
              <w:rPr>
                <w:rFonts w:ascii="Arial" w:hAnsi="Arial" w:cs="Arial"/>
                <w:b/>
                <w:bCs/>
              </w:rPr>
              <w:t>99.</w:t>
            </w:r>
            <w:r w:rsidR="002E0460">
              <w:rPr>
                <w:rFonts w:ascii="Arial" w:hAnsi="Arial" w:cs="Arial"/>
                <w:b/>
                <w:bCs/>
              </w:rPr>
              <w:t>8</w:t>
            </w:r>
            <w:r w:rsidRPr="00FF3F58">
              <w:rPr>
                <w:rFonts w:ascii="Arial" w:hAnsi="Arial" w:cs="Arial"/>
                <w:b/>
                <w:bCs/>
              </w:rPr>
              <w:t xml:space="preserve">) </w:t>
            </w:r>
          </w:p>
        </w:tc>
      </w:tr>
    </w:tbl>
    <w:p w14:paraId="0AFD2D41" w14:textId="77777777" w:rsidR="00214171" w:rsidRPr="00214171" w:rsidRDefault="00214171" w:rsidP="00214171">
      <w:pPr>
        <w:pStyle w:val="ListParagraph"/>
        <w:spacing w:after="240"/>
        <w:rPr>
          <w:rFonts w:ascii="Arial" w:hAnsi="Arial" w:cs="Arial"/>
        </w:rPr>
      </w:pPr>
    </w:p>
    <w:p w14:paraId="0CC4D924" w14:textId="61E992C7" w:rsidR="00F613B7" w:rsidRPr="00A64D0F" w:rsidRDefault="00062959" w:rsidP="00A64D0F">
      <w:pPr>
        <w:pStyle w:val="ListParagraph"/>
        <w:numPr>
          <w:ilvl w:val="1"/>
          <w:numId w:val="2"/>
        </w:numPr>
        <w:spacing w:after="240"/>
        <w:ind w:left="720" w:hanging="720"/>
        <w:rPr>
          <w:rFonts w:ascii="Arial" w:hAnsi="Arial" w:cs="Arial"/>
        </w:rPr>
      </w:pPr>
      <w:r w:rsidRPr="00062959">
        <w:rPr>
          <w:rFonts w:ascii="Arial" w:hAnsi="Arial" w:cs="Arial"/>
        </w:rPr>
        <w:t xml:space="preserve">The treasury management position </w:t>
      </w:r>
      <w:proofErr w:type="gramStart"/>
      <w:r w:rsidRPr="00062959">
        <w:rPr>
          <w:rFonts w:ascii="Arial" w:hAnsi="Arial" w:cs="Arial"/>
        </w:rPr>
        <w:t>at</w:t>
      </w:r>
      <w:proofErr w:type="gramEnd"/>
      <w:r w:rsidRPr="00062959">
        <w:rPr>
          <w:rFonts w:ascii="Arial" w:hAnsi="Arial" w:cs="Arial"/>
        </w:rPr>
        <w:t xml:space="preserve"> 30 </w:t>
      </w:r>
      <w:r w:rsidR="00257034">
        <w:rPr>
          <w:rFonts w:ascii="Arial" w:hAnsi="Arial" w:cs="Arial"/>
        </w:rPr>
        <w:t>S</w:t>
      </w:r>
      <w:r w:rsidRPr="00062959">
        <w:rPr>
          <w:rFonts w:ascii="Arial" w:hAnsi="Arial" w:cs="Arial"/>
        </w:rPr>
        <w:t>e</w:t>
      </w:r>
      <w:r w:rsidR="00257034">
        <w:rPr>
          <w:rFonts w:ascii="Arial" w:hAnsi="Arial" w:cs="Arial"/>
        </w:rPr>
        <w:t>ptember</w:t>
      </w:r>
      <w:r w:rsidRPr="00062959">
        <w:rPr>
          <w:rFonts w:ascii="Arial" w:hAnsi="Arial" w:cs="Arial"/>
        </w:rPr>
        <w:t xml:space="preserve"> </w:t>
      </w:r>
      <w:r w:rsidR="00760D61">
        <w:rPr>
          <w:rFonts w:ascii="Arial" w:hAnsi="Arial" w:cs="Arial"/>
        </w:rPr>
        <w:t>2023</w:t>
      </w:r>
      <w:r w:rsidRPr="00062959">
        <w:rPr>
          <w:rFonts w:ascii="Arial" w:hAnsi="Arial" w:cs="Arial"/>
        </w:rPr>
        <w:t xml:space="preserve"> and the change </w:t>
      </w:r>
      <w:r w:rsidR="002A1B79">
        <w:rPr>
          <w:rFonts w:ascii="Arial" w:hAnsi="Arial" w:cs="Arial"/>
        </w:rPr>
        <w:t xml:space="preserve">since 31 March </w:t>
      </w:r>
      <w:r w:rsidR="00760D61">
        <w:rPr>
          <w:rFonts w:ascii="Arial" w:hAnsi="Arial" w:cs="Arial"/>
        </w:rPr>
        <w:t>2023</w:t>
      </w:r>
      <w:r w:rsidR="002A1B79">
        <w:rPr>
          <w:rFonts w:ascii="Arial" w:hAnsi="Arial" w:cs="Arial"/>
        </w:rPr>
        <w:t xml:space="preserve"> </w:t>
      </w:r>
      <w:r w:rsidRPr="00062959">
        <w:rPr>
          <w:rFonts w:ascii="Arial" w:hAnsi="Arial" w:cs="Arial"/>
        </w:rPr>
        <w:t>is shown in Table 2</w:t>
      </w:r>
      <w:r w:rsidR="00F613B7" w:rsidRPr="00A64D0F">
        <w:rPr>
          <w:rFonts w:ascii="Arial" w:hAnsi="Arial" w:cs="Arial"/>
        </w:rPr>
        <w:t>.</w:t>
      </w:r>
    </w:p>
    <w:tbl>
      <w:tblPr>
        <w:tblW w:w="8895" w:type="dxa"/>
        <w:tblLayout w:type="fixed"/>
        <w:tblLook w:val="04A0" w:firstRow="1" w:lastRow="0" w:firstColumn="1" w:lastColumn="0" w:noHBand="0" w:noVBand="1"/>
      </w:tblPr>
      <w:tblGrid>
        <w:gridCol w:w="3227"/>
        <w:gridCol w:w="1417"/>
        <w:gridCol w:w="1417"/>
        <w:gridCol w:w="1417"/>
        <w:gridCol w:w="1417"/>
      </w:tblGrid>
      <w:tr w:rsidR="000A4678" w:rsidRPr="00656C63" w14:paraId="49627A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0A4678" w:rsidRPr="00656C63" w:rsidRDefault="000A4678" w:rsidP="000A4678">
            <w:pPr>
              <w:pStyle w:val="ListParagraph"/>
              <w:keepNext/>
              <w:ind w:left="0"/>
              <w:rPr>
                <w:rFonts w:ascii="Arial" w:hAnsi="Arial" w:cs="Arial"/>
                <w:b/>
                <w:bCs/>
              </w:rPr>
            </w:pPr>
            <w:r w:rsidRPr="00656C63">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vAlign w:val="bottom"/>
          </w:tcPr>
          <w:p w14:paraId="398C7046" w14:textId="24D8E66D"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31/03/2</w:t>
            </w:r>
            <w:r w:rsidR="00062959">
              <w:rPr>
                <w:rFonts w:ascii="Arial" w:hAnsi="Arial" w:cs="Arial"/>
                <w:b/>
                <w:bCs/>
              </w:rPr>
              <w:t>3</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Movement</w:t>
            </w:r>
            <w:r w:rsidRPr="00656C63">
              <w:rPr>
                <w:rFonts w:ascii="Arial" w:hAnsi="Arial" w:cs="Arial"/>
                <w:b/>
                <w:bCs/>
              </w:rPr>
              <w:br/>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636695CD"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w:t>
            </w:r>
            <w:r w:rsidR="00062959">
              <w:rPr>
                <w:rFonts w:ascii="Arial" w:hAnsi="Arial" w:cs="Arial"/>
                <w:b/>
                <w:bCs/>
              </w:rPr>
              <w:t>0</w:t>
            </w:r>
            <w:r w:rsidRPr="00656C63">
              <w:rPr>
                <w:rFonts w:ascii="Arial" w:hAnsi="Arial" w:cs="Arial"/>
                <w:b/>
                <w:bCs/>
              </w:rPr>
              <w:t>/0</w:t>
            </w:r>
            <w:r w:rsidR="00257034">
              <w:rPr>
                <w:rFonts w:ascii="Arial" w:hAnsi="Arial" w:cs="Arial"/>
                <w:b/>
                <w:bCs/>
              </w:rPr>
              <w:t>9</w:t>
            </w:r>
            <w:r w:rsidRPr="00656C63">
              <w:rPr>
                <w:rFonts w:ascii="Arial" w:hAnsi="Arial" w:cs="Arial"/>
                <w:b/>
                <w:bCs/>
              </w:rPr>
              <w:t>/2</w:t>
            </w:r>
            <w:r w:rsidR="00E529CD">
              <w:rPr>
                <w:rFonts w:ascii="Arial" w:hAnsi="Arial" w:cs="Arial"/>
                <w:b/>
                <w:bCs/>
              </w:rPr>
              <w:t>3</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655B47C4" w:rsidR="000A4678" w:rsidRPr="00656C63" w:rsidRDefault="00062959" w:rsidP="000A4678">
            <w:pPr>
              <w:pStyle w:val="ListParagraph"/>
              <w:keepNext/>
              <w:ind w:left="0"/>
              <w:jc w:val="right"/>
              <w:rPr>
                <w:rFonts w:ascii="Arial" w:hAnsi="Arial" w:cs="Arial"/>
                <w:b/>
                <w:bCs/>
              </w:rPr>
            </w:pPr>
            <w:r w:rsidRPr="00656C63">
              <w:rPr>
                <w:rFonts w:ascii="Arial" w:hAnsi="Arial" w:cs="Arial"/>
                <w:b/>
                <w:bCs/>
              </w:rPr>
              <w:t>3</w:t>
            </w:r>
            <w:r>
              <w:rPr>
                <w:rFonts w:ascii="Arial" w:hAnsi="Arial" w:cs="Arial"/>
                <w:b/>
                <w:bCs/>
              </w:rPr>
              <w:t>0</w:t>
            </w:r>
            <w:r w:rsidRPr="00656C63">
              <w:rPr>
                <w:rFonts w:ascii="Arial" w:hAnsi="Arial" w:cs="Arial"/>
                <w:b/>
                <w:bCs/>
              </w:rPr>
              <w:t>/0</w:t>
            </w:r>
            <w:r w:rsidR="00257034">
              <w:rPr>
                <w:rFonts w:ascii="Arial" w:hAnsi="Arial" w:cs="Arial"/>
                <w:b/>
                <w:bCs/>
              </w:rPr>
              <w:t>9</w:t>
            </w:r>
            <w:r w:rsidRPr="00656C63">
              <w:rPr>
                <w:rFonts w:ascii="Arial" w:hAnsi="Arial" w:cs="Arial"/>
                <w:b/>
                <w:bCs/>
              </w:rPr>
              <w:t>/2</w:t>
            </w:r>
            <w:r>
              <w:rPr>
                <w:rFonts w:ascii="Arial" w:hAnsi="Arial" w:cs="Arial"/>
                <w:b/>
                <w:bCs/>
              </w:rPr>
              <w:t>3</w:t>
            </w:r>
            <w:r w:rsidR="000A4678" w:rsidRPr="00656C63">
              <w:rPr>
                <w:rFonts w:ascii="Arial" w:hAnsi="Arial" w:cs="Arial"/>
                <w:b/>
                <w:bCs/>
              </w:rPr>
              <w:br/>
              <w:t>Rate</w:t>
            </w:r>
            <w:r w:rsidR="000A4678" w:rsidRPr="00656C63">
              <w:rPr>
                <w:rFonts w:ascii="Arial" w:hAnsi="Arial" w:cs="Arial"/>
                <w:b/>
                <w:bCs/>
              </w:rPr>
              <w:br/>
              <w:t>%</w:t>
            </w:r>
          </w:p>
        </w:tc>
      </w:tr>
      <w:tr w:rsidR="00015B32" w:rsidRPr="00656C63" w14:paraId="4BF52C7A" w14:textId="77777777" w:rsidTr="000A4678">
        <w:tc>
          <w:tcPr>
            <w:tcW w:w="3227" w:type="dxa"/>
            <w:tcBorders>
              <w:top w:val="single" w:sz="4" w:space="0" w:color="auto"/>
              <w:left w:val="single" w:sz="4" w:space="0" w:color="auto"/>
              <w:right w:val="single" w:sz="4" w:space="0" w:color="auto"/>
            </w:tcBorders>
            <w:shd w:val="clear" w:color="auto" w:fill="auto"/>
          </w:tcPr>
          <w:p w14:paraId="620F11D2" w14:textId="77777777" w:rsidR="00015B32" w:rsidRPr="00656C63" w:rsidRDefault="00015B32" w:rsidP="00015B32">
            <w:pPr>
              <w:pStyle w:val="ListParagraph"/>
              <w:keepNext/>
              <w:ind w:left="0"/>
              <w:rPr>
                <w:rFonts w:ascii="Arial" w:hAnsi="Arial" w:cs="Arial"/>
              </w:rPr>
            </w:pPr>
            <w:r w:rsidRPr="00656C63">
              <w:rPr>
                <w:rFonts w:ascii="Arial" w:hAnsi="Arial" w:cs="Arial"/>
              </w:rPr>
              <w:t>Long-term borrowing</w:t>
            </w:r>
          </w:p>
        </w:tc>
        <w:tc>
          <w:tcPr>
            <w:tcW w:w="1417" w:type="dxa"/>
            <w:tcBorders>
              <w:top w:val="single" w:sz="4" w:space="0" w:color="auto"/>
              <w:left w:val="single" w:sz="4" w:space="0" w:color="auto"/>
              <w:right w:val="single" w:sz="4" w:space="0" w:color="auto"/>
            </w:tcBorders>
            <w:vAlign w:val="center"/>
          </w:tcPr>
          <w:p w14:paraId="41D1F06D" w14:textId="693BD047" w:rsidR="00015B32" w:rsidRPr="00656C63" w:rsidRDefault="00015B32" w:rsidP="00015B32">
            <w:pPr>
              <w:pStyle w:val="ListParagraph"/>
              <w:keepNext/>
              <w:ind w:left="0"/>
              <w:jc w:val="right"/>
              <w:rPr>
                <w:rFonts w:ascii="Arial" w:hAnsi="Arial" w:cs="Arial"/>
              </w:rPr>
            </w:pPr>
            <w:r>
              <w:rPr>
                <w:rFonts w:ascii="Arial" w:hAnsi="Arial" w:cs="Arial"/>
                <w:color w:val="000000"/>
              </w:rPr>
              <w:t>(29.4)</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30B72D60"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10.0</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3CED0F1A" w:rsidR="00015B32" w:rsidRPr="00656C63" w:rsidRDefault="000F65EA" w:rsidP="00015B32">
            <w:pPr>
              <w:pStyle w:val="ListParagraph"/>
              <w:keepNext/>
              <w:ind w:left="0"/>
              <w:jc w:val="right"/>
              <w:rPr>
                <w:rFonts w:ascii="Arial" w:hAnsi="Arial" w:cs="Arial"/>
              </w:rPr>
            </w:pPr>
            <w:r>
              <w:rPr>
                <w:rFonts w:ascii="Arial" w:hAnsi="Arial" w:cs="Arial"/>
                <w:color w:val="000000"/>
                <w:sz w:val="22"/>
                <w:szCs w:val="22"/>
              </w:rPr>
              <w:t>(</w:t>
            </w:r>
            <w:r w:rsidR="00015B32">
              <w:rPr>
                <w:rFonts w:ascii="Arial" w:hAnsi="Arial" w:cs="Arial"/>
                <w:color w:val="000000"/>
                <w:sz w:val="22"/>
                <w:szCs w:val="22"/>
              </w:rPr>
              <w:t>19.4</w:t>
            </w:r>
            <w:r>
              <w:rPr>
                <w:rFonts w:ascii="Arial" w:hAnsi="Arial" w:cs="Arial"/>
                <w:color w:val="000000"/>
                <w:sz w:val="22"/>
                <w:szCs w:val="22"/>
              </w:rPr>
              <w:t>)</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5386A023"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4.25</w:t>
            </w:r>
          </w:p>
        </w:tc>
      </w:tr>
      <w:tr w:rsidR="00015B32" w:rsidRPr="00656C63" w14:paraId="47EADD66" w14:textId="77777777" w:rsidTr="000A4678">
        <w:tc>
          <w:tcPr>
            <w:tcW w:w="3227" w:type="dxa"/>
            <w:tcBorders>
              <w:left w:val="single" w:sz="4" w:space="0" w:color="auto"/>
              <w:bottom w:val="single" w:sz="4" w:space="0" w:color="auto"/>
              <w:right w:val="single" w:sz="4" w:space="0" w:color="auto"/>
            </w:tcBorders>
            <w:shd w:val="clear" w:color="auto" w:fill="auto"/>
          </w:tcPr>
          <w:p w14:paraId="17B811CD" w14:textId="77777777" w:rsidR="00015B32" w:rsidRPr="00656C63" w:rsidRDefault="00015B32" w:rsidP="00015B32">
            <w:pPr>
              <w:pStyle w:val="ListParagraph"/>
              <w:keepNext/>
              <w:ind w:left="0"/>
              <w:rPr>
                <w:rFonts w:ascii="Arial" w:hAnsi="Arial" w:cs="Arial"/>
              </w:rPr>
            </w:pPr>
            <w:r w:rsidRPr="00656C63">
              <w:rPr>
                <w:rFonts w:ascii="Arial" w:hAnsi="Arial" w:cs="Arial"/>
              </w:rPr>
              <w:t>Short-term borrowing</w:t>
            </w:r>
          </w:p>
        </w:tc>
        <w:tc>
          <w:tcPr>
            <w:tcW w:w="1417" w:type="dxa"/>
            <w:tcBorders>
              <w:left w:val="single" w:sz="4" w:space="0" w:color="auto"/>
              <w:bottom w:val="single" w:sz="4" w:space="0" w:color="auto"/>
              <w:right w:val="single" w:sz="4" w:space="0" w:color="auto"/>
            </w:tcBorders>
            <w:vAlign w:val="center"/>
          </w:tcPr>
          <w:p w14:paraId="1300B5FD" w14:textId="712FC856" w:rsidR="00015B32" w:rsidRPr="00656C63" w:rsidRDefault="00015B32" w:rsidP="00015B32">
            <w:pPr>
              <w:pStyle w:val="ListParagraph"/>
              <w:keepNext/>
              <w:ind w:left="0"/>
              <w:jc w:val="right"/>
              <w:rPr>
                <w:rFonts w:ascii="Arial" w:hAnsi="Arial" w:cs="Arial"/>
              </w:rPr>
            </w:pPr>
            <w:r>
              <w:rPr>
                <w:rFonts w:ascii="Arial" w:hAnsi="Arial" w:cs="Arial"/>
                <w:color w:val="000000"/>
              </w:rPr>
              <w:t>(0.4)</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27E734A5"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0.4</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5A0B4DCE"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0.0</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7897A2E8"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0.00</w:t>
            </w:r>
          </w:p>
        </w:tc>
      </w:tr>
      <w:tr w:rsidR="00015B32" w:rsidRPr="00656C63" w14:paraId="518B43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015B32" w:rsidRPr="00656C63" w:rsidRDefault="00015B32" w:rsidP="00015B32">
            <w:pPr>
              <w:pStyle w:val="ListParagraph"/>
              <w:keepNext/>
              <w:ind w:left="0"/>
              <w:rPr>
                <w:rFonts w:ascii="Arial" w:hAnsi="Arial" w:cs="Arial"/>
                <w:b/>
                <w:bCs/>
              </w:rPr>
            </w:pPr>
            <w:r w:rsidRPr="00656C63">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vAlign w:val="center"/>
          </w:tcPr>
          <w:p w14:paraId="6D51D698" w14:textId="2216DD97" w:rsidR="00015B32" w:rsidRPr="00656C63" w:rsidRDefault="00015B32" w:rsidP="00015B32">
            <w:pPr>
              <w:pStyle w:val="ListParagraph"/>
              <w:keepNext/>
              <w:ind w:left="0"/>
              <w:jc w:val="right"/>
              <w:rPr>
                <w:rFonts w:ascii="Arial" w:hAnsi="Arial" w:cs="Arial"/>
                <w:b/>
                <w:bCs/>
              </w:rPr>
            </w:pPr>
            <w:r>
              <w:rPr>
                <w:rFonts w:ascii="Arial" w:hAnsi="Arial" w:cs="Arial"/>
                <w:b/>
                <w:bCs/>
                <w:color w:val="000000"/>
              </w:rPr>
              <w:t>(29.8)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496CD88C" w:rsidR="00015B32" w:rsidRPr="00656C63" w:rsidRDefault="00015B32" w:rsidP="00015B32">
            <w:pPr>
              <w:pStyle w:val="ListParagraph"/>
              <w:keepNext/>
              <w:ind w:left="0"/>
              <w:jc w:val="right"/>
              <w:rPr>
                <w:rFonts w:ascii="Arial" w:hAnsi="Arial" w:cs="Arial"/>
                <w:b/>
                <w:bCs/>
              </w:rPr>
            </w:pPr>
            <w:r>
              <w:rPr>
                <w:rFonts w:ascii="Arial" w:hAnsi="Arial" w:cs="Arial"/>
                <w:b/>
                <w:bCs/>
                <w:color w:val="000000"/>
                <w:sz w:val="22"/>
                <w:szCs w:val="22"/>
              </w:rPr>
              <w:t>10.4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3D89A8A0" w:rsidR="00015B32" w:rsidRPr="00656C63" w:rsidRDefault="000F65EA" w:rsidP="00015B32">
            <w:pPr>
              <w:pStyle w:val="ListParagraph"/>
              <w:keepNext/>
              <w:ind w:left="0"/>
              <w:jc w:val="right"/>
              <w:rPr>
                <w:rFonts w:ascii="Arial" w:hAnsi="Arial" w:cs="Arial"/>
                <w:b/>
                <w:bCs/>
              </w:rPr>
            </w:pPr>
            <w:r>
              <w:rPr>
                <w:rFonts w:ascii="Arial" w:hAnsi="Arial" w:cs="Arial"/>
                <w:b/>
                <w:bCs/>
                <w:color w:val="000000"/>
                <w:sz w:val="22"/>
                <w:szCs w:val="22"/>
              </w:rPr>
              <w:t>(</w:t>
            </w:r>
            <w:r w:rsidR="00015B32">
              <w:rPr>
                <w:rFonts w:ascii="Arial" w:hAnsi="Arial" w:cs="Arial"/>
                <w:b/>
                <w:bCs/>
                <w:color w:val="000000"/>
                <w:sz w:val="22"/>
                <w:szCs w:val="22"/>
              </w:rPr>
              <w:t>19.4</w:t>
            </w:r>
            <w:r>
              <w:rPr>
                <w:rFonts w:ascii="Arial" w:hAnsi="Arial" w:cs="Arial"/>
                <w:b/>
                <w:bCs/>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7E1A9E7C" w:rsidR="00015B32" w:rsidRPr="00656C63" w:rsidRDefault="00015B32" w:rsidP="00015B32">
            <w:pPr>
              <w:pStyle w:val="ListParagraph"/>
              <w:keepNext/>
              <w:ind w:left="0"/>
              <w:jc w:val="right"/>
              <w:rPr>
                <w:rFonts w:ascii="Arial" w:hAnsi="Arial" w:cs="Arial"/>
                <w:b/>
                <w:bCs/>
              </w:rPr>
            </w:pPr>
            <w:r>
              <w:rPr>
                <w:rFonts w:ascii="Arial" w:hAnsi="Arial" w:cs="Arial"/>
                <w:b/>
                <w:bCs/>
                <w:color w:val="000000"/>
                <w:sz w:val="22"/>
                <w:szCs w:val="22"/>
              </w:rPr>
              <w:t>4.25</w:t>
            </w:r>
          </w:p>
        </w:tc>
      </w:tr>
      <w:tr w:rsidR="00015B32" w:rsidRPr="00656C63" w14:paraId="5819FB47" w14:textId="77777777" w:rsidTr="002B3B36">
        <w:tc>
          <w:tcPr>
            <w:tcW w:w="3227" w:type="dxa"/>
            <w:tcBorders>
              <w:top w:val="single" w:sz="4" w:space="0" w:color="auto"/>
              <w:left w:val="single" w:sz="4" w:space="0" w:color="auto"/>
              <w:right w:val="single" w:sz="4" w:space="0" w:color="auto"/>
            </w:tcBorders>
            <w:shd w:val="clear" w:color="auto" w:fill="auto"/>
          </w:tcPr>
          <w:p w14:paraId="66B62BCD" w14:textId="77777777" w:rsidR="00015B32" w:rsidRPr="00656C63" w:rsidRDefault="00015B32" w:rsidP="00015B32">
            <w:pPr>
              <w:pStyle w:val="ListParagraph"/>
              <w:keepNext/>
              <w:ind w:left="0"/>
              <w:rPr>
                <w:rFonts w:ascii="Arial" w:hAnsi="Arial" w:cs="Arial"/>
              </w:rPr>
            </w:pPr>
            <w:r w:rsidRPr="00656C63">
              <w:rPr>
                <w:rFonts w:ascii="Arial" w:hAnsi="Arial" w:cs="Arial"/>
              </w:rPr>
              <w:t>Long-term investments</w:t>
            </w:r>
          </w:p>
        </w:tc>
        <w:tc>
          <w:tcPr>
            <w:tcW w:w="1417" w:type="dxa"/>
            <w:tcBorders>
              <w:top w:val="single" w:sz="4" w:space="0" w:color="auto"/>
              <w:left w:val="single" w:sz="4" w:space="0" w:color="auto"/>
              <w:right w:val="single" w:sz="4" w:space="0" w:color="auto"/>
            </w:tcBorders>
            <w:vAlign w:val="center"/>
          </w:tcPr>
          <w:p w14:paraId="68F16376" w14:textId="312E1884" w:rsidR="00015B32" w:rsidRPr="00656C63" w:rsidRDefault="00015B32" w:rsidP="00015B32">
            <w:pPr>
              <w:pStyle w:val="ListParagraph"/>
              <w:keepNext/>
              <w:ind w:left="0"/>
              <w:jc w:val="right"/>
              <w:rPr>
                <w:rFonts w:ascii="Arial" w:hAnsi="Arial" w:cs="Arial"/>
              </w:rPr>
            </w:pPr>
            <w:r>
              <w:rPr>
                <w:rFonts w:ascii="Arial" w:hAnsi="Arial" w:cs="Arial"/>
                <w:color w:val="000000"/>
              </w:rPr>
              <w:t>15.1</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58874CEE"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13.9</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48B55AFF"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29.0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3379961E" w:rsidR="00015B32" w:rsidRPr="00656C63" w:rsidRDefault="00015B32" w:rsidP="00015B32">
            <w:pPr>
              <w:pStyle w:val="ListParagraph"/>
              <w:keepNext/>
              <w:ind w:left="0"/>
              <w:jc w:val="right"/>
              <w:rPr>
                <w:rFonts w:ascii="Arial" w:hAnsi="Arial" w:cs="Arial"/>
              </w:rPr>
            </w:pPr>
            <w:r>
              <w:rPr>
                <w:rFonts w:ascii="Arial" w:hAnsi="Arial" w:cs="Arial"/>
                <w:color w:val="000000"/>
                <w:sz w:val="22"/>
                <w:szCs w:val="22"/>
              </w:rPr>
              <w:t>5.09</w:t>
            </w:r>
          </w:p>
        </w:tc>
      </w:tr>
      <w:tr w:rsidR="00015B32" w:rsidRPr="00656C63" w14:paraId="78C0D782" w14:textId="77777777" w:rsidTr="000A4678">
        <w:tc>
          <w:tcPr>
            <w:tcW w:w="3227" w:type="dxa"/>
            <w:tcBorders>
              <w:left w:val="single" w:sz="4" w:space="0" w:color="auto"/>
              <w:right w:val="single" w:sz="4" w:space="0" w:color="auto"/>
            </w:tcBorders>
            <w:shd w:val="clear" w:color="auto" w:fill="auto"/>
          </w:tcPr>
          <w:p w14:paraId="77C9BA0B" w14:textId="77777777" w:rsidR="00015B32" w:rsidRPr="00656C63" w:rsidRDefault="00015B32" w:rsidP="00015B32">
            <w:pPr>
              <w:pStyle w:val="ListParagraph"/>
              <w:ind w:left="0"/>
              <w:rPr>
                <w:rFonts w:ascii="Arial" w:hAnsi="Arial" w:cs="Arial"/>
              </w:rPr>
            </w:pPr>
            <w:r w:rsidRPr="00656C63">
              <w:rPr>
                <w:rFonts w:ascii="Arial" w:hAnsi="Arial" w:cs="Arial"/>
              </w:rPr>
              <w:t>Short-term investments</w:t>
            </w:r>
          </w:p>
        </w:tc>
        <w:tc>
          <w:tcPr>
            <w:tcW w:w="1417" w:type="dxa"/>
            <w:tcBorders>
              <w:left w:val="single" w:sz="4" w:space="0" w:color="auto"/>
              <w:right w:val="single" w:sz="4" w:space="0" w:color="auto"/>
            </w:tcBorders>
            <w:vAlign w:val="center"/>
          </w:tcPr>
          <w:p w14:paraId="0E9320B4" w14:textId="1CBD96B2" w:rsidR="00015B32" w:rsidRPr="00656C63" w:rsidRDefault="00015B32" w:rsidP="00015B32">
            <w:pPr>
              <w:pStyle w:val="ListParagraph"/>
              <w:ind w:left="0"/>
              <w:jc w:val="right"/>
              <w:rPr>
                <w:rFonts w:ascii="Arial" w:hAnsi="Arial" w:cs="Arial"/>
              </w:rPr>
            </w:pPr>
            <w:r>
              <w:rPr>
                <w:rFonts w:ascii="Arial" w:hAnsi="Arial" w:cs="Arial"/>
                <w:color w:val="000000"/>
              </w:rPr>
              <w:t>25.0</w:t>
            </w:r>
          </w:p>
        </w:tc>
        <w:tc>
          <w:tcPr>
            <w:tcW w:w="1417" w:type="dxa"/>
            <w:tcBorders>
              <w:left w:val="single" w:sz="4" w:space="0" w:color="auto"/>
              <w:right w:val="single" w:sz="4" w:space="0" w:color="auto"/>
            </w:tcBorders>
            <w:shd w:val="clear" w:color="auto" w:fill="auto"/>
            <w:vAlign w:val="center"/>
          </w:tcPr>
          <w:p w14:paraId="59BABC92" w14:textId="4510478A"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27.6</w:t>
            </w:r>
          </w:p>
        </w:tc>
        <w:tc>
          <w:tcPr>
            <w:tcW w:w="1417" w:type="dxa"/>
            <w:tcBorders>
              <w:left w:val="single" w:sz="4" w:space="0" w:color="auto"/>
              <w:right w:val="single" w:sz="4" w:space="0" w:color="auto"/>
            </w:tcBorders>
            <w:shd w:val="clear" w:color="auto" w:fill="auto"/>
            <w:vAlign w:val="center"/>
          </w:tcPr>
          <w:p w14:paraId="6BE11EED" w14:textId="29BF138F"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52.6</w:t>
            </w:r>
          </w:p>
        </w:tc>
        <w:tc>
          <w:tcPr>
            <w:tcW w:w="1417" w:type="dxa"/>
            <w:tcBorders>
              <w:left w:val="single" w:sz="4" w:space="0" w:color="auto"/>
              <w:right w:val="single" w:sz="4" w:space="0" w:color="auto"/>
            </w:tcBorders>
            <w:shd w:val="clear" w:color="auto" w:fill="auto"/>
            <w:vAlign w:val="center"/>
          </w:tcPr>
          <w:p w14:paraId="366C6DE6" w14:textId="0FC8E8FE"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5.25</w:t>
            </w:r>
          </w:p>
        </w:tc>
      </w:tr>
      <w:tr w:rsidR="00015B32" w:rsidRPr="00656C63" w14:paraId="5C6983EC" w14:textId="77777777" w:rsidTr="000A4678">
        <w:tc>
          <w:tcPr>
            <w:tcW w:w="3227" w:type="dxa"/>
            <w:tcBorders>
              <w:left w:val="single" w:sz="4" w:space="0" w:color="auto"/>
              <w:bottom w:val="single" w:sz="4" w:space="0" w:color="auto"/>
              <w:right w:val="single" w:sz="4" w:space="0" w:color="auto"/>
            </w:tcBorders>
            <w:shd w:val="clear" w:color="auto" w:fill="auto"/>
          </w:tcPr>
          <w:p w14:paraId="191896F5" w14:textId="77777777" w:rsidR="00015B32" w:rsidRPr="00656C63" w:rsidRDefault="00015B32" w:rsidP="00015B32">
            <w:pPr>
              <w:pStyle w:val="ListParagraph"/>
              <w:ind w:left="0"/>
              <w:rPr>
                <w:rFonts w:ascii="Arial" w:hAnsi="Arial" w:cs="Arial"/>
              </w:rPr>
            </w:pPr>
            <w:r w:rsidRPr="00656C63">
              <w:rPr>
                <w:rFonts w:ascii="Arial" w:hAnsi="Arial" w:cs="Arial"/>
              </w:rPr>
              <w:t>Cash and cash equivalents</w:t>
            </w:r>
          </w:p>
        </w:tc>
        <w:tc>
          <w:tcPr>
            <w:tcW w:w="1417" w:type="dxa"/>
            <w:tcBorders>
              <w:left w:val="single" w:sz="4" w:space="0" w:color="auto"/>
              <w:bottom w:val="single" w:sz="4" w:space="0" w:color="auto"/>
              <w:right w:val="single" w:sz="4" w:space="0" w:color="auto"/>
            </w:tcBorders>
            <w:vAlign w:val="center"/>
          </w:tcPr>
          <w:p w14:paraId="16A21FCB" w14:textId="56AC49BF" w:rsidR="00015B32" w:rsidRPr="00656C63" w:rsidRDefault="00015B32" w:rsidP="00015B32">
            <w:pPr>
              <w:pStyle w:val="ListParagraph"/>
              <w:ind w:left="0"/>
              <w:jc w:val="right"/>
              <w:rPr>
                <w:rFonts w:ascii="Arial" w:hAnsi="Arial" w:cs="Arial"/>
              </w:rPr>
            </w:pPr>
            <w:r>
              <w:rPr>
                <w:rFonts w:ascii="Arial" w:hAnsi="Arial" w:cs="Arial"/>
                <w:color w:val="000000"/>
              </w:rPr>
              <w:t>66.8</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0D73610D" w:rsidR="00015B32" w:rsidRPr="00656C63" w:rsidRDefault="00EB0F85" w:rsidP="00015B32">
            <w:pPr>
              <w:pStyle w:val="ListParagraph"/>
              <w:ind w:left="0"/>
              <w:jc w:val="right"/>
              <w:rPr>
                <w:rFonts w:ascii="Arial" w:hAnsi="Arial" w:cs="Arial"/>
              </w:rPr>
            </w:pPr>
            <w:r>
              <w:rPr>
                <w:rFonts w:ascii="Arial" w:hAnsi="Arial" w:cs="Arial"/>
                <w:color w:val="000000"/>
                <w:sz w:val="22"/>
                <w:szCs w:val="22"/>
              </w:rPr>
              <w:t>(</w:t>
            </w:r>
            <w:r w:rsidR="00015B32">
              <w:rPr>
                <w:rFonts w:ascii="Arial" w:hAnsi="Arial" w:cs="Arial"/>
                <w:color w:val="000000"/>
                <w:sz w:val="22"/>
                <w:szCs w:val="22"/>
              </w:rPr>
              <w:t>25.0</w:t>
            </w:r>
            <w:r>
              <w:rPr>
                <w:rFonts w:ascii="Arial" w:hAnsi="Arial" w:cs="Arial"/>
                <w:color w:val="000000"/>
                <w:sz w:val="22"/>
                <w:szCs w:val="22"/>
              </w:rPr>
              <w:t>)</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25E07296"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41.8</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349C969F" w:rsidR="00015B32" w:rsidRPr="00656C63" w:rsidRDefault="00015B32" w:rsidP="00015B32">
            <w:pPr>
              <w:pStyle w:val="ListParagraph"/>
              <w:ind w:left="0"/>
              <w:jc w:val="right"/>
              <w:rPr>
                <w:rFonts w:ascii="Arial" w:hAnsi="Arial" w:cs="Arial"/>
              </w:rPr>
            </w:pPr>
            <w:r>
              <w:rPr>
                <w:rFonts w:ascii="Arial" w:hAnsi="Arial" w:cs="Arial"/>
                <w:color w:val="000000"/>
                <w:sz w:val="22"/>
                <w:szCs w:val="22"/>
              </w:rPr>
              <w:t>5.18</w:t>
            </w:r>
          </w:p>
        </w:tc>
      </w:tr>
      <w:tr w:rsidR="00015B32" w:rsidRPr="00656C63" w14:paraId="2EBD86A2"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015B32" w:rsidRPr="00656C63" w:rsidRDefault="00015B32" w:rsidP="00015B32">
            <w:pPr>
              <w:pStyle w:val="ListParagraph"/>
              <w:ind w:left="0"/>
              <w:rPr>
                <w:rFonts w:ascii="Arial" w:hAnsi="Arial" w:cs="Arial"/>
                <w:b/>
                <w:bCs/>
              </w:rPr>
            </w:pPr>
            <w:r w:rsidRPr="00656C63">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4F3AD328" w14:textId="3B255804" w:rsidR="00015B32" w:rsidRPr="00656C63" w:rsidRDefault="00015B32" w:rsidP="00015B32">
            <w:pPr>
              <w:pStyle w:val="ListParagraph"/>
              <w:ind w:left="0"/>
              <w:jc w:val="right"/>
              <w:rPr>
                <w:rFonts w:ascii="Arial" w:hAnsi="Arial" w:cs="Arial"/>
                <w:b/>
                <w:bCs/>
              </w:rPr>
            </w:pPr>
            <w:r>
              <w:rPr>
                <w:rFonts w:ascii="Arial" w:hAnsi="Arial" w:cs="Arial"/>
                <w:b/>
                <w:bCs/>
                <w:color w:val="000000"/>
              </w:rPr>
              <w:t>106.9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18EC6732"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16.5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65B9369B"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123.4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3C5FF493"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5.19</w:t>
            </w:r>
          </w:p>
        </w:tc>
      </w:tr>
      <w:tr w:rsidR="00015B32" w:rsidRPr="00BA4271" w14:paraId="6BE2E810"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015B32" w:rsidRPr="00656C63" w:rsidRDefault="00015B32" w:rsidP="00015B32">
            <w:pPr>
              <w:pStyle w:val="ListParagraph"/>
              <w:ind w:left="0"/>
              <w:rPr>
                <w:rFonts w:ascii="Arial" w:hAnsi="Arial" w:cs="Arial"/>
                <w:b/>
                <w:bCs/>
              </w:rPr>
            </w:pPr>
            <w:r w:rsidRPr="00656C63">
              <w:rPr>
                <w:rFonts w:ascii="Arial" w:hAnsi="Arial" w:cs="Arial"/>
                <w:b/>
                <w:bCs/>
              </w:rPr>
              <w:t>Net treasury management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75AD4EE5" w14:textId="3956386E"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77.</w:t>
            </w:r>
            <w:r w:rsidR="000F65EA">
              <w:rPr>
                <w:rFonts w:ascii="Arial" w:hAnsi="Arial" w:cs="Arial"/>
                <w:b/>
                <w:bCs/>
                <w:color w:val="000000"/>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14638A5A"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26.</w:t>
            </w:r>
            <w:r w:rsidR="00592742">
              <w:rPr>
                <w:rFonts w:ascii="Arial" w:hAnsi="Arial" w:cs="Arial"/>
                <w:b/>
                <w:bCs/>
                <w:color w:val="000000"/>
                <w:sz w:val="22"/>
                <w:szCs w:val="22"/>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55602494"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104.0</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646825A5" w:rsidR="00015B32" w:rsidRPr="00656C63" w:rsidRDefault="00015B32" w:rsidP="00015B32">
            <w:pPr>
              <w:pStyle w:val="ListParagraph"/>
              <w:ind w:left="0"/>
              <w:jc w:val="right"/>
              <w:rPr>
                <w:rFonts w:ascii="Arial" w:hAnsi="Arial" w:cs="Arial"/>
                <w:b/>
                <w:bCs/>
              </w:rPr>
            </w:pPr>
            <w:r>
              <w:rPr>
                <w:rFonts w:ascii="Arial" w:hAnsi="Arial" w:cs="Arial"/>
                <w:b/>
                <w:bCs/>
                <w:color w:val="000000"/>
                <w:sz w:val="22"/>
                <w:szCs w:val="22"/>
              </w:rPr>
              <w:t> </w:t>
            </w:r>
          </w:p>
        </w:tc>
      </w:tr>
    </w:tbl>
    <w:p w14:paraId="7AEDA3D2" w14:textId="5A4C2D03" w:rsidR="00F613B7" w:rsidRPr="000A4678" w:rsidRDefault="00F613B7" w:rsidP="00F613B7">
      <w:pPr>
        <w:pStyle w:val="ListParagraph"/>
        <w:spacing w:after="240"/>
        <w:rPr>
          <w:rFonts w:ascii="Arial" w:hAnsi="Arial" w:cs="Arial"/>
          <w:sz w:val="20"/>
          <w:szCs w:val="20"/>
        </w:rPr>
      </w:pPr>
      <w:r w:rsidRPr="000A4678">
        <w:rPr>
          <w:rFonts w:ascii="Arial" w:hAnsi="Arial" w:cs="Arial"/>
          <w:sz w:val="20"/>
          <w:szCs w:val="20"/>
        </w:rPr>
        <w:t xml:space="preserve">Note: </w:t>
      </w:r>
      <w:proofErr w:type="gramStart"/>
      <w:r w:rsidRPr="000A4678">
        <w:rPr>
          <w:rFonts w:ascii="Arial" w:hAnsi="Arial" w:cs="Arial"/>
          <w:sz w:val="20"/>
          <w:szCs w:val="20"/>
        </w:rPr>
        <w:t>the</w:t>
      </w:r>
      <w:proofErr w:type="gramEnd"/>
      <w:r w:rsidR="00A81C99" w:rsidRPr="00A81C99">
        <w:rPr>
          <w:rFonts w:ascii="Arial" w:hAnsi="Arial" w:cs="Arial"/>
          <w:sz w:val="20"/>
          <w:szCs w:val="20"/>
        </w:rPr>
        <w:t xml:space="preserve"> 31 March</w:t>
      </w:r>
      <w:r w:rsidR="00743D41">
        <w:rPr>
          <w:rFonts w:ascii="Arial" w:hAnsi="Arial" w:cs="Arial"/>
          <w:sz w:val="20"/>
          <w:szCs w:val="20"/>
        </w:rPr>
        <w:t xml:space="preserve"> 2023</w:t>
      </w:r>
      <w:r w:rsidR="00AA1EF1" w:rsidRPr="000A4678">
        <w:rPr>
          <w:rFonts w:ascii="Arial" w:hAnsi="Arial" w:cs="Arial"/>
          <w:sz w:val="20"/>
          <w:szCs w:val="20"/>
        </w:rPr>
        <w:t xml:space="preserve"> </w:t>
      </w:r>
      <w:r w:rsidR="00DB4437" w:rsidRPr="000A4678">
        <w:rPr>
          <w:rFonts w:ascii="Arial" w:hAnsi="Arial" w:cs="Arial"/>
          <w:sz w:val="20"/>
          <w:szCs w:val="20"/>
        </w:rPr>
        <w:t xml:space="preserve">figures </w:t>
      </w:r>
      <w:r w:rsidRPr="000A4678">
        <w:rPr>
          <w:rFonts w:ascii="Arial" w:hAnsi="Arial" w:cs="Arial"/>
          <w:sz w:val="20"/>
          <w:szCs w:val="20"/>
        </w:rPr>
        <w:t xml:space="preserve">in </w:t>
      </w:r>
      <w:r w:rsidR="00C657AA" w:rsidRPr="000A4678">
        <w:rPr>
          <w:rFonts w:ascii="Arial" w:hAnsi="Arial" w:cs="Arial"/>
          <w:sz w:val="20"/>
          <w:szCs w:val="20"/>
        </w:rPr>
        <w:t>T</w:t>
      </w:r>
      <w:r w:rsidRPr="000A4678">
        <w:rPr>
          <w:rFonts w:ascii="Arial" w:hAnsi="Arial" w:cs="Arial"/>
          <w:sz w:val="20"/>
          <w:szCs w:val="20"/>
        </w:rPr>
        <w:t>able</w:t>
      </w:r>
      <w:r w:rsidR="00C657AA" w:rsidRPr="000A4678">
        <w:rPr>
          <w:rFonts w:ascii="Arial" w:hAnsi="Arial" w:cs="Arial"/>
          <w:sz w:val="20"/>
          <w:szCs w:val="20"/>
        </w:rPr>
        <w:t xml:space="preserve"> 2</w:t>
      </w:r>
      <w:r w:rsidRPr="000A4678">
        <w:rPr>
          <w:rFonts w:ascii="Arial" w:hAnsi="Arial" w:cs="Arial"/>
          <w:sz w:val="20"/>
          <w:szCs w:val="20"/>
        </w:rPr>
        <w:t xml:space="preserve"> are</w:t>
      </w:r>
      <w:r w:rsidR="005904B3" w:rsidRPr="000A4678">
        <w:rPr>
          <w:rFonts w:ascii="Arial" w:hAnsi="Arial" w:cs="Arial"/>
          <w:sz w:val="20"/>
          <w:szCs w:val="20"/>
        </w:rPr>
        <w:t xml:space="preserve"> taken</w:t>
      </w:r>
      <w:r w:rsidRPr="000A4678">
        <w:rPr>
          <w:rFonts w:ascii="Arial" w:hAnsi="Arial" w:cs="Arial"/>
          <w:sz w:val="20"/>
          <w:szCs w:val="20"/>
        </w:rPr>
        <w:t xml:space="preserve"> from the balance sheet in the PCC’s accounts, but adjusted to exclude operational cash, accrued interest and other accounting adjustments</w:t>
      </w:r>
      <w:r w:rsidR="009D7EAA">
        <w:rPr>
          <w:rFonts w:ascii="Arial" w:hAnsi="Arial" w:cs="Arial"/>
          <w:sz w:val="20"/>
          <w:szCs w:val="20"/>
        </w:rPr>
        <w:t>, and therefore differ from Table 1</w:t>
      </w:r>
      <w:r w:rsidRPr="000A4678">
        <w:rPr>
          <w:rFonts w:ascii="Arial" w:hAnsi="Arial" w:cs="Arial"/>
          <w:sz w:val="20"/>
          <w:szCs w:val="20"/>
        </w:rPr>
        <w:t>.</w:t>
      </w:r>
    </w:p>
    <w:p w14:paraId="29071664" w14:textId="3EEB05C2" w:rsidR="00315C49" w:rsidRPr="00D165EC" w:rsidRDefault="002D57AA" w:rsidP="003C3808">
      <w:pPr>
        <w:pStyle w:val="ListParagraph"/>
        <w:numPr>
          <w:ilvl w:val="1"/>
          <w:numId w:val="2"/>
        </w:numPr>
        <w:spacing w:after="240"/>
        <w:ind w:left="720" w:hanging="720"/>
        <w:rPr>
          <w:rFonts w:ascii="Arial" w:hAnsi="Arial" w:cs="Arial"/>
        </w:rPr>
      </w:pPr>
      <w:r w:rsidRPr="00D165EC">
        <w:rPr>
          <w:rFonts w:ascii="Arial" w:hAnsi="Arial" w:cs="Arial"/>
        </w:rPr>
        <w:t xml:space="preserve">The </w:t>
      </w:r>
      <w:r w:rsidR="00003ED7">
        <w:rPr>
          <w:rFonts w:ascii="Arial" w:hAnsi="Arial" w:cs="Arial"/>
        </w:rPr>
        <w:t>increas</w:t>
      </w:r>
      <w:r w:rsidR="00176F6A">
        <w:rPr>
          <w:rFonts w:ascii="Arial" w:hAnsi="Arial" w:cs="Arial"/>
        </w:rPr>
        <w:t>e</w:t>
      </w:r>
      <w:r w:rsidRPr="00D165EC">
        <w:rPr>
          <w:rFonts w:ascii="Arial" w:hAnsi="Arial" w:cs="Arial"/>
        </w:rPr>
        <w:t xml:space="preserve"> in net investments of £</w:t>
      </w:r>
      <w:r w:rsidR="00176F6A">
        <w:rPr>
          <w:rFonts w:ascii="Arial" w:hAnsi="Arial" w:cs="Arial"/>
        </w:rPr>
        <w:t>2</w:t>
      </w:r>
      <w:r w:rsidR="00003ED7">
        <w:rPr>
          <w:rFonts w:ascii="Arial" w:hAnsi="Arial" w:cs="Arial"/>
        </w:rPr>
        <w:t>6</w:t>
      </w:r>
      <w:r w:rsidR="00176F6A">
        <w:rPr>
          <w:rFonts w:ascii="Arial" w:hAnsi="Arial" w:cs="Arial"/>
        </w:rPr>
        <w:t>.</w:t>
      </w:r>
      <w:r w:rsidR="00003ED7">
        <w:rPr>
          <w:rFonts w:ascii="Arial" w:hAnsi="Arial" w:cs="Arial"/>
        </w:rPr>
        <w:t>9</w:t>
      </w:r>
      <w:r w:rsidRPr="00D165EC">
        <w:rPr>
          <w:rFonts w:ascii="Arial" w:hAnsi="Arial" w:cs="Arial"/>
        </w:rPr>
        <w:t>m shown in Table 2 reflect</w:t>
      </w:r>
      <w:r w:rsidR="00C97242">
        <w:rPr>
          <w:rFonts w:ascii="Arial" w:hAnsi="Arial" w:cs="Arial"/>
        </w:rPr>
        <w:t xml:space="preserve"> the </w:t>
      </w:r>
      <w:r w:rsidR="00003ED7">
        <w:rPr>
          <w:rFonts w:ascii="Arial" w:hAnsi="Arial" w:cs="Arial"/>
        </w:rPr>
        <w:t xml:space="preserve">receipt of grant funding </w:t>
      </w:r>
      <w:r w:rsidR="00E01DD1">
        <w:rPr>
          <w:rFonts w:ascii="Arial" w:hAnsi="Arial" w:cs="Arial"/>
        </w:rPr>
        <w:t xml:space="preserve">in the early part of the financial year, with balances expected to </w:t>
      </w:r>
      <w:r w:rsidR="00FE2CC3">
        <w:rPr>
          <w:rFonts w:ascii="Arial" w:hAnsi="Arial" w:cs="Arial"/>
        </w:rPr>
        <w:t>reduce</w:t>
      </w:r>
      <w:r w:rsidR="00E01DD1">
        <w:rPr>
          <w:rFonts w:ascii="Arial" w:hAnsi="Arial" w:cs="Arial"/>
        </w:rPr>
        <w:t xml:space="preserve"> towards the end of the </w:t>
      </w:r>
      <w:r w:rsidR="00FE2CC3">
        <w:rPr>
          <w:rFonts w:ascii="Arial" w:hAnsi="Arial" w:cs="Arial"/>
        </w:rPr>
        <w:t>financial year as part of the normal course of business activities</w:t>
      </w:r>
      <w:r w:rsidR="00E83B0C" w:rsidRPr="00725A62">
        <w:rPr>
          <w:rFonts w:ascii="Arial" w:hAnsi="Arial" w:cs="Arial"/>
        </w:rPr>
        <w:t>.</w:t>
      </w:r>
      <w:r w:rsidR="00E83B0C" w:rsidRPr="00D165EC">
        <w:rPr>
          <w:rFonts w:ascii="Arial" w:hAnsi="Arial" w:cs="Arial"/>
        </w:rPr>
        <w:t xml:space="preserve">  </w:t>
      </w:r>
    </w:p>
    <w:p w14:paraId="73AC55B5" w14:textId="48B4996A" w:rsidR="00357A26" w:rsidRPr="00D165EC" w:rsidRDefault="00357A26" w:rsidP="003C3808">
      <w:pPr>
        <w:pStyle w:val="ListParagraph"/>
        <w:numPr>
          <w:ilvl w:val="1"/>
          <w:numId w:val="2"/>
        </w:numPr>
        <w:spacing w:after="240"/>
        <w:ind w:left="720" w:hanging="720"/>
        <w:rPr>
          <w:rFonts w:ascii="Arial" w:hAnsi="Arial" w:cs="Arial"/>
        </w:rPr>
      </w:pPr>
      <w:r>
        <w:rPr>
          <w:rFonts w:ascii="Arial" w:hAnsi="Arial" w:cs="Arial"/>
        </w:rPr>
        <w:t xml:space="preserve">The overall level of investments </w:t>
      </w:r>
      <w:r w:rsidR="00AA724A">
        <w:rPr>
          <w:rFonts w:ascii="Arial" w:hAnsi="Arial" w:cs="Arial"/>
        </w:rPr>
        <w:t xml:space="preserve">provides </w:t>
      </w:r>
      <w:r w:rsidR="00E608A4">
        <w:rPr>
          <w:rFonts w:ascii="Arial" w:hAnsi="Arial" w:cs="Arial"/>
        </w:rPr>
        <w:t xml:space="preserve">significant </w:t>
      </w:r>
      <w:r w:rsidR="00AA724A">
        <w:rPr>
          <w:rFonts w:ascii="Arial" w:hAnsi="Arial" w:cs="Arial"/>
        </w:rPr>
        <w:t xml:space="preserve">financial resilience for the PCC, albeit that </w:t>
      </w:r>
      <w:proofErr w:type="gramStart"/>
      <w:r w:rsidR="00AA724A">
        <w:rPr>
          <w:rFonts w:ascii="Arial" w:hAnsi="Arial" w:cs="Arial"/>
        </w:rPr>
        <w:t>the majority of</w:t>
      </w:r>
      <w:proofErr w:type="gramEnd"/>
      <w:r w:rsidR="00AA724A">
        <w:rPr>
          <w:rFonts w:ascii="Arial" w:hAnsi="Arial" w:cs="Arial"/>
        </w:rPr>
        <w:t xml:space="preserve"> the reserves are ringfenced and set aside for specific purposes; the expectation is that reserves will be drawn down significantly over the next few years, particularly to support the capital programme, major equipment purchase, IT infrastructure </w:t>
      </w:r>
      <w:r w:rsidR="00456EBB">
        <w:rPr>
          <w:rFonts w:ascii="Arial" w:hAnsi="Arial" w:cs="Arial"/>
        </w:rPr>
        <w:t>and device replacement, Operation Magenta and to fund inflation pressures.</w:t>
      </w:r>
    </w:p>
    <w:p w14:paraId="5DF561B8" w14:textId="77777777" w:rsidR="00557178" w:rsidRPr="00F5079D" w:rsidRDefault="00557178" w:rsidP="00557178">
      <w:pPr>
        <w:keepNext/>
        <w:numPr>
          <w:ilvl w:val="0"/>
          <w:numId w:val="2"/>
        </w:numPr>
        <w:tabs>
          <w:tab w:val="num" w:pos="720"/>
        </w:tabs>
        <w:spacing w:after="240"/>
        <w:ind w:left="431" w:hanging="431"/>
        <w:outlineLvl w:val="0"/>
        <w:rPr>
          <w:rFonts w:ascii="Arial" w:hAnsi="Arial" w:cs="Arial"/>
          <w:b/>
        </w:rPr>
      </w:pPr>
      <w:r w:rsidRPr="00F5079D">
        <w:rPr>
          <w:rFonts w:ascii="Arial" w:hAnsi="Arial" w:cs="Arial"/>
          <w:b/>
        </w:rPr>
        <w:lastRenderedPageBreak/>
        <w:t>Borrowing Update</w:t>
      </w:r>
    </w:p>
    <w:p w14:paraId="0245BEB0" w14:textId="7F1D9346" w:rsidR="00F5079D"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The </w:t>
      </w:r>
      <w:r>
        <w:rPr>
          <w:rFonts w:ascii="Arial" w:hAnsi="Arial" w:cs="Arial"/>
        </w:rPr>
        <w:t>PCC</w:t>
      </w:r>
      <w:r w:rsidRPr="00F5079D">
        <w:rPr>
          <w:rFonts w:ascii="Arial" w:hAnsi="Arial" w:cs="Arial"/>
        </w:rPr>
        <w:t xml:space="preserve"> has no </w:t>
      </w:r>
      <w:r w:rsidR="00665F30">
        <w:rPr>
          <w:rFonts w:ascii="Arial" w:hAnsi="Arial" w:cs="Arial"/>
        </w:rPr>
        <w:t xml:space="preserve">current </w:t>
      </w:r>
      <w:r w:rsidRPr="00F5079D">
        <w:rPr>
          <w:rFonts w:ascii="Arial" w:hAnsi="Arial" w:cs="Arial"/>
        </w:rPr>
        <w:t xml:space="preserve">plans to borrow to invest primarily for commercial return </w:t>
      </w:r>
      <w:r w:rsidR="00050C91">
        <w:rPr>
          <w:rFonts w:ascii="Arial" w:hAnsi="Arial" w:cs="Arial"/>
        </w:rPr>
        <w:t xml:space="preserve">in </w:t>
      </w:r>
      <w:r w:rsidR="008E1B00">
        <w:rPr>
          <w:rFonts w:ascii="Arial" w:hAnsi="Arial" w:cs="Arial"/>
        </w:rPr>
        <w:t>2023/24</w:t>
      </w:r>
      <w:r w:rsidR="000F26F0">
        <w:rPr>
          <w:rFonts w:ascii="Arial" w:hAnsi="Arial" w:cs="Arial"/>
        </w:rPr>
        <w:t xml:space="preserve"> </w:t>
      </w:r>
      <w:r w:rsidRPr="00F5079D">
        <w:rPr>
          <w:rFonts w:ascii="Arial" w:hAnsi="Arial" w:cs="Arial"/>
        </w:rPr>
        <w:t xml:space="preserve">and so is </w:t>
      </w:r>
      <w:r w:rsidR="00050C91">
        <w:rPr>
          <w:rFonts w:ascii="Arial" w:hAnsi="Arial" w:cs="Arial"/>
        </w:rPr>
        <w:t xml:space="preserve">currently </w:t>
      </w:r>
      <w:r w:rsidRPr="00F5079D">
        <w:rPr>
          <w:rFonts w:ascii="Arial" w:hAnsi="Arial" w:cs="Arial"/>
        </w:rPr>
        <w:t xml:space="preserve">unaffected by the changes to the Prudential Code. </w:t>
      </w:r>
    </w:p>
    <w:p w14:paraId="48B12567" w14:textId="548A1D44" w:rsidR="00F5079D" w:rsidRPr="00056778" w:rsidRDefault="00F5079D" w:rsidP="00F5079D">
      <w:pPr>
        <w:pStyle w:val="ListParagraph"/>
        <w:numPr>
          <w:ilvl w:val="1"/>
          <w:numId w:val="2"/>
        </w:numPr>
        <w:spacing w:after="240"/>
        <w:ind w:left="720" w:hanging="720"/>
        <w:rPr>
          <w:rFonts w:ascii="Arial" w:hAnsi="Arial" w:cs="Arial"/>
        </w:rPr>
      </w:pPr>
      <w:r w:rsidRPr="00056778">
        <w:rPr>
          <w:rFonts w:ascii="Arial" w:hAnsi="Arial" w:cs="Arial"/>
        </w:rPr>
        <w:t>The PCC is not planning to purchase any investment assets primarily for yield</w:t>
      </w:r>
      <w:r w:rsidR="00050C91">
        <w:rPr>
          <w:rFonts w:ascii="Arial" w:hAnsi="Arial" w:cs="Arial"/>
        </w:rPr>
        <w:t xml:space="preserve"> during 2023/24</w:t>
      </w:r>
      <w:r w:rsidRPr="00056778">
        <w:rPr>
          <w:rFonts w:ascii="Arial" w:hAnsi="Arial" w:cs="Arial"/>
        </w:rPr>
        <w:t>, so is able to retain full access to the P</w:t>
      </w:r>
      <w:r w:rsidR="00502A53">
        <w:rPr>
          <w:rFonts w:ascii="Arial" w:hAnsi="Arial" w:cs="Arial"/>
        </w:rPr>
        <w:t xml:space="preserve">ublic Works Loan Board (PWLB) – </w:t>
      </w:r>
      <w:r w:rsidR="00455DF2">
        <w:rPr>
          <w:rFonts w:ascii="Arial" w:hAnsi="Arial" w:cs="Arial"/>
        </w:rPr>
        <w:t>albeit</w:t>
      </w:r>
      <w:r w:rsidRPr="00056778">
        <w:rPr>
          <w:rFonts w:ascii="Arial" w:hAnsi="Arial" w:cs="Arial"/>
        </w:rPr>
        <w:t xml:space="preserve"> there are no plans to take on any new external borrowing.</w:t>
      </w:r>
    </w:p>
    <w:p w14:paraId="4EF4B47D" w14:textId="1A400788" w:rsidR="00F5079D"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Further, the </w:t>
      </w:r>
      <w:r w:rsidR="00FD3498">
        <w:rPr>
          <w:rFonts w:ascii="Arial" w:hAnsi="Arial" w:cs="Arial"/>
        </w:rPr>
        <w:t>PCC</w:t>
      </w:r>
      <w:r w:rsidRPr="00F5079D">
        <w:rPr>
          <w:rFonts w:ascii="Arial" w:hAnsi="Arial" w:cs="Arial"/>
        </w:rPr>
        <w:t xml:space="preserve"> has and may continue to invest in pooled funds as part of its Treasury Management strategy. This is not a policy to primarily generate yield but part of the implementation of the wider Treasury Management strategy to invest the </w:t>
      </w:r>
      <w:r w:rsidR="00FD3498">
        <w:rPr>
          <w:rFonts w:ascii="Arial" w:hAnsi="Arial" w:cs="Arial"/>
        </w:rPr>
        <w:t>PCC</w:t>
      </w:r>
      <w:r w:rsidRPr="00F5079D">
        <w:rPr>
          <w:rFonts w:ascii="Arial" w:hAnsi="Arial" w:cs="Arial"/>
        </w:rPr>
        <w:t xml:space="preserve">’s surplus cash and reserves ensuring it is investing its funds prudently, having regard to the security and liquidity of its treasury investments before seeking the optimum rate of return, or yield.  By investing a diversified portfolio in respect of yield this meets the </w:t>
      </w:r>
      <w:r w:rsidR="008C30BA">
        <w:rPr>
          <w:rFonts w:ascii="Arial" w:hAnsi="Arial" w:cs="Arial"/>
        </w:rPr>
        <w:t>PCC</w:t>
      </w:r>
      <w:r w:rsidRPr="00F5079D">
        <w:rPr>
          <w:rFonts w:ascii="Arial" w:hAnsi="Arial" w:cs="Arial"/>
        </w:rPr>
        <w:t>’s aim of protecting reserves from high inflation.</w:t>
      </w:r>
    </w:p>
    <w:p w14:paraId="017BF8B5" w14:textId="4E2E4E06" w:rsidR="00757633" w:rsidRPr="006B5105" w:rsidRDefault="00F5079D">
      <w:pPr>
        <w:pStyle w:val="ListParagraph"/>
        <w:numPr>
          <w:ilvl w:val="1"/>
          <w:numId w:val="2"/>
        </w:numPr>
        <w:spacing w:after="240"/>
        <w:ind w:left="720" w:hanging="720"/>
        <w:rPr>
          <w:rFonts w:ascii="Arial" w:hAnsi="Arial" w:cs="Arial"/>
        </w:rPr>
      </w:pPr>
      <w:r w:rsidRPr="006B5105">
        <w:rPr>
          <w:rFonts w:ascii="Arial" w:hAnsi="Arial" w:cs="Arial"/>
        </w:rPr>
        <w:t xml:space="preserve">The </w:t>
      </w:r>
      <w:r w:rsidR="008C30BA" w:rsidRPr="006B5105">
        <w:rPr>
          <w:rFonts w:ascii="Arial" w:hAnsi="Arial" w:cs="Arial"/>
        </w:rPr>
        <w:t>PCC</w:t>
      </w:r>
      <w:r w:rsidRPr="006B5105">
        <w:rPr>
          <w:rFonts w:ascii="Arial" w:hAnsi="Arial" w:cs="Arial"/>
        </w:rPr>
        <w:t xml:space="preserve"> is a net investor and expects a negative liability benchmark </w:t>
      </w:r>
      <w:r w:rsidR="006D7990" w:rsidRPr="00EF397C">
        <w:rPr>
          <w:rFonts w:ascii="Arial" w:hAnsi="Arial" w:cs="Arial"/>
        </w:rPr>
        <w:t>up to and includ</w:t>
      </w:r>
      <w:r w:rsidR="00F43801" w:rsidRPr="00EF397C">
        <w:rPr>
          <w:rFonts w:ascii="Arial" w:hAnsi="Arial" w:cs="Arial"/>
        </w:rPr>
        <w:t>ing</w:t>
      </w:r>
      <w:r w:rsidR="00850155" w:rsidRPr="006B5105">
        <w:rPr>
          <w:rFonts w:ascii="Arial" w:hAnsi="Arial" w:cs="Arial"/>
        </w:rPr>
        <w:t xml:space="preserve"> 202</w:t>
      </w:r>
      <w:r w:rsidR="00BA05F7">
        <w:rPr>
          <w:rFonts w:ascii="Arial" w:hAnsi="Arial" w:cs="Arial"/>
        </w:rPr>
        <w:t>6</w:t>
      </w:r>
      <w:r w:rsidR="00850155" w:rsidRPr="006B5105">
        <w:rPr>
          <w:rFonts w:ascii="Arial" w:hAnsi="Arial" w:cs="Arial"/>
        </w:rPr>
        <w:t>/2</w:t>
      </w:r>
      <w:r w:rsidR="00BA05F7">
        <w:rPr>
          <w:rFonts w:ascii="Arial" w:hAnsi="Arial" w:cs="Arial"/>
        </w:rPr>
        <w:t>7</w:t>
      </w:r>
      <w:r w:rsidRPr="006B5105">
        <w:rPr>
          <w:rFonts w:ascii="Arial" w:hAnsi="Arial" w:cs="Arial"/>
        </w:rPr>
        <w:t>, meaning that there is not</w:t>
      </w:r>
      <w:r w:rsidR="009402B2" w:rsidRPr="006B5105">
        <w:rPr>
          <w:rFonts w:ascii="Arial" w:hAnsi="Arial" w:cs="Arial"/>
        </w:rPr>
        <w:t xml:space="preserve"> currently</w:t>
      </w:r>
      <w:r w:rsidRPr="006B5105">
        <w:rPr>
          <w:rFonts w:ascii="Arial" w:hAnsi="Arial" w:cs="Arial"/>
        </w:rPr>
        <w:t xml:space="preserve"> a requirement to </w:t>
      </w:r>
      <w:r w:rsidR="00584159">
        <w:rPr>
          <w:rFonts w:ascii="Arial" w:hAnsi="Arial" w:cs="Arial"/>
        </w:rPr>
        <w:t xml:space="preserve">undertake new </w:t>
      </w:r>
      <w:r w:rsidRPr="00584159">
        <w:rPr>
          <w:rFonts w:ascii="Arial" w:hAnsi="Arial" w:cs="Arial"/>
        </w:rPr>
        <w:t>borrow</w:t>
      </w:r>
      <w:r w:rsidR="00584159" w:rsidRPr="00584159">
        <w:rPr>
          <w:rFonts w:ascii="Arial" w:hAnsi="Arial" w:cs="Arial"/>
        </w:rPr>
        <w:t xml:space="preserve">ing </w:t>
      </w:r>
      <w:r w:rsidR="00F43801" w:rsidRPr="00942C39">
        <w:rPr>
          <w:rFonts w:ascii="Arial" w:hAnsi="Arial" w:cs="Arial"/>
        </w:rPr>
        <w:t>either internally or externally</w:t>
      </w:r>
      <w:r w:rsidR="009402B2" w:rsidRPr="00EF397C">
        <w:rPr>
          <w:rFonts w:ascii="Arial" w:hAnsi="Arial" w:cs="Arial"/>
        </w:rPr>
        <w:t>.</w:t>
      </w:r>
      <w:r w:rsidRPr="006B5105">
        <w:rPr>
          <w:rFonts w:ascii="Arial" w:hAnsi="Arial" w:cs="Arial"/>
        </w:rPr>
        <w:t xml:space="preserve"> </w:t>
      </w:r>
      <w:r w:rsidR="00757633" w:rsidRPr="006B5105">
        <w:rPr>
          <w:rFonts w:ascii="Arial" w:hAnsi="Arial" w:cs="Arial"/>
        </w:rPr>
        <w:t xml:space="preserve">It is expected that </w:t>
      </w:r>
      <w:r w:rsidR="00936CFF" w:rsidRPr="006B5105">
        <w:rPr>
          <w:rFonts w:ascii="Arial" w:hAnsi="Arial" w:cs="Arial"/>
        </w:rPr>
        <w:t xml:space="preserve">a forecast reduction in balance sheet resources </w:t>
      </w:r>
      <w:r w:rsidR="004833D5">
        <w:rPr>
          <w:rFonts w:ascii="Arial" w:hAnsi="Arial" w:cs="Arial"/>
        </w:rPr>
        <w:t>will</w:t>
      </w:r>
      <w:r w:rsidR="00757633" w:rsidRPr="00EF397C">
        <w:rPr>
          <w:rFonts w:ascii="Arial" w:hAnsi="Arial" w:cs="Arial"/>
        </w:rPr>
        <w:t xml:space="preserve"> result in a positive liability benchmark as </w:t>
      </w:r>
      <w:proofErr w:type="gramStart"/>
      <w:r w:rsidR="00757633" w:rsidRPr="00EF397C">
        <w:rPr>
          <w:rFonts w:ascii="Arial" w:hAnsi="Arial" w:cs="Arial"/>
        </w:rPr>
        <w:t>at</w:t>
      </w:r>
      <w:proofErr w:type="gramEnd"/>
      <w:r w:rsidR="00757633" w:rsidRPr="00EF397C">
        <w:rPr>
          <w:rFonts w:ascii="Arial" w:hAnsi="Arial" w:cs="Arial"/>
        </w:rPr>
        <w:t xml:space="preserve"> 31 March 202</w:t>
      </w:r>
      <w:r w:rsidR="00BA05F7" w:rsidRPr="00EF397C">
        <w:rPr>
          <w:rFonts w:ascii="Arial" w:hAnsi="Arial" w:cs="Arial"/>
        </w:rPr>
        <w:t>7</w:t>
      </w:r>
      <w:r w:rsidR="00757633" w:rsidRPr="00EF397C">
        <w:rPr>
          <w:rFonts w:ascii="Arial" w:hAnsi="Arial" w:cs="Arial"/>
        </w:rPr>
        <w:t xml:space="preserve">, </w:t>
      </w:r>
      <w:r w:rsidR="00E36A7E" w:rsidRPr="00EF397C">
        <w:rPr>
          <w:rFonts w:ascii="Arial" w:hAnsi="Arial" w:cs="Arial"/>
        </w:rPr>
        <w:t>however the liability benchmarking will be at or below</w:t>
      </w:r>
      <w:r w:rsidR="00D137F7" w:rsidRPr="00EF397C">
        <w:rPr>
          <w:rFonts w:ascii="Arial" w:hAnsi="Arial" w:cs="Arial"/>
        </w:rPr>
        <w:t xml:space="preserve"> the current level of external borrowing (after the recent repayment), which indicates that no further borrowing will be necessary in the forecast period</w:t>
      </w:r>
      <w:r w:rsidR="006B5105" w:rsidRPr="00EF397C">
        <w:rPr>
          <w:rFonts w:ascii="Arial" w:hAnsi="Arial" w:cs="Arial"/>
        </w:rPr>
        <w:t>.</w:t>
      </w:r>
      <w:r w:rsidR="00757633" w:rsidRPr="00EF397C">
        <w:rPr>
          <w:rFonts w:ascii="Arial" w:hAnsi="Arial" w:cs="Arial"/>
        </w:rPr>
        <w:t xml:space="preserve"> </w:t>
      </w:r>
    </w:p>
    <w:p w14:paraId="1679A930" w14:textId="5D67B614" w:rsidR="008C6C52" w:rsidRDefault="00491669" w:rsidP="00F5079D">
      <w:pPr>
        <w:pStyle w:val="ListParagraph"/>
        <w:numPr>
          <w:ilvl w:val="1"/>
          <w:numId w:val="2"/>
        </w:numPr>
        <w:spacing w:after="240"/>
        <w:ind w:left="720" w:hanging="720"/>
        <w:rPr>
          <w:rFonts w:ascii="Arial" w:hAnsi="Arial" w:cs="Arial"/>
        </w:rPr>
      </w:pPr>
      <w:r w:rsidRPr="00CA58B3">
        <w:rPr>
          <w:rFonts w:ascii="Arial" w:hAnsi="Arial" w:cs="Arial"/>
        </w:rPr>
        <w:t xml:space="preserve">With the changing interest rate environment, </w:t>
      </w:r>
      <w:r w:rsidR="00F8770D">
        <w:rPr>
          <w:rFonts w:ascii="Arial" w:hAnsi="Arial" w:cs="Arial"/>
        </w:rPr>
        <w:t xml:space="preserve">the </w:t>
      </w:r>
      <w:r w:rsidRPr="00CA58B3">
        <w:rPr>
          <w:rFonts w:ascii="Arial" w:hAnsi="Arial" w:cs="Arial"/>
        </w:rPr>
        <w:t xml:space="preserve">potential to repay </w:t>
      </w:r>
      <w:r w:rsidR="00414D85" w:rsidRPr="00CA58B3">
        <w:rPr>
          <w:rFonts w:ascii="Arial" w:hAnsi="Arial" w:cs="Arial"/>
        </w:rPr>
        <w:t xml:space="preserve">existing </w:t>
      </w:r>
      <w:r w:rsidRPr="00CA58B3">
        <w:rPr>
          <w:rFonts w:ascii="Arial" w:hAnsi="Arial" w:cs="Arial"/>
        </w:rPr>
        <w:t>PWLB debt</w:t>
      </w:r>
      <w:r w:rsidR="00B54FC8" w:rsidRPr="00CA58B3">
        <w:rPr>
          <w:rFonts w:ascii="Arial" w:hAnsi="Arial" w:cs="Arial"/>
        </w:rPr>
        <w:t xml:space="preserve"> </w:t>
      </w:r>
      <w:r w:rsidR="00471810" w:rsidRPr="00CA58B3">
        <w:rPr>
          <w:rFonts w:ascii="Arial" w:hAnsi="Arial" w:cs="Arial"/>
        </w:rPr>
        <w:t xml:space="preserve">as part of treasury management (so switching between external PWLB debt </w:t>
      </w:r>
      <w:r w:rsidR="00FB7746" w:rsidRPr="00CA58B3">
        <w:rPr>
          <w:rFonts w:ascii="Arial" w:hAnsi="Arial" w:cs="Arial"/>
        </w:rPr>
        <w:t xml:space="preserve">and </w:t>
      </w:r>
      <w:r w:rsidR="00471810" w:rsidRPr="00CA58B3">
        <w:rPr>
          <w:rFonts w:ascii="Arial" w:hAnsi="Arial" w:cs="Arial"/>
        </w:rPr>
        <w:t xml:space="preserve">internal borrowing) </w:t>
      </w:r>
      <w:r w:rsidR="00B9499E">
        <w:rPr>
          <w:rFonts w:ascii="Arial" w:hAnsi="Arial" w:cs="Arial"/>
        </w:rPr>
        <w:t xml:space="preserve">to </w:t>
      </w:r>
      <w:r w:rsidR="00FB7746" w:rsidRPr="00CA58B3">
        <w:rPr>
          <w:rFonts w:ascii="Arial" w:hAnsi="Arial" w:cs="Arial"/>
        </w:rPr>
        <w:t>provid</w:t>
      </w:r>
      <w:r w:rsidR="00B9499E">
        <w:rPr>
          <w:rFonts w:ascii="Arial" w:hAnsi="Arial" w:cs="Arial"/>
        </w:rPr>
        <w:t>e</w:t>
      </w:r>
      <w:r w:rsidR="00FB7746" w:rsidRPr="00CA58B3">
        <w:rPr>
          <w:rFonts w:ascii="Arial" w:hAnsi="Arial" w:cs="Arial"/>
        </w:rPr>
        <w:t xml:space="preserve"> a </w:t>
      </w:r>
      <w:proofErr w:type="gramStart"/>
      <w:r w:rsidR="00FB7746" w:rsidRPr="00CA58B3">
        <w:rPr>
          <w:rFonts w:ascii="Arial" w:hAnsi="Arial" w:cs="Arial"/>
        </w:rPr>
        <w:t>long term</w:t>
      </w:r>
      <w:proofErr w:type="gramEnd"/>
      <w:r w:rsidR="00FB7746" w:rsidRPr="00CA58B3">
        <w:rPr>
          <w:rFonts w:ascii="Arial" w:hAnsi="Arial" w:cs="Arial"/>
        </w:rPr>
        <w:t xml:space="preserve"> interest rate saving</w:t>
      </w:r>
      <w:r w:rsidR="00580770">
        <w:rPr>
          <w:rFonts w:ascii="Arial" w:hAnsi="Arial" w:cs="Arial"/>
        </w:rPr>
        <w:t xml:space="preserve"> has been reviewed</w:t>
      </w:r>
      <w:r w:rsidR="00FB7746" w:rsidRPr="00CA58B3">
        <w:rPr>
          <w:rFonts w:ascii="Arial" w:hAnsi="Arial" w:cs="Arial"/>
        </w:rPr>
        <w:t xml:space="preserve">. </w:t>
      </w:r>
    </w:p>
    <w:p w14:paraId="41A1D6CE" w14:textId="5BE6403F" w:rsidR="00042FE1" w:rsidRDefault="00FB7746" w:rsidP="00F5079D">
      <w:pPr>
        <w:pStyle w:val="ListParagraph"/>
        <w:numPr>
          <w:ilvl w:val="1"/>
          <w:numId w:val="2"/>
        </w:numPr>
        <w:spacing w:after="240"/>
        <w:ind w:left="720" w:hanging="720"/>
        <w:rPr>
          <w:rFonts w:ascii="Arial" w:hAnsi="Arial" w:cs="Arial"/>
        </w:rPr>
      </w:pPr>
      <w:r w:rsidRPr="00CA58B3">
        <w:rPr>
          <w:rFonts w:ascii="Arial" w:hAnsi="Arial" w:cs="Arial"/>
        </w:rPr>
        <w:t xml:space="preserve">The market environment and in particular PWLB loan repayment rates </w:t>
      </w:r>
      <w:r w:rsidR="00FB6455">
        <w:rPr>
          <w:rFonts w:ascii="Arial" w:hAnsi="Arial" w:cs="Arial"/>
        </w:rPr>
        <w:t xml:space="preserve">were such that </w:t>
      </w:r>
      <w:r w:rsidR="008C6C52">
        <w:rPr>
          <w:rFonts w:ascii="Arial" w:hAnsi="Arial" w:cs="Arial"/>
        </w:rPr>
        <w:t>in August</w:t>
      </w:r>
      <w:r w:rsidR="00BF4E9B">
        <w:rPr>
          <w:rFonts w:ascii="Arial" w:hAnsi="Arial" w:cs="Arial"/>
        </w:rPr>
        <w:t xml:space="preserve"> 2023</w:t>
      </w:r>
      <w:r w:rsidR="008C6C52">
        <w:rPr>
          <w:rFonts w:ascii="Arial" w:hAnsi="Arial" w:cs="Arial"/>
        </w:rPr>
        <w:t xml:space="preserve"> </w:t>
      </w:r>
      <w:r w:rsidR="00CE02D5">
        <w:rPr>
          <w:rFonts w:ascii="Arial" w:hAnsi="Arial" w:cs="Arial"/>
        </w:rPr>
        <w:t xml:space="preserve">the repayment of a portion of PWLB debt </w:t>
      </w:r>
      <w:r w:rsidR="00625388">
        <w:rPr>
          <w:rFonts w:ascii="Arial" w:hAnsi="Arial" w:cs="Arial"/>
        </w:rPr>
        <w:t>became a</w:t>
      </w:r>
      <w:r w:rsidR="00652B5B">
        <w:rPr>
          <w:rFonts w:ascii="Arial" w:hAnsi="Arial" w:cs="Arial"/>
        </w:rPr>
        <w:t xml:space="preserve"> realistic option</w:t>
      </w:r>
      <w:r w:rsidR="00824556">
        <w:rPr>
          <w:rFonts w:ascii="Arial" w:hAnsi="Arial" w:cs="Arial"/>
        </w:rPr>
        <w:t>.</w:t>
      </w:r>
      <w:r w:rsidR="001222A1">
        <w:rPr>
          <w:rFonts w:ascii="Arial" w:hAnsi="Arial" w:cs="Arial"/>
        </w:rPr>
        <w:t xml:space="preserve"> £10m of </w:t>
      </w:r>
      <w:r w:rsidR="00824556">
        <w:rPr>
          <w:rFonts w:ascii="Arial" w:hAnsi="Arial" w:cs="Arial"/>
        </w:rPr>
        <w:t>PWLB</w:t>
      </w:r>
      <w:r w:rsidR="00333652" w:rsidRPr="00CA58B3">
        <w:rPr>
          <w:rFonts w:ascii="Arial" w:hAnsi="Arial" w:cs="Arial"/>
        </w:rPr>
        <w:t xml:space="preserve"> debt</w:t>
      </w:r>
      <w:r w:rsidR="008B6D9C">
        <w:rPr>
          <w:rFonts w:ascii="Arial" w:hAnsi="Arial" w:cs="Arial"/>
        </w:rPr>
        <w:t xml:space="preserve">, with an average </w:t>
      </w:r>
      <w:r w:rsidR="00F408DA">
        <w:rPr>
          <w:rFonts w:ascii="Arial" w:hAnsi="Arial" w:cs="Arial"/>
        </w:rPr>
        <w:t>date to redemption of 13.</w:t>
      </w:r>
      <w:r w:rsidR="009767F0">
        <w:rPr>
          <w:rFonts w:ascii="Arial" w:hAnsi="Arial" w:cs="Arial"/>
        </w:rPr>
        <w:t xml:space="preserve">5 </w:t>
      </w:r>
      <w:r w:rsidR="00F408DA">
        <w:rPr>
          <w:rFonts w:ascii="Arial" w:hAnsi="Arial" w:cs="Arial"/>
        </w:rPr>
        <w:t>years,</w:t>
      </w:r>
      <w:r w:rsidR="00333652" w:rsidRPr="00CA58B3">
        <w:rPr>
          <w:rFonts w:ascii="Arial" w:hAnsi="Arial" w:cs="Arial"/>
        </w:rPr>
        <w:t xml:space="preserve"> </w:t>
      </w:r>
      <w:r w:rsidR="001222A1">
        <w:rPr>
          <w:rFonts w:ascii="Arial" w:hAnsi="Arial" w:cs="Arial"/>
        </w:rPr>
        <w:t xml:space="preserve">was </w:t>
      </w:r>
      <w:r w:rsidR="00502A53">
        <w:rPr>
          <w:rFonts w:ascii="Arial" w:hAnsi="Arial" w:cs="Arial"/>
        </w:rPr>
        <w:t xml:space="preserve">therefore </w:t>
      </w:r>
      <w:r w:rsidR="001222A1">
        <w:rPr>
          <w:rFonts w:ascii="Arial" w:hAnsi="Arial" w:cs="Arial"/>
        </w:rPr>
        <w:t>repaid in Q</w:t>
      </w:r>
      <w:r w:rsidR="00824556">
        <w:rPr>
          <w:rFonts w:ascii="Arial" w:hAnsi="Arial" w:cs="Arial"/>
        </w:rPr>
        <w:t xml:space="preserve">uarter </w:t>
      </w:r>
      <w:r w:rsidR="001222A1">
        <w:rPr>
          <w:rFonts w:ascii="Arial" w:hAnsi="Arial" w:cs="Arial"/>
        </w:rPr>
        <w:t xml:space="preserve">2 </w:t>
      </w:r>
      <w:r w:rsidR="00BC0E6F">
        <w:rPr>
          <w:rFonts w:ascii="Arial" w:hAnsi="Arial" w:cs="Arial"/>
        </w:rPr>
        <w:t>to take advantage of favourable redemption rates</w:t>
      </w:r>
      <w:r w:rsidR="00DD3CE7">
        <w:rPr>
          <w:rFonts w:ascii="Arial" w:hAnsi="Arial" w:cs="Arial"/>
        </w:rPr>
        <w:t xml:space="preserve"> in accord</w:t>
      </w:r>
      <w:r w:rsidR="00472EE0">
        <w:rPr>
          <w:rFonts w:ascii="Arial" w:hAnsi="Arial" w:cs="Arial"/>
        </w:rPr>
        <w:t>ance with advice taken from Arlingclose</w:t>
      </w:r>
      <w:r w:rsidR="00652B5B">
        <w:rPr>
          <w:rFonts w:ascii="Arial" w:hAnsi="Arial" w:cs="Arial"/>
        </w:rPr>
        <w:t>, securi</w:t>
      </w:r>
      <w:r w:rsidR="008B6D9C">
        <w:rPr>
          <w:rFonts w:ascii="Arial" w:hAnsi="Arial" w:cs="Arial"/>
        </w:rPr>
        <w:t xml:space="preserve">ng an interest rate saving of </w:t>
      </w:r>
      <w:r w:rsidR="008B6D9C" w:rsidRPr="00E96E08">
        <w:rPr>
          <w:rFonts w:ascii="Arial" w:hAnsi="Arial" w:cs="Arial"/>
        </w:rPr>
        <w:t>4.</w:t>
      </w:r>
      <w:r w:rsidR="00480C20">
        <w:rPr>
          <w:rFonts w:ascii="Arial" w:hAnsi="Arial" w:cs="Arial"/>
        </w:rPr>
        <w:t>42</w:t>
      </w:r>
      <w:r w:rsidR="008B6D9C" w:rsidRPr="00E96E08">
        <w:rPr>
          <w:rFonts w:ascii="Arial" w:hAnsi="Arial" w:cs="Arial"/>
        </w:rPr>
        <w:t>%</w:t>
      </w:r>
      <w:r w:rsidR="008B6D9C">
        <w:rPr>
          <w:rFonts w:ascii="Arial" w:hAnsi="Arial" w:cs="Arial"/>
        </w:rPr>
        <w:t xml:space="preserve"> for</w:t>
      </w:r>
      <w:r w:rsidR="00F408DA">
        <w:rPr>
          <w:rFonts w:ascii="Arial" w:hAnsi="Arial" w:cs="Arial"/>
        </w:rPr>
        <w:t xml:space="preserve"> the </w:t>
      </w:r>
      <w:r w:rsidR="004F761E">
        <w:rPr>
          <w:rFonts w:ascii="Arial" w:hAnsi="Arial" w:cs="Arial"/>
        </w:rPr>
        <w:t>13</w:t>
      </w:r>
      <w:r w:rsidR="0029365A">
        <w:rPr>
          <w:rFonts w:ascii="Arial" w:hAnsi="Arial" w:cs="Arial"/>
        </w:rPr>
        <w:t>.5</w:t>
      </w:r>
      <w:r w:rsidR="004F761E">
        <w:rPr>
          <w:rFonts w:ascii="Arial" w:hAnsi="Arial" w:cs="Arial"/>
        </w:rPr>
        <w:t xml:space="preserve"> years</w:t>
      </w:r>
      <w:r w:rsidR="00042FE1">
        <w:rPr>
          <w:rFonts w:ascii="Arial" w:hAnsi="Arial" w:cs="Arial"/>
        </w:rPr>
        <w:t>.</w:t>
      </w:r>
      <w:r w:rsidR="008B6D9C">
        <w:rPr>
          <w:rFonts w:ascii="Arial" w:hAnsi="Arial" w:cs="Arial"/>
        </w:rPr>
        <w:t xml:space="preserve"> </w:t>
      </w:r>
    </w:p>
    <w:p w14:paraId="1CBD089D" w14:textId="33151B67" w:rsidR="00F5079D" w:rsidRPr="00552B0C" w:rsidRDefault="004F761E" w:rsidP="00F5079D">
      <w:pPr>
        <w:pStyle w:val="ListParagraph"/>
        <w:numPr>
          <w:ilvl w:val="1"/>
          <w:numId w:val="2"/>
        </w:numPr>
        <w:spacing w:after="240"/>
        <w:ind w:left="720" w:hanging="720"/>
        <w:rPr>
          <w:rFonts w:ascii="Arial" w:hAnsi="Arial" w:cs="Arial"/>
        </w:rPr>
      </w:pPr>
      <w:r>
        <w:rPr>
          <w:rFonts w:ascii="Arial" w:hAnsi="Arial" w:cs="Arial"/>
        </w:rPr>
        <w:t xml:space="preserve">It is important to note that the underlying need to borrow has not reduced, and </w:t>
      </w:r>
      <w:r w:rsidR="00E86821">
        <w:rPr>
          <w:rFonts w:ascii="Arial" w:hAnsi="Arial" w:cs="Arial"/>
        </w:rPr>
        <w:t xml:space="preserve">that </w:t>
      </w:r>
      <w:r>
        <w:rPr>
          <w:rFonts w:ascii="Arial" w:hAnsi="Arial" w:cs="Arial"/>
        </w:rPr>
        <w:t xml:space="preserve">this is a treasury management decision to switch between </w:t>
      </w:r>
      <w:r w:rsidR="00444DC5">
        <w:rPr>
          <w:rFonts w:ascii="Arial" w:hAnsi="Arial" w:cs="Arial"/>
        </w:rPr>
        <w:t>external PWLB debt to ‘internal borrowing’ (in lieu of investing the £10m cash, external d</w:t>
      </w:r>
      <w:r w:rsidR="008D3E4C">
        <w:rPr>
          <w:rFonts w:ascii="Arial" w:hAnsi="Arial" w:cs="Arial"/>
        </w:rPr>
        <w:t xml:space="preserve">ebt </w:t>
      </w:r>
      <w:r w:rsidR="00066312">
        <w:rPr>
          <w:rFonts w:ascii="Arial" w:hAnsi="Arial" w:cs="Arial"/>
        </w:rPr>
        <w:t xml:space="preserve">has been repaid </w:t>
      </w:r>
      <w:r w:rsidR="008D3E4C">
        <w:rPr>
          <w:rFonts w:ascii="Arial" w:hAnsi="Arial" w:cs="Arial"/>
        </w:rPr>
        <w:t>to effectively secure a ‘risk free’ interest saving</w:t>
      </w:r>
      <w:r w:rsidR="004C4402">
        <w:rPr>
          <w:rFonts w:ascii="Arial" w:hAnsi="Arial" w:cs="Arial"/>
        </w:rPr>
        <w:t xml:space="preserve">/return </w:t>
      </w:r>
      <w:r w:rsidR="008D3E4C">
        <w:rPr>
          <w:rFonts w:ascii="Arial" w:hAnsi="Arial" w:cs="Arial"/>
        </w:rPr>
        <w:t>of 4.</w:t>
      </w:r>
      <w:r w:rsidR="00480C20">
        <w:rPr>
          <w:rFonts w:ascii="Arial" w:hAnsi="Arial" w:cs="Arial"/>
        </w:rPr>
        <w:t>42</w:t>
      </w:r>
      <w:r w:rsidR="008D3E4C">
        <w:rPr>
          <w:rFonts w:ascii="Arial" w:hAnsi="Arial" w:cs="Arial"/>
        </w:rPr>
        <w:t>%</w:t>
      </w:r>
      <w:r w:rsidR="004C4402">
        <w:rPr>
          <w:rFonts w:ascii="Arial" w:hAnsi="Arial" w:cs="Arial"/>
        </w:rPr>
        <w:t xml:space="preserve"> for 13.</w:t>
      </w:r>
      <w:r w:rsidR="004918BB">
        <w:rPr>
          <w:rFonts w:ascii="Arial" w:hAnsi="Arial" w:cs="Arial"/>
        </w:rPr>
        <w:t xml:space="preserve">5 </w:t>
      </w:r>
      <w:r w:rsidR="004C4402">
        <w:rPr>
          <w:rFonts w:ascii="Arial" w:hAnsi="Arial" w:cs="Arial"/>
        </w:rPr>
        <w:t>years).</w:t>
      </w:r>
      <w:r w:rsidR="00B51D5A">
        <w:rPr>
          <w:rFonts w:ascii="Arial" w:hAnsi="Arial" w:cs="Arial"/>
        </w:rPr>
        <w:t xml:space="preserve"> </w:t>
      </w:r>
    </w:p>
    <w:p w14:paraId="2781C0D5" w14:textId="397F62FE" w:rsidR="006A2DD0" w:rsidRPr="008C30BA" w:rsidRDefault="00F613B7" w:rsidP="003C3808">
      <w:pPr>
        <w:keepNext/>
        <w:numPr>
          <w:ilvl w:val="0"/>
          <w:numId w:val="2"/>
        </w:numPr>
        <w:tabs>
          <w:tab w:val="num" w:pos="720"/>
        </w:tabs>
        <w:spacing w:after="240"/>
        <w:ind w:left="431" w:hanging="431"/>
        <w:outlineLvl w:val="0"/>
        <w:rPr>
          <w:rFonts w:ascii="Arial" w:hAnsi="Arial" w:cs="Arial"/>
          <w:b/>
        </w:rPr>
      </w:pPr>
      <w:r w:rsidRPr="008C30BA">
        <w:rPr>
          <w:rFonts w:ascii="Arial" w:hAnsi="Arial" w:cs="Arial"/>
          <w:b/>
        </w:rPr>
        <w:lastRenderedPageBreak/>
        <w:t xml:space="preserve">Borrowing </w:t>
      </w:r>
      <w:r w:rsidR="008C30BA" w:rsidRPr="008C30BA">
        <w:rPr>
          <w:rFonts w:ascii="Arial" w:hAnsi="Arial" w:cs="Arial"/>
          <w:b/>
        </w:rPr>
        <w:t>Strategy</w:t>
      </w:r>
    </w:p>
    <w:p w14:paraId="4E814BE8" w14:textId="0BC88DB4" w:rsidR="00957A4E" w:rsidRPr="00496A0D" w:rsidRDefault="00514D86" w:rsidP="00C13431">
      <w:pPr>
        <w:pStyle w:val="ListParagraph"/>
        <w:numPr>
          <w:ilvl w:val="1"/>
          <w:numId w:val="2"/>
        </w:numPr>
        <w:spacing w:after="240"/>
        <w:ind w:left="720" w:hanging="720"/>
        <w:rPr>
          <w:rFonts w:ascii="Arial" w:hAnsi="Arial" w:cs="Arial"/>
        </w:rPr>
      </w:pPr>
      <w:proofErr w:type="gramStart"/>
      <w:r w:rsidRPr="00496A0D">
        <w:rPr>
          <w:rFonts w:ascii="Arial" w:hAnsi="Arial" w:cs="Arial"/>
        </w:rPr>
        <w:t>At</w:t>
      </w:r>
      <w:proofErr w:type="gramEnd"/>
      <w:r w:rsidRPr="00496A0D">
        <w:rPr>
          <w:rFonts w:ascii="Arial" w:hAnsi="Arial" w:cs="Arial"/>
        </w:rPr>
        <w:t xml:space="preserve"> 3</w:t>
      </w:r>
      <w:r w:rsidR="00B51D5A">
        <w:rPr>
          <w:rFonts w:ascii="Arial" w:hAnsi="Arial" w:cs="Arial"/>
        </w:rPr>
        <w:t xml:space="preserve">0 </w:t>
      </w:r>
      <w:r w:rsidR="00502A53">
        <w:rPr>
          <w:rFonts w:ascii="Arial" w:hAnsi="Arial" w:cs="Arial"/>
        </w:rPr>
        <w:t>September</w:t>
      </w:r>
      <w:r w:rsidR="00F613B7" w:rsidRPr="00496A0D">
        <w:rPr>
          <w:rFonts w:ascii="Arial" w:hAnsi="Arial" w:cs="Arial"/>
        </w:rPr>
        <w:t xml:space="preserve"> </w:t>
      </w:r>
      <w:r w:rsidRPr="00496A0D">
        <w:rPr>
          <w:rFonts w:ascii="Arial" w:hAnsi="Arial" w:cs="Arial"/>
        </w:rPr>
        <w:t>20</w:t>
      </w:r>
      <w:r w:rsidR="005C019B" w:rsidRPr="00496A0D">
        <w:rPr>
          <w:rFonts w:ascii="Arial" w:hAnsi="Arial" w:cs="Arial"/>
        </w:rPr>
        <w:t>2</w:t>
      </w:r>
      <w:r w:rsidR="00844D6B" w:rsidRPr="00496A0D">
        <w:rPr>
          <w:rFonts w:ascii="Arial" w:hAnsi="Arial" w:cs="Arial"/>
        </w:rPr>
        <w:t>3</w:t>
      </w:r>
      <w:r w:rsidRPr="00496A0D">
        <w:rPr>
          <w:rFonts w:ascii="Arial" w:hAnsi="Arial" w:cs="Arial"/>
        </w:rPr>
        <w:t xml:space="preserve"> the </w:t>
      </w:r>
      <w:r w:rsidR="00564BE3" w:rsidRPr="00496A0D">
        <w:rPr>
          <w:rFonts w:ascii="Arial" w:hAnsi="Arial" w:cs="Arial"/>
        </w:rPr>
        <w:t>PCC</w:t>
      </w:r>
      <w:r w:rsidRPr="00496A0D">
        <w:rPr>
          <w:rFonts w:ascii="Arial" w:hAnsi="Arial" w:cs="Arial"/>
        </w:rPr>
        <w:t xml:space="preserve"> held </w:t>
      </w:r>
      <w:r w:rsidR="00896CB5" w:rsidRPr="00496A0D">
        <w:rPr>
          <w:rFonts w:ascii="Arial" w:hAnsi="Arial" w:cs="Arial"/>
        </w:rPr>
        <w:t>£</w:t>
      </w:r>
      <w:r w:rsidR="00F275BA">
        <w:rPr>
          <w:rFonts w:ascii="Arial" w:hAnsi="Arial" w:cs="Arial"/>
        </w:rPr>
        <w:t>19.4</w:t>
      </w:r>
      <w:r w:rsidR="001544D3" w:rsidRPr="00496A0D">
        <w:rPr>
          <w:rFonts w:ascii="Arial" w:hAnsi="Arial" w:cs="Arial"/>
        </w:rPr>
        <w:t>m</w:t>
      </w:r>
      <w:r w:rsidRPr="00496A0D">
        <w:rPr>
          <w:rFonts w:ascii="Arial" w:hAnsi="Arial" w:cs="Arial"/>
        </w:rPr>
        <w:t xml:space="preserve"> of loans </w:t>
      </w:r>
      <w:r w:rsidR="00F613B7" w:rsidRPr="00496A0D">
        <w:rPr>
          <w:rFonts w:ascii="Arial" w:hAnsi="Arial" w:cs="Arial"/>
        </w:rPr>
        <w:t>as</w:t>
      </w:r>
      <w:r w:rsidRPr="00496A0D">
        <w:rPr>
          <w:rFonts w:ascii="Arial" w:hAnsi="Arial" w:cs="Arial"/>
        </w:rPr>
        <w:t xml:space="preserve"> part of its strategy for funding previous years’ capital programmes.  </w:t>
      </w:r>
      <w:r w:rsidR="00F613B7" w:rsidRPr="00496A0D">
        <w:rPr>
          <w:rFonts w:ascii="Arial" w:hAnsi="Arial" w:cs="Arial"/>
        </w:rPr>
        <w:t xml:space="preserve">The year-end treasury management borrowing position and year-on-year change </w:t>
      </w:r>
      <w:r w:rsidR="00BA080F" w:rsidRPr="00496A0D">
        <w:rPr>
          <w:rFonts w:ascii="Arial" w:hAnsi="Arial" w:cs="Arial"/>
        </w:rPr>
        <w:t>are summarised</w:t>
      </w:r>
      <w:r w:rsidR="00F613B7" w:rsidRPr="00496A0D">
        <w:rPr>
          <w:rFonts w:ascii="Arial" w:hAnsi="Arial" w:cs="Arial"/>
        </w:rPr>
        <w:t xml:space="preserve"> in Table </w:t>
      </w:r>
      <w:r w:rsidR="00C13431" w:rsidRPr="00496A0D">
        <w:rPr>
          <w:rFonts w:ascii="Arial" w:hAnsi="Arial" w:cs="Arial"/>
        </w:rPr>
        <w:t>3.</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7"/>
        <w:gridCol w:w="1417"/>
        <w:gridCol w:w="1417"/>
        <w:gridCol w:w="1417"/>
        <w:gridCol w:w="1417"/>
      </w:tblGrid>
      <w:tr w:rsidR="001544D3" w:rsidRPr="00904CAF" w14:paraId="09565C8F" w14:textId="77777777" w:rsidTr="001544D3">
        <w:tc>
          <w:tcPr>
            <w:tcW w:w="2943" w:type="dxa"/>
            <w:tcBorders>
              <w:top w:val="single" w:sz="4" w:space="0" w:color="auto"/>
            </w:tcBorders>
            <w:shd w:val="clear" w:color="auto" w:fill="auto"/>
          </w:tcPr>
          <w:p w14:paraId="0B529EB3" w14:textId="348DF5C4" w:rsidR="001544D3" w:rsidRPr="00904CAF" w:rsidRDefault="001544D3" w:rsidP="001544D3">
            <w:pPr>
              <w:pStyle w:val="ListParagraph"/>
              <w:ind w:left="0"/>
              <w:rPr>
                <w:rFonts w:ascii="Arial" w:hAnsi="Arial" w:cs="Arial"/>
                <w:b/>
                <w:bCs/>
              </w:rPr>
            </w:pPr>
            <w:r w:rsidRPr="00904CAF">
              <w:rPr>
                <w:rFonts w:ascii="Arial" w:hAnsi="Arial" w:cs="Arial"/>
                <w:b/>
                <w:bCs/>
              </w:rPr>
              <w:t>Table 3: Borrowing position</w:t>
            </w:r>
          </w:p>
        </w:tc>
        <w:tc>
          <w:tcPr>
            <w:tcW w:w="1417" w:type="dxa"/>
            <w:tcBorders>
              <w:top w:val="single" w:sz="4" w:space="0" w:color="auto"/>
            </w:tcBorders>
            <w:vAlign w:val="bottom"/>
          </w:tcPr>
          <w:p w14:paraId="09CDA66F" w14:textId="7C0E9C70"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2D64D9">
              <w:rPr>
                <w:rFonts w:ascii="Arial" w:hAnsi="Arial" w:cs="Arial"/>
                <w:b/>
                <w:bCs/>
              </w:rPr>
              <w:t>3</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1900F844" w14:textId="6BF2C2D7" w:rsidR="001544D3" w:rsidRPr="00904CAF" w:rsidRDefault="001544D3" w:rsidP="001544D3">
            <w:pPr>
              <w:pStyle w:val="ListParagraph"/>
              <w:ind w:left="0"/>
              <w:jc w:val="right"/>
              <w:rPr>
                <w:rFonts w:ascii="Arial" w:hAnsi="Arial" w:cs="Arial"/>
                <w:b/>
                <w:bCs/>
              </w:rPr>
            </w:pPr>
            <w:r w:rsidRPr="00904CAF">
              <w:rPr>
                <w:rFonts w:ascii="Arial" w:hAnsi="Arial" w:cs="Arial"/>
                <w:b/>
                <w:bCs/>
              </w:rPr>
              <w:t>Net movement</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5540FDAD" w14:textId="435A314E"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F275BA">
              <w:rPr>
                <w:rFonts w:ascii="Arial" w:hAnsi="Arial" w:cs="Arial"/>
                <w:b/>
                <w:bCs/>
              </w:rPr>
              <w:t>9</w:t>
            </w:r>
            <w:r w:rsidRPr="00904CAF">
              <w:rPr>
                <w:rFonts w:ascii="Arial" w:hAnsi="Arial" w:cs="Arial"/>
                <w:b/>
                <w:bCs/>
              </w:rPr>
              <w:t>/2</w:t>
            </w:r>
            <w:r w:rsidR="00844D6B">
              <w:rPr>
                <w:rFonts w:ascii="Arial" w:hAnsi="Arial" w:cs="Arial"/>
                <w:b/>
                <w:bCs/>
              </w:rPr>
              <w:t>3</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3950BFCC" w14:textId="1C6362F3"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F275BA">
              <w:rPr>
                <w:rFonts w:ascii="Arial" w:hAnsi="Arial" w:cs="Arial"/>
                <w:b/>
                <w:bCs/>
              </w:rPr>
              <w:t>9</w:t>
            </w:r>
            <w:r w:rsidRPr="00904CAF">
              <w:rPr>
                <w:rFonts w:ascii="Arial" w:hAnsi="Arial" w:cs="Arial"/>
                <w:b/>
                <w:bCs/>
              </w:rPr>
              <w:t>/2</w:t>
            </w:r>
            <w:r w:rsidR="00844D6B">
              <w:rPr>
                <w:rFonts w:ascii="Arial" w:hAnsi="Arial" w:cs="Arial"/>
                <w:b/>
                <w:bCs/>
              </w:rPr>
              <w:t>3</w:t>
            </w:r>
            <w:r w:rsidRPr="00904CAF">
              <w:rPr>
                <w:rFonts w:ascii="Arial" w:hAnsi="Arial" w:cs="Arial"/>
                <w:b/>
                <w:bCs/>
              </w:rPr>
              <w:br/>
              <w:t>Weighted average rate</w:t>
            </w:r>
            <w:r w:rsidRPr="00904CAF">
              <w:rPr>
                <w:rFonts w:ascii="Arial" w:hAnsi="Arial" w:cs="Arial"/>
                <w:b/>
                <w:bCs/>
              </w:rPr>
              <w:br/>
              <w:t>%</w:t>
            </w:r>
          </w:p>
        </w:tc>
        <w:tc>
          <w:tcPr>
            <w:tcW w:w="1417" w:type="dxa"/>
            <w:tcBorders>
              <w:top w:val="single" w:sz="4" w:space="0" w:color="auto"/>
            </w:tcBorders>
            <w:shd w:val="clear" w:color="auto" w:fill="auto"/>
            <w:vAlign w:val="bottom"/>
          </w:tcPr>
          <w:p w14:paraId="69DAC8CD" w14:textId="0CE801D7" w:rsidR="001544D3" w:rsidRPr="00904CAF" w:rsidRDefault="001544D3" w:rsidP="001544D3">
            <w:pPr>
              <w:pStyle w:val="ListParagraph"/>
              <w:ind w:left="0"/>
              <w:jc w:val="right"/>
              <w:rPr>
                <w:rFonts w:ascii="Arial" w:hAnsi="Arial" w:cs="Arial"/>
                <w:b/>
                <w:bCs/>
              </w:rPr>
            </w:pPr>
            <w:r w:rsidRPr="00904CAF">
              <w:rPr>
                <w:rFonts w:ascii="Arial" w:hAnsi="Arial" w:cs="Arial"/>
                <w:b/>
                <w:bCs/>
              </w:rPr>
              <w:t>31/0</w:t>
            </w:r>
            <w:r w:rsidR="00F275BA">
              <w:rPr>
                <w:rFonts w:ascii="Arial" w:hAnsi="Arial" w:cs="Arial"/>
                <w:b/>
                <w:bCs/>
              </w:rPr>
              <w:t>9</w:t>
            </w:r>
            <w:r w:rsidRPr="00904CAF">
              <w:rPr>
                <w:rFonts w:ascii="Arial" w:hAnsi="Arial" w:cs="Arial"/>
                <w:b/>
                <w:bCs/>
              </w:rPr>
              <w:t>/2</w:t>
            </w:r>
            <w:r w:rsidR="00844D6B">
              <w:rPr>
                <w:rFonts w:ascii="Arial" w:hAnsi="Arial" w:cs="Arial"/>
                <w:b/>
                <w:bCs/>
              </w:rPr>
              <w:t>3</w:t>
            </w:r>
            <w:r w:rsidRPr="00904CAF">
              <w:rPr>
                <w:rFonts w:ascii="Arial" w:hAnsi="Arial" w:cs="Arial"/>
                <w:b/>
                <w:bCs/>
              </w:rPr>
              <w:br/>
              <w:t>Weighted average maturity</w:t>
            </w:r>
            <w:r w:rsidRPr="00904CAF">
              <w:rPr>
                <w:rFonts w:ascii="Arial" w:hAnsi="Arial" w:cs="Arial"/>
                <w:b/>
                <w:bCs/>
              </w:rPr>
              <w:br/>
              <w:t>(years)</w:t>
            </w:r>
          </w:p>
        </w:tc>
      </w:tr>
      <w:tr w:rsidR="00F275BA" w:rsidRPr="00904CAF" w14:paraId="30FD57D4" w14:textId="77777777" w:rsidTr="001544D3">
        <w:tc>
          <w:tcPr>
            <w:tcW w:w="2943" w:type="dxa"/>
            <w:shd w:val="clear" w:color="auto" w:fill="auto"/>
          </w:tcPr>
          <w:p w14:paraId="512985A2" w14:textId="585FC66C" w:rsidR="00F275BA" w:rsidRPr="00904CAF" w:rsidRDefault="00F275BA" w:rsidP="00F275BA">
            <w:pPr>
              <w:pStyle w:val="ListParagraph"/>
              <w:ind w:left="0"/>
              <w:rPr>
                <w:rFonts w:ascii="Arial" w:hAnsi="Arial" w:cs="Arial"/>
              </w:rPr>
            </w:pPr>
            <w:r w:rsidRPr="00904CAF">
              <w:rPr>
                <w:rFonts w:ascii="Arial" w:hAnsi="Arial" w:cs="Arial"/>
              </w:rPr>
              <w:t>Public Works Loan Board</w:t>
            </w:r>
            <w:r w:rsidRPr="004918BB">
              <w:rPr>
                <w:rFonts w:ascii="Arial" w:hAnsi="Arial" w:cs="Arial"/>
              </w:rPr>
              <w:t xml:space="preserve"> (PWLB)</w:t>
            </w:r>
          </w:p>
        </w:tc>
        <w:tc>
          <w:tcPr>
            <w:tcW w:w="1417" w:type="dxa"/>
            <w:vAlign w:val="center"/>
          </w:tcPr>
          <w:p w14:paraId="2692F708" w14:textId="0645CDDD" w:rsidR="00F275BA" w:rsidRPr="00904CAF" w:rsidRDefault="00F275BA" w:rsidP="00F275BA">
            <w:pPr>
              <w:pStyle w:val="ListParagraph"/>
              <w:ind w:left="0"/>
              <w:jc w:val="right"/>
              <w:rPr>
                <w:rFonts w:ascii="Arial" w:hAnsi="Arial" w:cs="Arial"/>
              </w:rPr>
            </w:pPr>
            <w:r>
              <w:rPr>
                <w:rFonts w:ascii="Arial" w:hAnsi="Arial" w:cs="Arial"/>
                <w:color w:val="000000"/>
                <w:sz w:val="22"/>
                <w:szCs w:val="22"/>
              </w:rPr>
              <w:t>(29.7)</w:t>
            </w:r>
          </w:p>
        </w:tc>
        <w:tc>
          <w:tcPr>
            <w:tcW w:w="1417" w:type="dxa"/>
            <w:shd w:val="clear" w:color="auto" w:fill="auto"/>
            <w:vAlign w:val="center"/>
          </w:tcPr>
          <w:p w14:paraId="15960BD4" w14:textId="19FF486D" w:rsidR="00F275BA" w:rsidRPr="00904CAF" w:rsidRDefault="00F275BA" w:rsidP="00F275BA">
            <w:pPr>
              <w:pStyle w:val="ListParagraph"/>
              <w:ind w:left="0"/>
              <w:jc w:val="right"/>
              <w:rPr>
                <w:rFonts w:ascii="Arial" w:hAnsi="Arial" w:cs="Arial"/>
              </w:rPr>
            </w:pPr>
            <w:r>
              <w:rPr>
                <w:rFonts w:ascii="Arial" w:hAnsi="Arial" w:cs="Arial"/>
                <w:color w:val="000000"/>
                <w:sz w:val="22"/>
                <w:szCs w:val="22"/>
              </w:rPr>
              <w:t>10.4</w:t>
            </w:r>
          </w:p>
        </w:tc>
        <w:tc>
          <w:tcPr>
            <w:tcW w:w="1417" w:type="dxa"/>
            <w:shd w:val="clear" w:color="auto" w:fill="auto"/>
            <w:vAlign w:val="center"/>
          </w:tcPr>
          <w:p w14:paraId="385091A4" w14:textId="07689EE5" w:rsidR="00F275BA" w:rsidRPr="00904CAF" w:rsidRDefault="00F275BA" w:rsidP="00F275BA">
            <w:pPr>
              <w:pStyle w:val="ListParagraph"/>
              <w:ind w:left="0"/>
              <w:jc w:val="right"/>
              <w:rPr>
                <w:rFonts w:ascii="Arial" w:hAnsi="Arial" w:cs="Arial"/>
              </w:rPr>
            </w:pPr>
            <w:r>
              <w:rPr>
                <w:rFonts w:ascii="Arial" w:hAnsi="Arial" w:cs="Arial"/>
                <w:color w:val="000000"/>
                <w:sz w:val="22"/>
                <w:szCs w:val="22"/>
              </w:rPr>
              <w:t>(19.4)</w:t>
            </w:r>
          </w:p>
        </w:tc>
        <w:tc>
          <w:tcPr>
            <w:tcW w:w="1417" w:type="dxa"/>
            <w:shd w:val="clear" w:color="auto" w:fill="auto"/>
            <w:vAlign w:val="center"/>
          </w:tcPr>
          <w:p w14:paraId="05F02150" w14:textId="53AA1087" w:rsidR="00F275BA" w:rsidRPr="00904CAF" w:rsidRDefault="00F275BA" w:rsidP="00F275BA">
            <w:pPr>
              <w:pStyle w:val="ListParagraph"/>
              <w:ind w:left="0"/>
              <w:jc w:val="right"/>
              <w:rPr>
                <w:rFonts w:ascii="Arial" w:hAnsi="Arial" w:cs="Arial"/>
              </w:rPr>
            </w:pPr>
            <w:r>
              <w:rPr>
                <w:rFonts w:ascii="Arial" w:hAnsi="Arial" w:cs="Arial"/>
                <w:color w:val="000000"/>
                <w:sz w:val="22"/>
                <w:szCs w:val="22"/>
              </w:rPr>
              <w:t>4.25</w:t>
            </w:r>
          </w:p>
        </w:tc>
        <w:tc>
          <w:tcPr>
            <w:tcW w:w="1417" w:type="dxa"/>
            <w:shd w:val="clear" w:color="auto" w:fill="auto"/>
            <w:vAlign w:val="center"/>
          </w:tcPr>
          <w:p w14:paraId="683AC0A5" w14:textId="0F2AF0A3" w:rsidR="00F275BA" w:rsidRPr="00904CAF" w:rsidRDefault="00F275BA" w:rsidP="00F275BA">
            <w:pPr>
              <w:pStyle w:val="ListParagraph"/>
              <w:ind w:left="0"/>
              <w:jc w:val="right"/>
              <w:rPr>
                <w:rFonts w:ascii="Arial" w:hAnsi="Arial" w:cs="Arial"/>
              </w:rPr>
            </w:pPr>
            <w:r>
              <w:rPr>
                <w:rFonts w:ascii="Arial" w:hAnsi="Arial" w:cs="Arial"/>
                <w:color w:val="000000"/>
                <w:sz w:val="22"/>
                <w:szCs w:val="22"/>
              </w:rPr>
              <w:t>9.8</w:t>
            </w:r>
          </w:p>
        </w:tc>
      </w:tr>
      <w:tr w:rsidR="00F275BA" w:rsidRPr="00904CAF" w14:paraId="5C6E2AC5" w14:textId="77777777" w:rsidTr="001544D3">
        <w:tc>
          <w:tcPr>
            <w:tcW w:w="2943" w:type="dxa"/>
            <w:shd w:val="clear" w:color="auto" w:fill="auto"/>
          </w:tcPr>
          <w:p w14:paraId="021F2A59" w14:textId="77777777" w:rsidR="00F275BA" w:rsidRPr="00904CAF" w:rsidRDefault="00F275BA" w:rsidP="00F275BA">
            <w:pPr>
              <w:pStyle w:val="ListParagraph"/>
              <w:ind w:left="0"/>
              <w:rPr>
                <w:rFonts w:ascii="Arial" w:hAnsi="Arial" w:cs="Arial"/>
                <w:b/>
                <w:bCs/>
              </w:rPr>
            </w:pPr>
            <w:r w:rsidRPr="00904CAF">
              <w:rPr>
                <w:rFonts w:ascii="Arial" w:hAnsi="Arial" w:cs="Arial"/>
                <w:b/>
                <w:bCs/>
              </w:rPr>
              <w:t>Total borrowing</w:t>
            </w:r>
          </w:p>
        </w:tc>
        <w:tc>
          <w:tcPr>
            <w:tcW w:w="1417" w:type="dxa"/>
            <w:vAlign w:val="center"/>
          </w:tcPr>
          <w:p w14:paraId="00B076DE" w14:textId="2D3D5085" w:rsidR="00F275BA" w:rsidRPr="00904CAF" w:rsidRDefault="00F275BA" w:rsidP="00F275BA">
            <w:pPr>
              <w:pStyle w:val="ListParagraph"/>
              <w:ind w:left="0"/>
              <w:jc w:val="right"/>
              <w:rPr>
                <w:rFonts w:ascii="Arial" w:hAnsi="Arial" w:cs="Arial"/>
                <w:b/>
                <w:bCs/>
              </w:rPr>
            </w:pPr>
            <w:r>
              <w:rPr>
                <w:rFonts w:ascii="Arial" w:hAnsi="Arial" w:cs="Arial"/>
                <w:b/>
                <w:bCs/>
                <w:color w:val="000000"/>
                <w:sz w:val="22"/>
                <w:szCs w:val="22"/>
              </w:rPr>
              <w:t>(29.7)</w:t>
            </w:r>
          </w:p>
        </w:tc>
        <w:tc>
          <w:tcPr>
            <w:tcW w:w="1417" w:type="dxa"/>
            <w:shd w:val="clear" w:color="auto" w:fill="auto"/>
            <w:vAlign w:val="center"/>
          </w:tcPr>
          <w:p w14:paraId="54850975" w14:textId="5DA88062" w:rsidR="00F275BA" w:rsidRPr="00904CAF" w:rsidRDefault="00F275BA" w:rsidP="00F275BA">
            <w:pPr>
              <w:pStyle w:val="ListParagraph"/>
              <w:ind w:left="0"/>
              <w:jc w:val="right"/>
              <w:rPr>
                <w:rFonts w:ascii="Arial" w:hAnsi="Arial" w:cs="Arial"/>
                <w:b/>
                <w:bCs/>
              </w:rPr>
            </w:pPr>
            <w:r>
              <w:rPr>
                <w:rFonts w:ascii="Arial" w:hAnsi="Arial" w:cs="Arial"/>
                <w:b/>
                <w:bCs/>
                <w:color w:val="000000"/>
                <w:sz w:val="22"/>
                <w:szCs w:val="22"/>
              </w:rPr>
              <w:t>10.4</w:t>
            </w:r>
          </w:p>
        </w:tc>
        <w:tc>
          <w:tcPr>
            <w:tcW w:w="1417" w:type="dxa"/>
            <w:shd w:val="clear" w:color="auto" w:fill="auto"/>
            <w:vAlign w:val="center"/>
          </w:tcPr>
          <w:p w14:paraId="0EC8B1E8" w14:textId="51418C23" w:rsidR="00F275BA" w:rsidRPr="00904CAF" w:rsidRDefault="00F275BA" w:rsidP="00F275BA">
            <w:pPr>
              <w:pStyle w:val="ListParagraph"/>
              <w:ind w:left="0"/>
              <w:jc w:val="right"/>
              <w:rPr>
                <w:rFonts w:ascii="Arial" w:hAnsi="Arial" w:cs="Arial"/>
                <w:b/>
                <w:bCs/>
              </w:rPr>
            </w:pPr>
            <w:r>
              <w:rPr>
                <w:rFonts w:ascii="Arial" w:hAnsi="Arial" w:cs="Arial"/>
                <w:b/>
                <w:bCs/>
                <w:color w:val="000000"/>
                <w:sz w:val="22"/>
                <w:szCs w:val="22"/>
              </w:rPr>
              <w:t>(19.4)</w:t>
            </w:r>
          </w:p>
        </w:tc>
        <w:tc>
          <w:tcPr>
            <w:tcW w:w="1417" w:type="dxa"/>
            <w:shd w:val="clear" w:color="auto" w:fill="auto"/>
            <w:vAlign w:val="center"/>
          </w:tcPr>
          <w:p w14:paraId="445DC0F0" w14:textId="6BE47D76" w:rsidR="00F275BA" w:rsidRPr="00904CAF" w:rsidRDefault="00F275BA" w:rsidP="00F275BA">
            <w:pPr>
              <w:pStyle w:val="ListParagraph"/>
              <w:ind w:left="0"/>
              <w:jc w:val="right"/>
              <w:rPr>
                <w:rFonts w:ascii="Arial" w:hAnsi="Arial" w:cs="Arial"/>
                <w:b/>
                <w:bCs/>
              </w:rPr>
            </w:pPr>
            <w:r>
              <w:rPr>
                <w:rFonts w:ascii="Arial" w:hAnsi="Arial" w:cs="Arial"/>
                <w:b/>
                <w:bCs/>
                <w:color w:val="000000"/>
                <w:sz w:val="22"/>
                <w:szCs w:val="22"/>
              </w:rPr>
              <w:t>4.25</w:t>
            </w:r>
          </w:p>
        </w:tc>
        <w:tc>
          <w:tcPr>
            <w:tcW w:w="1417" w:type="dxa"/>
            <w:shd w:val="clear" w:color="auto" w:fill="auto"/>
            <w:vAlign w:val="center"/>
          </w:tcPr>
          <w:p w14:paraId="5BBF7EBE" w14:textId="2A34FB03" w:rsidR="00F275BA" w:rsidRPr="00904CAF" w:rsidRDefault="00F275BA" w:rsidP="00F275BA">
            <w:pPr>
              <w:pStyle w:val="ListParagraph"/>
              <w:ind w:left="0"/>
              <w:jc w:val="right"/>
              <w:rPr>
                <w:rFonts w:ascii="Arial" w:hAnsi="Arial" w:cs="Arial"/>
                <w:b/>
                <w:bCs/>
              </w:rPr>
            </w:pPr>
            <w:r>
              <w:rPr>
                <w:rFonts w:ascii="Arial" w:hAnsi="Arial" w:cs="Arial"/>
                <w:b/>
                <w:bCs/>
                <w:color w:val="000000"/>
                <w:sz w:val="22"/>
                <w:szCs w:val="22"/>
              </w:rPr>
              <w:t>9.8</w:t>
            </w:r>
          </w:p>
        </w:tc>
      </w:tr>
    </w:tbl>
    <w:p w14:paraId="02411744" w14:textId="68329AE7" w:rsidR="00AF2316" w:rsidRPr="007E28C9" w:rsidRDefault="00AF2316" w:rsidP="00AF2316">
      <w:pPr>
        <w:pStyle w:val="ListParagraph"/>
        <w:spacing w:after="240"/>
        <w:rPr>
          <w:rFonts w:ascii="Arial" w:hAnsi="Arial" w:cs="Arial"/>
          <w:sz w:val="20"/>
          <w:szCs w:val="20"/>
        </w:rPr>
      </w:pPr>
      <w:r w:rsidRPr="007E28C9">
        <w:rPr>
          <w:rFonts w:ascii="Arial" w:hAnsi="Arial" w:cs="Arial"/>
          <w:sz w:val="20"/>
          <w:szCs w:val="20"/>
        </w:rPr>
        <w:t xml:space="preserve">Note: the figures in </w:t>
      </w:r>
      <w:r w:rsidR="00E139C4" w:rsidRPr="007E28C9">
        <w:rPr>
          <w:rFonts w:ascii="Arial" w:hAnsi="Arial" w:cs="Arial"/>
          <w:sz w:val="20"/>
          <w:szCs w:val="20"/>
        </w:rPr>
        <w:t>T</w:t>
      </w:r>
      <w:r w:rsidRPr="007E28C9">
        <w:rPr>
          <w:rFonts w:ascii="Arial" w:hAnsi="Arial" w:cs="Arial"/>
          <w:sz w:val="20"/>
          <w:szCs w:val="20"/>
        </w:rPr>
        <w:t xml:space="preserve">able </w:t>
      </w:r>
      <w:r w:rsidR="00E139C4" w:rsidRPr="007E28C9">
        <w:rPr>
          <w:rFonts w:ascii="Arial" w:hAnsi="Arial" w:cs="Arial"/>
          <w:sz w:val="20"/>
          <w:szCs w:val="20"/>
        </w:rPr>
        <w:t>3</w:t>
      </w:r>
      <w:r w:rsidRPr="007E28C9">
        <w:rPr>
          <w:rFonts w:ascii="Arial" w:hAnsi="Arial" w:cs="Arial"/>
          <w:sz w:val="20"/>
          <w:szCs w:val="20"/>
        </w:rPr>
        <w:t xml:space="preserve"> are from the balance sheet in the PCC’s accou</w:t>
      </w:r>
      <w:r w:rsidR="00E40338" w:rsidRPr="007E28C9">
        <w:rPr>
          <w:rFonts w:ascii="Arial" w:hAnsi="Arial" w:cs="Arial"/>
          <w:sz w:val="20"/>
          <w:szCs w:val="20"/>
        </w:rPr>
        <w:t>nts but adjusted to exclude</w:t>
      </w:r>
      <w:r w:rsidRPr="007E28C9">
        <w:rPr>
          <w:rFonts w:ascii="Arial" w:hAnsi="Arial" w:cs="Arial"/>
          <w:sz w:val="20"/>
          <w:szCs w:val="20"/>
        </w:rPr>
        <w:t xml:space="preserve"> accrued interest.</w:t>
      </w:r>
    </w:p>
    <w:p w14:paraId="6B2626F5" w14:textId="758D4293" w:rsidR="00506B4D" w:rsidRDefault="00F4215F" w:rsidP="00597D61">
      <w:pPr>
        <w:pStyle w:val="ListParagraph"/>
        <w:numPr>
          <w:ilvl w:val="1"/>
          <w:numId w:val="2"/>
        </w:numPr>
        <w:spacing w:after="240"/>
        <w:ind w:left="720" w:hanging="720"/>
        <w:rPr>
          <w:rFonts w:ascii="Arial" w:hAnsi="Arial" w:cs="Arial"/>
        </w:rPr>
      </w:pPr>
      <w:r w:rsidRPr="00496A0D">
        <w:rPr>
          <w:rFonts w:ascii="Arial" w:hAnsi="Arial" w:cs="Arial"/>
        </w:rPr>
        <w:t xml:space="preserve">The </w:t>
      </w:r>
      <w:r w:rsidR="00564BE3" w:rsidRPr="00496A0D">
        <w:rPr>
          <w:rFonts w:ascii="Arial" w:hAnsi="Arial" w:cs="Arial"/>
        </w:rPr>
        <w:t>PCC</w:t>
      </w:r>
      <w:r w:rsidRPr="00496A0D">
        <w:rPr>
          <w:rFonts w:ascii="Arial" w:hAnsi="Arial" w:cs="Arial"/>
        </w:rPr>
        <w:t>’s chief objective when</w:t>
      </w:r>
      <w:r w:rsidR="00AA1EF1" w:rsidRPr="00496A0D">
        <w:rPr>
          <w:rFonts w:ascii="Arial" w:hAnsi="Arial" w:cs="Arial"/>
        </w:rPr>
        <w:t xml:space="preserve"> </w:t>
      </w:r>
      <w:r w:rsidRPr="00496A0D">
        <w:rPr>
          <w:rFonts w:ascii="Arial" w:hAnsi="Arial" w:cs="Arial"/>
        </w:rPr>
        <w:t xml:space="preserve">borrowing </w:t>
      </w:r>
      <w:r w:rsidR="00D507B5" w:rsidRPr="00496A0D">
        <w:rPr>
          <w:rFonts w:ascii="Arial" w:hAnsi="Arial" w:cs="Arial"/>
        </w:rPr>
        <w:t>has been to</w:t>
      </w:r>
      <w:r w:rsidRPr="00496A0D">
        <w:rPr>
          <w:rFonts w:ascii="Arial" w:hAnsi="Arial" w:cs="Arial"/>
        </w:rPr>
        <w:t xml:space="preserve"> strik</w:t>
      </w:r>
      <w:r w:rsidR="00D507B5" w:rsidRPr="00496A0D">
        <w:rPr>
          <w:rFonts w:ascii="Arial" w:hAnsi="Arial" w:cs="Arial"/>
        </w:rPr>
        <w:t>e</w:t>
      </w:r>
      <w:r w:rsidRPr="00496A0D">
        <w:rPr>
          <w:rFonts w:ascii="Arial" w:hAnsi="Arial" w:cs="Arial"/>
        </w:rPr>
        <w:t xml:space="preserve"> an appropriately low risk balance between securing low interest costs and achieving cost certainty over the period for which funds are required</w:t>
      </w:r>
      <w:r w:rsidR="00DC15B7" w:rsidRPr="00496A0D">
        <w:rPr>
          <w:rFonts w:ascii="Arial" w:hAnsi="Arial" w:cs="Arial"/>
        </w:rPr>
        <w:t>. The</w:t>
      </w:r>
      <w:r w:rsidRPr="00496A0D">
        <w:rPr>
          <w:rFonts w:ascii="Arial" w:hAnsi="Arial" w:cs="Arial"/>
        </w:rPr>
        <w:t xml:space="preserve"> flexibility to renegotiate loans should the </w:t>
      </w:r>
      <w:r w:rsidR="00564BE3" w:rsidRPr="00496A0D">
        <w:rPr>
          <w:rFonts w:ascii="Arial" w:hAnsi="Arial" w:cs="Arial"/>
        </w:rPr>
        <w:t>PCC</w:t>
      </w:r>
      <w:r w:rsidRPr="00496A0D">
        <w:rPr>
          <w:rFonts w:ascii="Arial" w:hAnsi="Arial" w:cs="Arial"/>
        </w:rPr>
        <w:t xml:space="preserve">’s long-term plans change </w:t>
      </w:r>
      <w:r w:rsidR="00DC15B7" w:rsidRPr="00496A0D">
        <w:rPr>
          <w:rFonts w:ascii="Arial" w:hAnsi="Arial" w:cs="Arial"/>
        </w:rPr>
        <w:t>is</w:t>
      </w:r>
      <w:r w:rsidR="00E674A1" w:rsidRPr="00496A0D">
        <w:rPr>
          <w:rFonts w:ascii="Arial" w:hAnsi="Arial" w:cs="Arial"/>
        </w:rPr>
        <w:t xml:space="preserve"> </w:t>
      </w:r>
      <w:r w:rsidRPr="00496A0D">
        <w:rPr>
          <w:rFonts w:ascii="Arial" w:hAnsi="Arial" w:cs="Arial"/>
        </w:rPr>
        <w:t>a secondary objective.</w:t>
      </w:r>
    </w:p>
    <w:p w14:paraId="6086DD9F" w14:textId="5C9BB688" w:rsidR="00E90E89" w:rsidRPr="000053E2" w:rsidRDefault="00E90E89" w:rsidP="00597D61">
      <w:pPr>
        <w:pStyle w:val="ListParagraph"/>
        <w:numPr>
          <w:ilvl w:val="1"/>
          <w:numId w:val="2"/>
        </w:numPr>
        <w:spacing w:after="240"/>
        <w:ind w:left="720" w:hanging="720"/>
        <w:rPr>
          <w:rFonts w:ascii="Arial" w:hAnsi="Arial" w:cs="Arial"/>
        </w:rPr>
      </w:pPr>
      <w:r>
        <w:rPr>
          <w:rFonts w:ascii="Arial" w:hAnsi="Arial" w:cs="Arial"/>
        </w:rPr>
        <w:t>As</w:t>
      </w:r>
      <w:r w:rsidR="002C00EC">
        <w:rPr>
          <w:rFonts w:ascii="Arial" w:hAnsi="Arial" w:cs="Arial"/>
        </w:rPr>
        <w:t xml:space="preserve"> outlined</w:t>
      </w:r>
      <w:r>
        <w:rPr>
          <w:rFonts w:ascii="Arial" w:hAnsi="Arial" w:cs="Arial"/>
        </w:rPr>
        <w:t xml:space="preserve"> in paragraph </w:t>
      </w:r>
      <w:r w:rsidR="006C664F">
        <w:rPr>
          <w:rFonts w:ascii="Arial" w:hAnsi="Arial" w:cs="Arial"/>
        </w:rPr>
        <w:t xml:space="preserve">6.6, £10m of PWLB borrowing was repaid </w:t>
      </w:r>
      <w:r w:rsidR="005274BE">
        <w:rPr>
          <w:rFonts w:ascii="Arial" w:hAnsi="Arial" w:cs="Arial"/>
        </w:rPr>
        <w:t xml:space="preserve">early </w:t>
      </w:r>
      <w:r w:rsidR="006C664F">
        <w:rPr>
          <w:rFonts w:ascii="Arial" w:hAnsi="Arial" w:cs="Arial"/>
        </w:rPr>
        <w:t>in the period. In addition, another £0.4m of PWLB borrowing was repaid</w:t>
      </w:r>
      <w:r w:rsidR="001D2101">
        <w:rPr>
          <w:rFonts w:ascii="Arial" w:hAnsi="Arial" w:cs="Arial"/>
        </w:rPr>
        <w:t xml:space="preserve"> at maturity. </w:t>
      </w:r>
      <w:r w:rsidR="001D2101" w:rsidRPr="000053E2">
        <w:rPr>
          <w:rFonts w:ascii="Arial" w:hAnsi="Arial" w:cs="Arial"/>
        </w:rPr>
        <w:t>No new borrowing was taken out.</w:t>
      </w:r>
    </w:p>
    <w:p w14:paraId="0E37D798" w14:textId="0017B26C" w:rsidR="00EE5D37" w:rsidRPr="000053E2" w:rsidRDefault="004E2640" w:rsidP="003C3808">
      <w:pPr>
        <w:keepNext/>
        <w:numPr>
          <w:ilvl w:val="0"/>
          <w:numId w:val="2"/>
        </w:numPr>
        <w:tabs>
          <w:tab w:val="num" w:pos="720"/>
        </w:tabs>
        <w:spacing w:after="240"/>
        <w:ind w:left="431" w:hanging="431"/>
        <w:outlineLvl w:val="0"/>
        <w:rPr>
          <w:rFonts w:ascii="Arial" w:hAnsi="Arial" w:cs="Arial"/>
          <w:b/>
        </w:rPr>
      </w:pPr>
      <w:r w:rsidRPr="000053E2">
        <w:rPr>
          <w:rFonts w:ascii="Arial" w:hAnsi="Arial" w:cs="Arial"/>
          <w:b/>
        </w:rPr>
        <w:t xml:space="preserve">Treasury </w:t>
      </w:r>
      <w:r w:rsidR="006A2DD0" w:rsidRPr="000053E2">
        <w:rPr>
          <w:rFonts w:ascii="Arial" w:hAnsi="Arial" w:cs="Arial"/>
          <w:b/>
        </w:rPr>
        <w:t>Investment Activity</w:t>
      </w:r>
      <w:r w:rsidR="000B6FC0" w:rsidRPr="000053E2">
        <w:rPr>
          <w:rFonts w:ascii="Arial" w:hAnsi="Arial" w:cs="Arial"/>
          <w:b/>
        </w:rPr>
        <w:t xml:space="preserve"> </w:t>
      </w:r>
    </w:p>
    <w:p w14:paraId="4B7DB67E" w14:textId="236E4F0D" w:rsidR="00E2324A" w:rsidRPr="00E2324A" w:rsidRDefault="004B378B" w:rsidP="00E2324A">
      <w:pPr>
        <w:pStyle w:val="ListParagraph"/>
        <w:numPr>
          <w:ilvl w:val="1"/>
          <w:numId w:val="2"/>
        </w:numPr>
        <w:spacing w:after="240"/>
        <w:ind w:left="720" w:hanging="720"/>
        <w:rPr>
          <w:rFonts w:ascii="Arial" w:hAnsi="Arial" w:cs="Arial"/>
        </w:rPr>
      </w:pPr>
      <w:r w:rsidRPr="009A0208">
        <w:rPr>
          <w:rFonts w:ascii="Arial" w:hAnsi="Arial" w:cs="Arial"/>
        </w:rPr>
        <w:t xml:space="preserve">The CIPFA Treasury Management Code </w:t>
      </w:r>
      <w:r>
        <w:rPr>
          <w:rFonts w:ascii="Arial" w:hAnsi="Arial" w:cs="Arial"/>
        </w:rPr>
        <w:t xml:space="preserve">now </w:t>
      </w:r>
      <w:r w:rsidR="00E2324A" w:rsidRPr="00E2324A">
        <w:rPr>
          <w:rFonts w:ascii="Arial" w:hAnsi="Arial" w:cs="Arial"/>
        </w:rPr>
        <w:t>define</w:t>
      </w:r>
      <w:r>
        <w:rPr>
          <w:rFonts w:ascii="Arial" w:hAnsi="Arial" w:cs="Arial"/>
        </w:rPr>
        <w:t>s</w:t>
      </w:r>
      <w:r w:rsidR="00E2324A" w:rsidRPr="00E2324A">
        <w:rPr>
          <w:rFonts w:ascii="Arial" w:hAnsi="Arial" w:cs="Arial"/>
        </w:rPr>
        <w:t xml:space="preserve"> treasury management investments as investments that arise from the organisation’s cash flows or treasury risk management activity that ultimately represents balances that need to be invested until the cash is required for use </w:t>
      </w:r>
      <w:proofErr w:type="gramStart"/>
      <w:r w:rsidR="00E2324A" w:rsidRPr="00E2324A">
        <w:rPr>
          <w:rFonts w:ascii="Arial" w:hAnsi="Arial" w:cs="Arial"/>
        </w:rPr>
        <w:t>in the course of</w:t>
      </w:r>
      <w:proofErr w:type="gramEnd"/>
      <w:r w:rsidR="00E2324A" w:rsidRPr="00E2324A">
        <w:rPr>
          <w:rFonts w:ascii="Arial" w:hAnsi="Arial" w:cs="Arial"/>
        </w:rPr>
        <w:t xml:space="preserve"> business.</w:t>
      </w:r>
    </w:p>
    <w:p w14:paraId="0F569759" w14:textId="34140D77" w:rsidR="00BF6A81" w:rsidRPr="006C5C57" w:rsidRDefault="00BF6A81" w:rsidP="00977971">
      <w:pPr>
        <w:pStyle w:val="ListParagraph"/>
        <w:numPr>
          <w:ilvl w:val="1"/>
          <w:numId w:val="2"/>
        </w:numPr>
        <w:spacing w:after="240"/>
        <w:ind w:left="720" w:hanging="720"/>
        <w:rPr>
          <w:rFonts w:ascii="Arial" w:hAnsi="Arial" w:cs="Arial"/>
        </w:rPr>
      </w:pPr>
      <w:r w:rsidRPr="006C5C57">
        <w:rPr>
          <w:rFonts w:ascii="Arial" w:hAnsi="Arial" w:cs="Arial"/>
        </w:rPr>
        <w:t xml:space="preserve">The </w:t>
      </w:r>
      <w:r w:rsidR="003E22AA" w:rsidRPr="006C5C57">
        <w:rPr>
          <w:rFonts w:ascii="Arial" w:hAnsi="Arial" w:cs="Arial"/>
        </w:rPr>
        <w:t>PCC</w:t>
      </w:r>
      <w:r w:rsidRPr="006C5C57">
        <w:rPr>
          <w:rFonts w:ascii="Arial" w:hAnsi="Arial" w:cs="Arial"/>
        </w:rPr>
        <w:t xml:space="preserve"> </w:t>
      </w:r>
      <w:r w:rsidR="00147C76" w:rsidRPr="006C5C57">
        <w:rPr>
          <w:rFonts w:ascii="Arial" w:hAnsi="Arial" w:cs="Arial"/>
        </w:rPr>
        <w:t>h</w:t>
      </w:r>
      <w:r w:rsidR="00AF2316" w:rsidRPr="006C5C57">
        <w:rPr>
          <w:rFonts w:ascii="Arial" w:hAnsi="Arial" w:cs="Arial"/>
        </w:rPr>
        <w:t>o</w:t>
      </w:r>
      <w:r w:rsidR="00147C76" w:rsidRPr="006C5C57">
        <w:rPr>
          <w:rFonts w:ascii="Arial" w:hAnsi="Arial" w:cs="Arial"/>
        </w:rPr>
        <w:t>ld</w:t>
      </w:r>
      <w:r w:rsidR="00AF2316" w:rsidRPr="006C5C57">
        <w:rPr>
          <w:rFonts w:ascii="Arial" w:hAnsi="Arial" w:cs="Arial"/>
        </w:rPr>
        <w:t>s</w:t>
      </w:r>
      <w:r w:rsidR="00147C76" w:rsidRPr="006C5C57">
        <w:rPr>
          <w:rFonts w:ascii="Arial" w:hAnsi="Arial" w:cs="Arial"/>
        </w:rPr>
        <w:t xml:space="preserve"> </w:t>
      </w:r>
      <w:r w:rsidRPr="006C5C57">
        <w:rPr>
          <w:rFonts w:ascii="Arial" w:hAnsi="Arial" w:cs="Arial"/>
        </w:rPr>
        <w:t xml:space="preserve">invested funds representing income received in advance of expenditure plus balances and reserves held.  </w:t>
      </w:r>
      <w:r w:rsidR="00147C76" w:rsidRPr="006C5C57">
        <w:rPr>
          <w:rFonts w:ascii="Arial" w:hAnsi="Arial" w:cs="Arial"/>
        </w:rPr>
        <w:t>D</w:t>
      </w:r>
      <w:r w:rsidRPr="006C5C57">
        <w:rPr>
          <w:rFonts w:ascii="Arial" w:hAnsi="Arial" w:cs="Arial"/>
        </w:rPr>
        <w:t xml:space="preserve">uring </w:t>
      </w:r>
      <w:r w:rsidR="001E27FC" w:rsidRPr="006C5C57">
        <w:rPr>
          <w:rFonts w:ascii="Arial" w:hAnsi="Arial" w:cs="Arial"/>
        </w:rPr>
        <w:t>the year,</w:t>
      </w:r>
      <w:r w:rsidRPr="006C5C57">
        <w:rPr>
          <w:rFonts w:ascii="Arial" w:hAnsi="Arial" w:cs="Arial"/>
        </w:rPr>
        <w:t xml:space="preserve"> the </w:t>
      </w:r>
      <w:r w:rsidR="003E22AA" w:rsidRPr="006C5C57">
        <w:rPr>
          <w:rFonts w:ascii="Arial" w:hAnsi="Arial" w:cs="Arial"/>
        </w:rPr>
        <w:t>PCC</w:t>
      </w:r>
      <w:r w:rsidRPr="006C5C57">
        <w:rPr>
          <w:rFonts w:ascii="Arial" w:hAnsi="Arial" w:cs="Arial"/>
        </w:rPr>
        <w:t xml:space="preserve">’s investment balances </w:t>
      </w:r>
      <w:r w:rsidR="00147C76" w:rsidRPr="006C5C57">
        <w:rPr>
          <w:rFonts w:ascii="Arial" w:hAnsi="Arial" w:cs="Arial"/>
        </w:rPr>
        <w:t>have</w:t>
      </w:r>
      <w:r w:rsidRPr="006C5C57">
        <w:rPr>
          <w:rFonts w:ascii="Arial" w:hAnsi="Arial" w:cs="Arial"/>
        </w:rPr>
        <w:t xml:space="preserve"> range</w:t>
      </w:r>
      <w:r w:rsidR="00147C76" w:rsidRPr="006C5C57">
        <w:rPr>
          <w:rFonts w:ascii="Arial" w:hAnsi="Arial" w:cs="Arial"/>
        </w:rPr>
        <w:t>d</w:t>
      </w:r>
      <w:r w:rsidRPr="006C5C57">
        <w:rPr>
          <w:rFonts w:ascii="Arial" w:hAnsi="Arial" w:cs="Arial"/>
        </w:rPr>
        <w:t xml:space="preserve"> between </w:t>
      </w:r>
      <w:r w:rsidRPr="000053E2">
        <w:rPr>
          <w:rFonts w:ascii="Arial" w:hAnsi="Arial" w:cs="Arial"/>
        </w:rPr>
        <w:t>£</w:t>
      </w:r>
      <w:r w:rsidR="00D30A34" w:rsidRPr="000053E2">
        <w:rPr>
          <w:rFonts w:ascii="Arial" w:hAnsi="Arial" w:cs="Arial"/>
        </w:rPr>
        <w:t>62.6</w:t>
      </w:r>
      <w:r w:rsidR="00280CF9" w:rsidRPr="000053E2">
        <w:rPr>
          <w:rFonts w:ascii="Arial" w:hAnsi="Arial" w:cs="Arial"/>
        </w:rPr>
        <w:t>m</w:t>
      </w:r>
      <w:r w:rsidRPr="000053E2">
        <w:rPr>
          <w:rFonts w:ascii="Arial" w:hAnsi="Arial" w:cs="Arial"/>
        </w:rPr>
        <w:t xml:space="preserve"> and </w:t>
      </w:r>
      <w:r w:rsidR="00C55FD3" w:rsidRPr="000053E2">
        <w:rPr>
          <w:rFonts w:ascii="Arial" w:hAnsi="Arial" w:cs="Arial"/>
        </w:rPr>
        <w:t>£</w:t>
      </w:r>
      <w:r w:rsidR="006C5C57" w:rsidRPr="000053E2">
        <w:rPr>
          <w:rFonts w:ascii="Arial" w:hAnsi="Arial" w:cs="Arial"/>
        </w:rPr>
        <w:t>1</w:t>
      </w:r>
      <w:r w:rsidR="000053E2" w:rsidRPr="000053E2">
        <w:rPr>
          <w:rFonts w:ascii="Arial" w:hAnsi="Arial" w:cs="Arial"/>
        </w:rPr>
        <w:t>57</w:t>
      </w:r>
      <w:r w:rsidR="00D30A34" w:rsidRPr="000053E2">
        <w:rPr>
          <w:rFonts w:ascii="Arial" w:hAnsi="Arial" w:cs="Arial"/>
        </w:rPr>
        <w:t>.</w:t>
      </w:r>
      <w:r w:rsidR="000053E2" w:rsidRPr="000053E2">
        <w:rPr>
          <w:rFonts w:ascii="Arial" w:hAnsi="Arial" w:cs="Arial"/>
        </w:rPr>
        <w:t>0</w:t>
      </w:r>
      <w:r w:rsidR="006C5C57" w:rsidRPr="000053E2">
        <w:rPr>
          <w:rFonts w:ascii="Arial" w:hAnsi="Arial" w:cs="Arial"/>
        </w:rPr>
        <w:t>m</w:t>
      </w:r>
      <w:r w:rsidR="00AF2316" w:rsidRPr="006C5C57">
        <w:rPr>
          <w:rFonts w:ascii="Arial" w:hAnsi="Arial" w:cs="Arial"/>
        </w:rPr>
        <w:t xml:space="preserve"> due to timing differences between income and expenditure. </w:t>
      </w:r>
      <w:r w:rsidR="00977971" w:rsidRPr="006C5C57">
        <w:rPr>
          <w:rFonts w:ascii="Arial" w:hAnsi="Arial" w:cs="Arial"/>
        </w:rPr>
        <w:t xml:space="preserve"> </w:t>
      </w:r>
      <w:r w:rsidR="00AF2316" w:rsidRPr="006C5C57">
        <w:rPr>
          <w:rFonts w:ascii="Arial" w:hAnsi="Arial" w:cs="Arial"/>
        </w:rPr>
        <w:t>The year-end investment positio</w:t>
      </w:r>
      <w:r w:rsidR="00564821" w:rsidRPr="006C5C57">
        <w:rPr>
          <w:rFonts w:ascii="Arial" w:hAnsi="Arial" w:cs="Arial"/>
        </w:rPr>
        <w:t>n and the year-on-year change are</w:t>
      </w:r>
      <w:r w:rsidR="00AF2316" w:rsidRPr="006C5C57">
        <w:rPr>
          <w:rFonts w:ascii="Arial" w:hAnsi="Arial" w:cs="Arial"/>
        </w:rPr>
        <w:t xml:space="preserve"> shown in Table 4.</w:t>
      </w:r>
      <w:r w:rsidR="006C0E5D" w:rsidRPr="006C5C57">
        <w:rPr>
          <w:rFonts w:ascii="Arial" w:hAnsi="Arial" w:cs="Arial"/>
        </w:rPr>
        <w:t xml:space="preserve">  </w:t>
      </w:r>
    </w:p>
    <w:tbl>
      <w:tblPr>
        <w:tblW w:w="10491" w:type="dxa"/>
        <w:jc w:val="center"/>
        <w:tblLayout w:type="fixed"/>
        <w:tblLook w:val="0000" w:firstRow="0" w:lastRow="0" w:firstColumn="0" w:lastColumn="0" w:noHBand="0" w:noVBand="0"/>
      </w:tblPr>
      <w:tblGrid>
        <w:gridCol w:w="3402"/>
        <w:gridCol w:w="1417"/>
        <w:gridCol w:w="1417"/>
        <w:gridCol w:w="1417"/>
        <w:gridCol w:w="1417"/>
        <w:gridCol w:w="1421"/>
      </w:tblGrid>
      <w:tr w:rsidR="00D14B6D" w:rsidRPr="00384864" w14:paraId="4B81CD4A" w14:textId="77777777" w:rsidTr="00516B1F">
        <w:trPr>
          <w:cantSplit/>
          <w:trHeight w:val="254"/>
          <w:jc w:val="center"/>
        </w:trPr>
        <w:tc>
          <w:tcPr>
            <w:tcW w:w="3402" w:type="dxa"/>
            <w:tcBorders>
              <w:top w:val="single" w:sz="4" w:space="0" w:color="auto"/>
              <w:left w:val="single" w:sz="4" w:space="0" w:color="auto"/>
              <w:right w:val="single" w:sz="4" w:space="0" w:color="auto"/>
            </w:tcBorders>
            <w:shd w:val="clear" w:color="auto" w:fill="auto"/>
            <w:noWrap/>
          </w:tcPr>
          <w:p w14:paraId="4A161C8A" w14:textId="47376A98" w:rsidR="00D14B6D" w:rsidRPr="00384864" w:rsidRDefault="00D14B6D" w:rsidP="007E4E54">
            <w:pPr>
              <w:keepNext/>
              <w:spacing w:line="280" w:lineRule="atLeast"/>
              <w:rPr>
                <w:rFonts w:ascii="Arial" w:hAnsi="Arial" w:cs="Arial"/>
                <w:b/>
                <w:bCs/>
                <w:sz w:val="22"/>
                <w:szCs w:val="22"/>
              </w:rPr>
            </w:pPr>
            <w:r w:rsidRPr="00516B1F">
              <w:rPr>
                <w:rFonts w:ascii="Arial" w:hAnsi="Arial" w:cs="Arial"/>
                <w:b/>
                <w:bCs/>
                <w:szCs w:val="22"/>
              </w:rPr>
              <w:lastRenderedPageBreak/>
              <w:t>Table 4: Treasury investment position</w:t>
            </w:r>
          </w:p>
        </w:tc>
        <w:tc>
          <w:tcPr>
            <w:tcW w:w="1417" w:type="dxa"/>
            <w:tcBorders>
              <w:top w:val="single" w:sz="4" w:space="0" w:color="auto"/>
              <w:left w:val="single" w:sz="4" w:space="0" w:color="auto"/>
              <w:right w:val="single" w:sz="4" w:space="0" w:color="auto"/>
            </w:tcBorders>
          </w:tcPr>
          <w:p w14:paraId="0FD3C39E" w14:textId="2AF13422"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31/03/202</w:t>
            </w:r>
            <w:r w:rsidR="00D502B9">
              <w:rPr>
                <w:rFonts w:ascii="Arial" w:hAnsi="Arial" w:cs="Arial"/>
                <w:b/>
                <w:bCs/>
                <w:sz w:val="22"/>
                <w:szCs w:val="22"/>
              </w:rPr>
              <w:t>3</w:t>
            </w:r>
            <w:r w:rsidRPr="00384864">
              <w:rPr>
                <w:rFonts w:ascii="Arial" w:hAnsi="Arial" w:cs="Arial"/>
                <w:b/>
                <w:bCs/>
                <w:sz w:val="22"/>
                <w:szCs w:val="22"/>
              </w:rPr>
              <w:t xml:space="preserve">  </w:t>
            </w:r>
            <w:r w:rsidRPr="00384864">
              <w:rPr>
                <w:rFonts w:ascii="Arial" w:hAnsi="Arial" w:cs="Arial"/>
                <w:b/>
                <w:bCs/>
                <w:sz w:val="22"/>
                <w:szCs w:val="22"/>
              </w:rPr>
              <w:br/>
              <w:t>Balance</w:t>
            </w:r>
          </w:p>
        </w:tc>
        <w:tc>
          <w:tcPr>
            <w:tcW w:w="1417" w:type="dxa"/>
            <w:tcBorders>
              <w:top w:val="single" w:sz="4" w:space="0" w:color="auto"/>
              <w:left w:val="single" w:sz="4" w:space="0" w:color="auto"/>
              <w:right w:val="single" w:sz="4" w:space="0" w:color="auto"/>
            </w:tcBorders>
            <w:shd w:val="clear" w:color="auto" w:fill="auto"/>
          </w:tcPr>
          <w:p w14:paraId="503EC27A" w14:textId="5040953C"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Net movement</w:t>
            </w:r>
          </w:p>
        </w:tc>
        <w:tc>
          <w:tcPr>
            <w:tcW w:w="1417" w:type="dxa"/>
            <w:tcBorders>
              <w:top w:val="single" w:sz="4" w:space="0" w:color="auto"/>
              <w:left w:val="single" w:sz="4" w:space="0" w:color="auto"/>
              <w:right w:val="single" w:sz="4" w:space="0" w:color="auto"/>
            </w:tcBorders>
          </w:tcPr>
          <w:p w14:paraId="7DF22C49" w14:textId="5934EDC0"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0053E2">
              <w:rPr>
                <w:rFonts w:ascii="Arial" w:hAnsi="Arial" w:cs="Arial"/>
                <w:b/>
                <w:bCs/>
                <w:sz w:val="22"/>
                <w:szCs w:val="22"/>
              </w:rPr>
              <w:t>9</w:t>
            </w:r>
            <w:r w:rsidRPr="00384864">
              <w:rPr>
                <w:rFonts w:ascii="Arial" w:hAnsi="Arial" w:cs="Arial"/>
                <w:b/>
                <w:bCs/>
                <w:sz w:val="22"/>
                <w:szCs w:val="22"/>
              </w:rPr>
              <w:t>/202</w:t>
            </w:r>
            <w:r w:rsidR="00234499">
              <w:rPr>
                <w:rFonts w:ascii="Arial" w:hAnsi="Arial" w:cs="Arial"/>
                <w:b/>
                <w:bCs/>
                <w:sz w:val="22"/>
                <w:szCs w:val="22"/>
              </w:rPr>
              <w:t>3</w:t>
            </w:r>
          </w:p>
          <w:p w14:paraId="57F88AE0" w14:textId="08464562"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Balance</w:t>
            </w:r>
          </w:p>
        </w:tc>
        <w:tc>
          <w:tcPr>
            <w:tcW w:w="1417" w:type="dxa"/>
            <w:tcBorders>
              <w:top w:val="single" w:sz="4" w:space="0" w:color="auto"/>
              <w:left w:val="single" w:sz="4" w:space="0" w:color="auto"/>
              <w:right w:val="single" w:sz="4" w:space="0" w:color="auto"/>
            </w:tcBorders>
            <w:shd w:val="clear" w:color="auto" w:fill="auto"/>
          </w:tcPr>
          <w:p w14:paraId="292DDFB9" w14:textId="1826C1BC"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0053E2">
              <w:rPr>
                <w:rFonts w:ascii="Arial" w:hAnsi="Arial" w:cs="Arial"/>
                <w:b/>
                <w:bCs/>
                <w:sz w:val="22"/>
                <w:szCs w:val="22"/>
              </w:rPr>
              <w:t>9</w:t>
            </w:r>
            <w:r w:rsidR="004B5BE1">
              <w:rPr>
                <w:rFonts w:ascii="Arial" w:hAnsi="Arial" w:cs="Arial"/>
                <w:b/>
                <w:bCs/>
                <w:sz w:val="22"/>
                <w:szCs w:val="22"/>
              </w:rPr>
              <w:t>/</w:t>
            </w:r>
            <w:r w:rsidRPr="00384864">
              <w:rPr>
                <w:rFonts w:ascii="Arial" w:hAnsi="Arial" w:cs="Arial"/>
                <w:b/>
                <w:bCs/>
                <w:sz w:val="22"/>
                <w:szCs w:val="22"/>
              </w:rPr>
              <w:t>2</w:t>
            </w:r>
            <w:r w:rsidR="004D7C28">
              <w:rPr>
                <w:rFonts w:ascii="Arial" w:hAnsi="Arial" w:cs="Arial"/>
                <w:b/>
                <w:bCs/>
                <w:sz w:val="22"/>
                <w:szCs w:val="22"/>
              </w:rPr>
              <w:t>3</w:t>
            </w:r>
            <w:r w:rsidRPr="00384864">
              <w:rPr>
                <w:rFonts w:ascii="Arial" w:hAnsi="Arial" w:cs="Arial"/>
                <w:b/>
                <w:bCs/>
                <w:sz w:val="22"/>
                <w:szCs w:val="22"/>
              </w:rPr>
              <w:br/>
              <w:t>Income return</w:t>
            </w:r>
          </w:p>
        </w:tc>
        <w:tc>
          <w:tcPr>
            <w:tcW w:w="1421" w:type="dxa"/>
            <w:tcBorders>
              <w:top w:val="single" w:sz="4" w:space="0" w:color="auto"/>
              <w:left w:val="single" w:sz="4" w:space="0" w:color="auto"/>
              <w:right w:val="single" w:sz="4" w:space="0" w:color="auto"/>
            </w:tcBorders>
            <w:shd w:val="clear" w:color="auto" w:fill="auto"/>
          </w:tcPr>
          <w:p w14:paraId="101D34DD" w14:textId="1FF61C57"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0053E2">
              <w:rPr>
                <w:rFonts w:ascii="Arial" w:hAnsi="Arial" w:cs="Arial"/>
                <w:b/>
                <w:bCs/>
                <w:sz w:val="22"/>
                <w:szCs w:val="22"/>
              </w:rPr>
              <w:t>9</w:t>
            </w:r>
            <w:r w:rsidRPr="00384864">
              <w:rPr>
                <w:rFonts w:ascii="Arial" w:hAnsi="Arial" w:cs="Arial"/>
                <w:b/>
                <w:bCs/>
                <w:sz w:val="22"/>
                <w:szCs w:val="22"/>
              </w:rPr>
              <w:t>/2</w:t>
            </w:r>
            <w:r w:rsidR="004D7C28">
              <w:rPr>
                <w:rFonts w:ascii="Arial" w:hAnsi="Arial" w:cs="Arial"/>
                <w:b/>
                <w:bCs/>
                <w:sz w:val="22"/>
                <w:szCs w:val="22"/>
              </w:rPr>
              <w:t>3</w:t>
            </w:r>
            <w:r w:rsidRPr="00384864">
              <w:rPr>
                <w:rFonts w:ascii="Arial" w:hAnsi="Arial" w:cs="Arial"/>
                <w:b/>
                <w:bCs/>
                <w:sz w:val="22"/>
                <w:szCs w:val="22"/>
              </w:rPr>
              <w:br/>
              <w:t>Weighted average maturity</w:t>
            </w:r>
          </w:p>
        </w:tc>
      </w:tr>
      <w:tr w:rsidR="00D14B6D" w:rsidRPr="00384864" w14:paraId="229E2AA9" w14:textId="77777777" w:rsidTr="00516B1F">
        <w:trPr>
          <w:cantSplit/>
          <w:trHeight w:val="254"/>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6E648EEA" w14:textId="77777777" w:rsidR="00D14B6D" w:rsidRPr="00384864" w:rsidRDefault="00D14B6D" w:rsidP="007E4E54">
            <w:pPr>
              <w:keepNext/>
              <w:spacing w:line="280" w:lineRule="atLeast"/>
              <w:jc w:val="both"/>
              <w:rPr>
                <w:rFonts w:ascii="Arial" w:hAnsi="Arial" w:cs="Arial"/>
                <w:b/>
                <w:bCs/>
                <w:sz w:val="22"/>
                <w:szCs w:val="22"/>
              </w:rPr>
            </w:pPr>
          </w:p>
        </w:tc>
        <w:tc>
          <w:tcPr>
            <w:tcW w:w="1417" w:type="dxa"/>
            <w:tcBorders>
              <w:left w:val="single" w:sz="4" w:space="0" w:color="auto"/>
              <w:bottom w:val="single" w:sz="4" w:space="0" w:color="auto"/>
              <w:right w:val="single" w:sz="4" w:space="0" w:color="auto"/>
            </w:tcBorders>
          </w:tcPr>
          <w:p w14:paraId="473C6DAF" w14:textId="67A1B5C3"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shd w:val="clear" w:color="auto" w:fill="auto"/>
          </w:tcPr>
          <w:p w14:paraId="756567C7" w14:textId="75D18950"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tcPr>
          <w:p w14:paraId="3553D5DC" w14:textId="5F05DE1E"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shd w:val="clear" w:color="auto" w:fill="auto"/>
          </w:tcPr>
          <w:p w14:paraId="37802317" w14:textId="112436B7"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w:t>
            </w:r>
          </w:p>
        </w:tc>
        <w:tc>
          <w:tcPr>
            <w:tcW w:w="1421" w:type="dxa"/>
            <w:tcBorders>
              <w:left w:val="single" w:sz="4" w:space="0" w:color="auto"/>
              <w:bottom w:val="single" w:sz="4" w:space="0" w:color="auto"/>
              <w:right w:val="single" w:sz="4" w:space="0" w:color="auto"/>
            </w:tcBorders>
            <w:shd w:val="clear" w:color="auto" w:fill="auto"/>
          </w:tcPr>
          <w:p w14:paraId="49CEEE70" w14:textId="3502C5DC"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(years)</w:t>
            </w:r>
          </w:p>
        </w:tc>
      </w:tr>
      <w:tr w:rsidR="00D14B6D" w:rsidRPr="00384864" w14:paraId="40655D42" w14:textId="77777777" w:rsidTr="00516B1F">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4DAD62E7" w14:textId="77777777" w:rsidR="00D14B6D" w:rsidRPr="00384864" w:rsidRDefault="00D14B6D" w:rsidP="007E4E54">
            <w:pPr>
              <w:keepNext/>
              <w:rPr>
                <w:rFonts w:ascii="Arial" w:hAnsi="Arial" w:cs="Arial"/>
                <w:b/>
                <w:color w:val="C00000"/>
                <w:sz w:val="22"/>
                <w:szCs w:val="22"/>
              </w:rPr>
            </w:pPr>
            <w:r w:rsidRPr="00384864">
              <w:rPr>
                <w:rFonts w:ascii="Arial" w:hAnsi="Arial" w:cs="Arial"/>
                <w:b/>
                <w:sz w:val="22"/>
                <w:szCs w:val="22"/>
              </w:rPr>
              <w:t xml:space="preserve">Short term investments </w:t>
            </w:r>
          </w:p>
        </w:tc>
        <w:tc>
          <w:tcPr>
            <w:tcW w:w="1417" w:type="dxa"/>
            <w:tcBorders>
              <w:top w:val="single" w:sz="4" w:space="0" w:color="auto"/>
              <w:left w:val="single" w:sz="4" w:space="0" w:color="auto"/>
              <w:right w:val="single" w:sz="4" w:space="0" w:color="auto"/>
            </w:tcBorders>
            <w:vAlign w:val="center"/>
          </w:tcPr>
          <w:p w14:paraId="401BD5BA"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25098014"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tcPr>
          <w:p w14:paraId="4EAC5580"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60E47F27" w14:textId="763E4A11" w:rsidR="00D14B6D" w:rsidRPr="00384864" w:rsidRDefault="00D14B6D" w:rsidP="007E4E54">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38EEE8CA" w14:textId="77777777" w:rsidR="00D14B6D" w:rsidRPr="00384864" w:rsidRDefault="00D14B6D" w:rsidP="007E4E54">
            <w:pPr>
              <w:keepNext/>
              <w:jc w:val="right"/>
              <w:rPr>
                <w:rFonts w:ascii="Arial" w:hAnsi="Arial" w:cs="Arial"/>
                <w:sz w:val="22"/>
                <w:szCs w:val="22"/>
              </w:rPr>
            </w:pPr>
          </w:p>
        </w:tc>
      </w:tr>
      <w:tr w:rsidR="00D14B6D" w:rsidRPr="00384864" w14:paraId="2B77654F"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0BB77895" w14:textId="017AC461" w:rsidR="00D14B6D" w:rsidRPr="00384864" w:rsidRDefault="00D14B6D" w:rsidP="00A577A4">
            <w:pPr>
              <w:keepNext/>
              <w:tabs>
                <w:tab w:val="left" w:pos="288"/>
              </w:tabs>
              <w:rPr>
                <w:rFonts w:ascii="Arial" w:hAnsi="Arial" w:cs="Arial"/>
                <w:bCs/>
                <w:sz w:val="22"/>
                <w:szCs w:val="22"/>
              </w:rPr>
            </w:pPr>
            <w:r w:rsidRPr="00384864">
              <w:rPr>
                <w:rFonts w:ascii="Arial" w:hAnsi="Arial" w:cs="Arial"/>
                <w:bCs/>
                <w:sz w:val="22"/>
                <w:szCs w:val="22"/>
              </w:rPr>
              <w:t>Banks and building societies</w:t>
            </w:r>
            <w:r w:rsidR="00A577A4" w:rsidRPr="00384864">
              <w:rPr>
                <w:rFonts w:ascii="Arial" w:hAnsi="Arial" w:cs="Arial"/>
                <w:bCs/>
                <w:sz w:val="22"/>
                <w:szCs w:val="22"/>
              </w:rPr>
              <w:t>:</w:t>
            </w:r>
          </w:p>
        </w:tc>
        <w:tc>
          <w:tcPr>
            <w:tcW w:w="1417" w:type="dxa"/>
            <w:tcBorders>
              <w:left w:val="single" w:sz="4" w:space="0" w:color="auto"/>
              <w:right w:val="single" w:sz="4" w:space="0" w:color="auto"/>
            </w:tcBorders>
            <w:vAlign w:val="center"/>
          </w:tcPr>
          <w:p w14:paraId="0A042F53"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5A221CBF"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tcPr>
          <w:p w14:paraId="3AD87496"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77A79E37" w14:textId="43089211" w:rsidR="00D14B6D" w:rsidRPr="00384864" w:rsidRDefault="00D14B6D" w:rsidP="007E4E54">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746D9844" w14:textId="77777777" w:rsidR="00D14B6D" w:rsidRPr="00384864" w:rsidRDefault="00D14B6D" w:rsidP="007E4E54">
            <w:pPr>
              <w:keepNext/>
              <w:jc w:val="right"/>
              <w:rPr>
                <w:rFonts w:ascii="Arial" w:hAnsi="Arial" w:cs="Arial"/>
                <w:sz w:val="22"/>
                <w:szCs w:val="22"/>
              </w:rPr>
            </w:pPr>
          </w:p>
        </w:tc>
      </w:tr>
      <w:tr w:rsidR="00F54943" w:rsidRPr="00384864" w14:paraId="483FB46F"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1E76643D" w14:textId="77777777"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Unsecured</w:t>
            </w:r>
          </w:p>
        </w:tc>
        <w:tc>
          <w:tcPr>
            <w:tcW w:w="1417" w:type="dxa"/>
            <w:tcBorders>
              <w:left w:val="single" w:sz="4" w:space="0" w:color="auto"/>
              <w:right w:val="single" w:sz="4" w:space="0" w:color="auto"/>
            </w:tcBorders>
            <w:vAlign w:val="center"/>
          </w:tcPr>
          <w:p w14:paraId="55DEB03F" w14:textId="3648C7CF" w:rsidR="00F54943" w:rsidRPr="00384864" w:rsidRDefault="00F54943" w:rsidP="00F54943">
            <w:pPr>
              <w:keepNext/>
              <w:jc w:val="right"/>
              <w:rPr>
                <w:rFonts w:ascii="Arial" w:hAnsi="Arial" w:cs="Arial"/>
                <w:sz w:val="22"/>
                <w:szCs w:val="22"/>
              </w:rPr>
            </w:pPr>
            <w:r>
              <w:rPr>
                <w:rFonts w:ascii="Arial" w:hAnsi="Arial" w:cs="Arial"/>
                <w:color w:val="000000"/>
                <w:sz w:val="22"/>
                <w:szCs w:val="22"/>
              </w:rPr>
              <w:t>6.3</w:t>
            </w:r>
          </w:p>
        </w:tc>
        <w:tc>
          <w:tcPr>
            <w:tcW w:w="1417" w:type="dxa"/>
            <w:tcBorders>
              <w:left w:val="single" w:sz="4" w:space="0" w:color="auto"/>
              <w:right w:val="single" w:sz="4" w:space="0" w:color="auto"/>
            </w:tcBorders>
            <w:shd w:val="clear" w:color="auto" w:fill="auto"/>
            <w:vAlign w:val="center"/>
          </w:tcPr>
          <w:p w14:paraId="20A6E84B" w14:textId="5AE60BD3" w:rsidR="00F54943" w:rsidRPr="00384864" w:rsidRDefault="00086CF9" w:rsidP="00F54943">
            <w:pPr>
              <w:keepNext/>
              <w:jc w:val="right"/>
              <w:rPr>
                <w:rFonts w:ascii="Arial" w:hAnsi="Arial" w:cs="Arial"/>
                <w:sz w:val="22"/>
                <w:szCs w:val="22"/>
              </w:rPr>
            </w:pPr>
            <w:r>
              <w:rPr>
                <w:rFonts w:ascii="Arial" w:hAnsi="Arial" w:cs="Arial"/>
                <w:color w:val="000000"/>
                <w:sz w:val="22"/>
                <w:szCs w:val="22"/>
              </w:rPr>
              <w:t>(</w:t>
            </w:r>
            <w:r w:rsidR="00F54943">
              <w:rPr>
                <w:rFonts w:ascii="Arial" w:hAnsi="Arial" w:cs="Arial"/>
                <w:color w:val="000000"/>
                <w:sz w:val="22"/>
                <w:szCs w:val="22"/>
              </w:rPr>
              <w:t>1.0</w:t>
            </w:r>
            <w:r>
              <w:rPr>
                <w:rFonts w:ascii="Arial" w:hAnsi="Arial" w:cs="Arial"/>
                <w:color w:val="000000"/>
                <w:sz w:val="22"/>
                <w:szCs w:val="22"/>
              </w:rPr>
              <w:t>)</w:t>
            </w:r>
          </w:p>
        </w:tc>
        <w:tc>
          <w:tcPr>
            <w:tcW w:w="1417" w:type="dxa"/>
            <w:tcBorders>
              <w:left w:val="single" w:sz="4" w:space="0" w:color="auto"/>
              <w:right w:val="single" w:sz="4" w:space="0" w:color="auto"/>
            </w:tcBorders>
            <w:vAlign w:val="center"/>
          </w:tcPr>
          <w:p w14:paraId="36ECAF79" w14:textId="2A4C098F" w:rsidR="00F54943" w:rsidRPr="00384864" w:rsidRDefault="00F54943" w:rsidP="00F54943">
            <w:pPr>
              <w:keepNext/>
              <w:jc w:val="right"/>
              <w:rPr>
                <w:rFonts w:ascii="Arial" w:hAnsi="Arial" w:cs="Arial"/>
                <w:sz w:val="22"/>
                <w:szCs w:val="22"/>
              </w:rPr>
            </w:pPr>
            <w:r>
              <w:rPr>
                <w:rFonts w:ascii="Arial" w:hAnsi="Arial" w:cs="Arial"/>
                <w:color w:val="000000"/>
                <w:sz w:val="22"/>
                <w:szCs w:val="22"/>
              </w:rPr>
              <w:t>5.3</w:t>
            </w:r>
          </w:p>
        </w:tc>
        <w:tc>
          <w:tcPr>
            <w:tcW w:w="1417" w:type="dxa"/>
            <w:tcBorders>
              <w:left w:val="single" w:sz="4" w:space="0" w:color="auto"/>
              <w:right w:val="single" w:sz="4" w:space="0" w:color="auto"/>
            </w:tcBorders>
            <w:shd w:val="clear" w:color="auto" w:fill="auto"/>
            <w:vAlign w:val="center"/>
          </w:tcPr>
          <w:p w14:paraId="7516BFA5" w14:textId="188760D7" w:rsidR="00F54943" w:rsidRPr="00384864" w:rsidRDefault="00F54943" w:rsidP="00F54943">
            <w:pPr>
              <w:keepNext/>
              <w:jc w:val="right"/>
              <w:rPr>
                <w:rFonts w:ascii="Arial" w:hAnsi="Arial" w:cs="Arial"/>
                <w:sz w:val="22"/>
                <w:szCs w:val="22"/>
              </w:rPr>
            </w:pPr>
            <w:r>
              <w:rPr>
                <w:rFonts w:ascii="Arial" w:hAnsi="Arial" w:cs="Arial"/>
                <w:color w:val="000000"/>
                <w:sz w:val="22"/>
                <w:szCs w:val="22"/>
              </w:rPr>
              <w:t>4.46</w:t>
            </w:r>
          </w:p>
        </w:tc>
        <w:tc>
          <w:tcPr>
            <w:tcW w:w="1421" w:type="dxa"/>
            <w:tcBorders>
              <w:left w:val="single" w:sz="4" w:space="0" w:color="auto"/>
              <w:right w:val="single" w:sz="4" w:space="0" w:color="auto"/>
            </w:tcBorders>
            <w:shd w:val="clear" w:color="auto" w:fill="auto"/>
            <w:vAlign w:val="center"/>
          </w:tcPr>
          <w:p w14:paraId="04C30266" w14:textId="7997E3C3" w:rsidR="00F54943" w:rsidRPr="00384864" w:rsidRDefault="00F54943" w:rsidP="00F54943">
            <w:pPr>
              <w:keepNext/>
              <w:jc w:val="right"/>
              <w:rPr>
                <w:rFonts w:ascii="Arial" w:hAnsi="Arial" w:cs="Arial"/>
                <w:sz w:val="22"/>
                <w:szCs w:val="22"/>
              </w:rPr>
            </w:pPr>
            <w:r>
              <w:rPr>
                <w:rFonts w:ascii="Arial" w:hAnsi="Arial" w:cs="Arial"/>
                <w:color w:val="000000"/>
                <w:sz w:val="22"/>
                <w:szCs w:val="22"/>
              </w:rPr>
              <w:t>2.39</w:t>
            </w:r>
          </w:p>
        </w:tc>
      </w:tr>
      <w:tr w:rsidR="00F54943" w:rsidRPr="00384864" w14:paraId="350D9E9B"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4EF9D4B3" w14:textId="77777777"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Secured</w:t>
            </w:r>
          </w:p>
        </w:tc>
        <w:tc>
          <w:tcPr>
            <w:tcW w:w="1417" w:type="dxa"/>
            <w:tcBorders>
              <w:left w:val="single" w:sz="4" w:space="0" w:color="auto"/>
              <w:right w:val="single" w:sz="4" w:space="0" w:color="auto"/>
            </w:tcBorders>
            <w:vAlign w:val="center"/>
          </w:tcPr>
          <w:p w14:paraId="52C2C174" w14:textId="36711F35" w:rsidR="00F54943" w:rsidRPr="00384864" w:rsidRDefault="00F54943" w:rsidP="00F54943">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right w:val="single" w:sz="4" w:space="0" w:color="auto"/>
            </w:tcBorders>
            <w:shd w:val="clear" w:color="auto" w:fill="auto"/>
            <w:vAlign w:val="center"/>
          </w:tcPr>
          <w:p w14:paraId="7BC54693" w14:textId="6BEA5B16" w:rsidR="00F54943" w:rsidRPr="00384864" w:rsidRDefault="00F54943" w:rsidP="00F54943">
            <w:pPr>
              <w:keepNext/>
              <w:jc w:val="right"/>
              <w:rPr>
                <w:rFonts w:ascii="Arial" w:hAnsi="Arial" w:cs="Arial"/>
                <w:sz w:val="22"/>
                <w:szCs w:val="22"/>
              </w:rPr>
            </w:pPr>
            <w:r>
              <w:rPr>
                <w:rFonts w:ascii="Arial" w:hAnsi="Arial" w:cs="Arial"/>
                <w:color w:val="000000"/>
                <w:sz w:val="22"/>
                <w:szCs w:val="22"/>
              </w:rPr>
              <w:t>3.6</w:t>
            </w:r>
          </w:p>
        </w:tc>
        <w:tc>
          <w:tcPr>
            <w:tcW w:w="1417" w:type="dxa"/>
            <w:tcBorders>
              <w:left w:val="single" w:sz="4" w:space="0" w:color="auto"/>
              <w:right w:val="single" w:sz="4" w:space="0" w:color="auto"/>
            </w:tcBorders>
            <w:vAlign w:val="center"/>
          </w:tcPr>
          <w:p w14:paraId="4A3358AF" w14:textId="7E141A87" w:rsidR="00F54943" w:rsidRPr="00384864" w:rsidRDefault="00F54943" w:rsidP="00F54943">
            <w:pPr>
              <w:keepNext/>
              <w:jc w:val="right"/>
              <w:rPr>
                <w:rFonts w:ascii="Arial" w:hAnsi="Arial" w:cs="Arial"/>
                <w:sz w:val="22"/>
                <w:szCs w:val="22"/>
              </w:rPr>
            </w:pPr>
            <w:r>
              <w:rPr>
                <w:rFonts w:ascii="Arial" w:hAnsi="Arial" w:cs="Arial"/>
                <w:color w:val="000000"/>
                <w:sz w:val="22"/>
                <w:szCs w:val="22"/>
              </w:rPr>
              <w:t>3.6</w:t>
            </w:r>
          </w:p>
        </w:tc>
        <w:tc>
          <w:tcPr>
            <w:tcW w:w="1417" w:type="dxa"/>
            <w:tcBorders>
              <w:left w:val="single" w:sz="4" w:space="0" w:color="auto"/>
              <w:right w:val="single" w:sz="4" w:space="0" w:color="auto"/>
            </w:tcBorders>
            <w:shd w:val="clear" w:color="auto" w:fill="auto"/>
            <w:vAlign w:val="center"/>
          </w:tcPr>
          <w:p w14:paraId="37A47F9B" w14:textId="213B2C52" w:rsidR="00F54943" w:rsidRPr="00384864" w:rsidRDefault="00F54943" w:rsidP="00F54943">
            <w:pPr>
              <w:keepNext/>
              <w:jc w:val="right"/>
              <w:rPr>
                <w:rFonts w:ascii="Arial" w:hAnsi="Arial" w:cs="Arial"/>
                <w:sz w:val="22"/>
                <w:szCs w:val="22"/>
              </w:rPr>
            </w:pPr>
            <w:r>
              <w:rPr>
                <w:rFonts w:ascii="Arial" w:hAnsi="Arial" w:cs="Arial"/>
                <w:color w:val="000000"/>
                <w:sz w:val="22"/>
                <w:szCs w:val="22"/>
              </w:rPr>
              <w:t>5.44</w:t>
            </w:r>
          </w:p>
        </w:tc>
        <w:tc>
          <w:tcPr>
            <w:tcW w:w="1421" w:type="dxa"/>
            <w:tcBorders>
              <w:left w:val="single" w:sz="4" w:space="0" w:color="auto"/>
              <w:right w:val="single" w:sz="4" w:space="0" w:color="auto"/>
            </w:tcBorders>
            <w:shd w:val="clear" w:color="auto" w:fill="auto"/>
            <w:vAlign w:val="center"/>
          </w:tcPr>
          <w:p w14:paraId="3CC03713" w14:textId="46EEF1BE" w:rsidR="00F54943" w:rsidRPr="00384864" w:rsidRDefault="00F54943" w:rsidP="00F54943">
            <w:pPr>
              <w:keepNext/>
              <w:jc w:val="right"/>
              <w:rPr>
                <w:rFonts w:ascii="Arial" w:hAnsi="Arial" w:cs="Arial"/>
                <w:sz w:val="22"/>
                <w:szCs w:val="22"/>
              </w:rPr>
            </w:pPr>
            <w:r>
              <w:rPr>
                <w:rFonts w:ascii="Arial" w:hAnsi="Arial" w:cs="Arial"/>
                <w:color w:val="000000"/>
                <w:sz w:val="22"/>
                <w:szCs w:val="22"/>
              </w:rPr>
              <w:t>0.29</w:t>
            </w:r>
          </w:p>
        </w:tc>
      </w:tr>
      <w:tr w:rsidR="00F54943" w:rsidRPr="00384864" w14:paraId="7F4E9D85"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668A7DD1" w14:textId="03ABBB55" w:rsidR="00F54943" w:rsidRPr="00384864" w:rsidRDefault="00F54943" w:rsidP="00F54943">
            <w:pPr>
              <w:keepNext/>
              <w:rPr>
                <w:rFonts w:ascii="Arial" w:hAnsi="Arial" w:cs="Arial"/>
                <w:bCs/>
                <w:sz w:val="22"/>
                <w:szCs w:val="22"/>
              </w:rPr>
            </w:pPr>
            <w:r w:rsidRPr="00384864">
              <w:rPr>
                <w:rFonts w:ascii="Arial" w:hAnsi="Arial" w:cs="Arial"/>
                <w:bCs/>
                <w:sz w:val="22"/>
                <w:szCs w:val="22"/>
              </w:rPr>
              <w:t>Money market funds</w:t>
            </w:r>
          </w:p>
        </w:tc>
        <w:tc>
          <w:tcPr>
            <w:tcW w:w="1417" w:type="dxa"/>
            <w:tcBorders>
              <w:left w:val="single" w:sz="4" w:space="0" w:color="auto"/>
              <w:right w:val="single" w:sz="4" w:space="0" w:color="auto"/>
            </w:tcBorders>
            <w:vAlign w:val="center"/>
          </w:tcPr>
          <w:p w14:paraId="25466E84" w14:textId="025844CF" w:rsidR="00F54943" w:rsidRPr="00384864" w:rsidRDefault="00F54943" w:rsidP="00F54943">
            <w:pPr>
              <w:keepNext/>
              <w:jc w:val="right"/>
              <w:rPr>
                <w:rFonts w:ascii="Arial" w:hAnsi="Arial" w:cs="Arial"/>
                <w:sz w:val="22"/>
                <w:szCs w:val="22"/>
              </w:rPr>
            </w:pPr>
            <w:r>
              <w:rPr>
                <w:rFonts w:ascii="Arial" w:hAnsi="Arial" w:cs="Arial"/>
                <w:color w:val="000000"/>
                <w:sz w:val="22"/>
                <w:szCs w:val="22"/>
              </w:rPr>
              <w:t>65.5</w:t>
            </w:r>
          </w:p>
        </w:tc>
        <w:tc>
          <w:tcPr>
            <w:tcW w:w="1417" w:type="dxa"/>
            <w:tcBorders>
              <w:left w:val="single" w:sz="4" w:space="0" w:color="auto"/>
              <w:right w:val="single" w:sz="4" w:space="0" w:color="auto"/>
            </w:tcBorders>
            <w:shd w:val="clear" w:color="auto" w:fill="auto"/>
            <w:vAlign w:val="center"/>
          </w:tcPr>
          <w:p w14:paraId="1090C75B" w14:textId="57A9DC61" w:rsidR="00F54943" w:rsidRPr="00384864" w:rsidRDefault="00AC086A" w:rsidP="00F54943">
            <w:pPr>
              <w:keepNext/>
              <w:jc w:val="right"/>
              <w:rPr>
                <w:rFonts w:ascii="Arial" w:hAnsi="Arial" w:cs="Arial"/>
                <w:sz w:val="22"/>
                <w:szCs w:val="22"/>
              </w:rPr>
            </w:pPr>
            <w:r>
              <w:rPr>
                <w:rFonts w:ascii="Arial" w:hAnsi="Arial" w:cs="Arial"/>
                <w:color w:val="000000"/>
                <w:sz w:val="22"/>
                <w:szCs w:val="22"/>
              </w:rPr>
              <w:t>(</w:t>
            </w:r>
            <w:r w:rsidR="00F54943">
              <w:rPr>
                <w:rFonts w:ascii="Arial" w:hAnsi="Arial" w:cs="Arial"/>
                <w:color w:val="000000"/>
                <w:sz w:val="22"/>
                <w:szCs w:val="22"/>
              </w:rPr>
              <w:t>29.0</w:t>
            </w:r>
            <w:r>
              <w:rPr>
                <w:rFonts w:ascii="Arial" w:hAnsi="Arial" w:cs="Arial"/>
                <w:color w:val="000000"/>
                <w:sz w:val="22"/>
                <w:szCs w:val="22"/>
              </w:rPr>
              <w:t>)</w:t>
            </w:r>
          </w:p>
        </w:tc>
        <w:tc>
          <w:tcPr>
            <w:tcW w:w="1417" w:type="dxa"/>
            <w:tcBorders>
              <w:left w:val="single" w:sz="4" w:space="0" w:color="auto"/>
              <w:right w:val="single" w:sz="4" w:space="0" w:color="auto"/>
            </w:tcBorders>
            <w:vAlign w:val="center"/>
          </w:tcPr>
          <w:p w14:paraId="757BBDB3" w14:textId="0D25E7D0" w:rsidR="00F54943" w:rsidRPr="00384864" w:rsidRDefault="00F54943" w:rsidP="00F54943">
            <w:pPr>
              <w:keepNext/>
              <w:jc w:val="right"/>
              <w:rPr>
                <w:rFonts w:ascii="Arial" w:hAnsi="Arial" w:cs="Arial"/>
                <w:sz w:val="22"/>
                <w:szCs w:val="22"/>
              </w:rPr>
            </w:pPr>
            <w:r>
              <w:rPr>
                <w:rFonts w:ascii="Arial" w:hAnsi="Arial" w:cs="Arial"/>
                <w:color w:val="000000"/>
                <w:sz w:val="22"/>
                <w:szCs w:val="22"/>
              </w:rPr>
              <w:t>36.5</w:t>
            </w:r>
          </w:p>
        </w:tc>
        <w:tc>
          <w:tcPr>
            <w:tcW w:w="1417" w:type="dxa"/>
            <w:tcBorders>
              <w:left w:val="single" w:sz="4" w:space="0" w:color="auto"/>
              <w:right w:val="single" w:sz="4" w:space="0" w:color="auto"/>
            </w:tcBorders>
            <w:shd w:val="clear" w:color="auto" w:fill="auto"/>
            <w:vAlign w:val="center"/>
          </w:tcPr>
          <w:p w14:paraId="3B108ACD" w14:textId="2714B466" w:rsidR="00F54943" w:rsidRPr="00384864" w:rsidRDefault="00F54943" w:rsidP="00F54943">
            <w:pPr>
              <w:keepNext/>
              <w:jc w:val="right"/>
              <w:rPr>
                <w:rFonts w:ascii="Arial" w:hAnsi="Arial" w:cs="Arial"/>
                <w:sz w:val="22"/>
                <w:szCs w:val="22"/>
              </w:rPr>
            </w:pPr>
            <w:r>
              <w:rPr>
                <w:rFonts w:ascii="Arial" w:hAnsi="Arial" w:cs="Arial"/>
                <w:color w:val="000000"/>
                <w:sz w:val="22"/>
                <w:szCs w:val="22"/>
              </w:rPr>
              <w:t>5.29</w:t>
            </w:r>
          </w:p>
        </w:tc>
        <w:tc>
          <w:tcPr>
            <w:tcW w:w="1421" w:type="dxa"/>
            <w:tcBorders>
              <w:left w:val="single" w:sz="4" w:space="0" w:color="auto"/>
              <w:right w:val="single" w:sz="4" w:space="0" w:color="auto"/>
            </w:tcBorders>
            <w:shd w:val="clear" w:color="auto" w:fill="auto"/>
            <w:vAlign w:val="center"/>
          </w:tcPr>
          <w:p w14:paraId="04A9C09B" w14:textId="61A7F542" w:rsidR="00F54943" w:rsidRPr="00384864" w:rsidRDefault="00F54943" w:rsidP="00F54943">
            <w:pPr>
              <w:keepNext/>
              <w:jc w:val="right"/>
              <w:rPr>
                <w:rFonts w:ascii="Arial" w:hAnsi="Arial" w:cs="Arial"/>
                <w:sz w:val="22"/>
                <w:szCs w:val="22"/>
              </w:rPr>
            </w:pPr>
            <w:r>
              <w:rPr>
                <w:rFonts w:ascii="Arial" w:hAnsi="Arial" w:cs="Arial"/>
                <w:color w:val="000000"/>
                <w:sz w:val="22"/>
                <w:szCs w:val="22"/>
              </w:rPr>
              <w:t>0.00</w:t>
            </w:r>
          </w:p>
        </w:tc>
      </w:tr>
      <w:tr w:rsidR="00F54943" w:rsidRPr="00384864" w14:paraId="4E7C6917"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3D377B89" w14:textId="5B3A34A8" w:rsidR="00F54943" w:rsidRPr="00384864" w:rsidRDefault="00F54943" w:rsidP="00F54943">
            <w:pPr>
              <w:keepNext/>
              <w:rPr>
                <w:rFonts w:ascii="Arial" w:hAnsi="Arial" w:cs="Arial"/>
                <w:bCs/>
                <w:sz w:val="22"/>
                <w:szCs w:val="22"/>
              </w:rPr>
            </w:pPr>
            <w:r w:rsidRPr="00384864">
              <w:rPr>
                <w:rFonts w:ascii="Arial" w:hAnsi="Arial" w:cs="Arial"/>
                <w:bCs/>
                <w:sz w:val="22"/>
                <w:szCs w:val="22"/>
              </w:rPr>
              <w:t>Government:</w:t>
            </w:r>
          </w:p>
        </w:tc>
        <w:tc>
          <w:tcPr>
            <w:tcW w:w="1417" w:type="dxa"/>
            <w:tcBorders>
              <w:left w:val="single" w:sz="4" w:space="0" w:color="auto"/>
              <w:right w:val="single" w:sz="4" w:space="0" w:color="auto"/>
            </w:tcBorders>
            <w:vAlign w:val="center"/>
          </w:tcPr>
          <w:p w14:paraId="148AFB42" w14:textId="0378D05A"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shd w:val="clear" w:color="auto" w:fill="auto"/>
            <w:vAlign w:val="center"/>
          </w:tcPr>
          <w:p w14:paraId="32D5C734" w14:textId="4CDDCB56"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vAlign w:val="center"/>
          </w:tcPr>
          <w:p w14:paraId="4E47E085" w14:textId="73CE7662"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shd w:val="clear" w:color="auto" w:fill="auto"/>
            <w:vAlign w:val="center"/>
          </w:tcPr>
          <w:p w14:paraId="367D24DC" w14:textId="52A08D21"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21" w:type="dxa"/>
            <w:tcBorders>
              <w:left w:val="single" w:sz="4" w:space="0" w:color="auto"/>
              <w:right w:val="single" w:sz="4" w:space="0" w:color="auto"/>
            </w:tcBorders>
            <w:shd w:val="clear" w:color="auto" w:fill="auto"/>
            <w:vAlign w:val="center"/>
          </w:tcPr>
          <w:p w14:paraId="79FBDDE4" w14:textId="74530AD2"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r>
      <w:tr w:rsidR="00F54943" w:rsidRPr="00384864" w14:paraId="50A7E43A"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05FE05C2" w14:textId="6C66B17E"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Local authorities</w:t>
            </w:r>
          </w:p>
        </w:tc>
        <w:tc>
          <w:tcPr>
            <w:tcW w:w="1417" w:type="dxa"/>
            <w:tcBorders>
              <w:left w:val="single" w:sz="4" w:space="0" w:color="auto"/>
              <w:right w:val="single" w:sz="4" w:space="0" w:color="auto"/>
            </w:tcBorders>
            <w:vAlign w:val="center"/>
          </w:tcPr>
          <w:p w14:paraId="75D0E79D" w14:textId="29C0F2BB" w:rsidR="00F54943" w:rsidRPr="00384864" w:rsidRDefault="00F54943" w:rsidP="00F54943">
            <w:pPr>
              <w:keepNext/>
              <w:jc w:val="right"/>
              <w:rPr>
                <w:rFonts w:ascii="Arial" w:hAnsi="Arial" w:cs="Arial"/>
                <w:sz w:val="22"/>
                <w:szCs w:val="22"/>
              </w:rPr>
            </w:pPr>
            <w:r>
              <w:rPr>
                <w:rFonts w:ascii="Arial" w:hAnsi="Arial" w:cs="Arial"/>
                <w:color w:val="000000"/>
                <w:sz w:val="22"/>
                <w:szCs w:val="22"/>
              </w:rPr>
              <w:t>7.0</w:t>
            </w:r>
          </w:p>
        </w:tc>
        <w:tc>
          <w:tcPr>
            <w:tcW w:w="1417" w:type="dxa"/>
            <w:tcBorders>
              <w:left w:val="single" w:sz="4" w:space="0" w:color="auto"/>
              <w:right w:val="single" w:sz="4" w:space="0" w:color="auto"/>
            </w:tcBorders>
            <w:shd w:val="clear" w:color="auto" w:fill="auto"/>
            <w:vAlign w:val="center"/>
          </w:tcPr>
          <w:p w14:paraId="27798C66" w14:textId="525CAD13" w:rsidR="00F54943" w:rsidRPr="00384864" w:rsidRDefault="00F54943" w:rsidP="00F54943">
            <w:pPr>
              <w:keepNext/>
              <w:jc w:val="right"/>
              <w:rPr>
                <w:rFonts w:ascii="Arial" w:hAnsi="Arial" w:cs="Arial"/>
                <w:sz w:val="22"/>
                <w:szCs w:val="22"/>
              </w:rPr>
            </w:pPr>
            <w:r>
              <w:rPr>
                <w:rFonts w:ascii="Arial" w:hAnsi="Arial" w:cs="Arial"/>
                <w:color w:val="000000"/>
                <w:sz w:val="22"/>
                <w:szCs w:val="22"/>
              </w:rPr>
              <w:t>18.5</w:t>
            </w:r>
          </w:p>
        </w:tc>
        <w:tc>
          <w:tcPr>
            <w:tcW w:w="1417" w:type="dxa"/>
            <w:tcBorders>
              <w:left w:val="single" w:sz="4" w:space="0" w:color="auto"/>
              <w:right w:val="single" w:sz="4" w:space="0" w:color="auto"/>
            </w:tcBorders>
            <w:vAlign w:val="center"/>
          </w:tcPr>
          <w:p w14:paraId="459DADDA" w14:textId="71BC7C0A" w:rsidR="00F54943" w:rsidRPr="00384864" w:rsidRDefault="00F54943" w:rsidP="00F54943">
            <w:pPr>
              <w:keepNext/>
              <w:jc w:val="right"/>
              <w:rPr>
                <w:rFonts w:ascii="Arial" w:hAnsi="Arial" w:cs="Arial"/>
                <w:sz w:val="22"/>
                <w:szCs w:val="22"/>
              </w:rPr>
            </w:pPr>
            <w:r>
              <w:rPr>
                <w:rFonts w:ascii="Arial" w:hAnsi="Arial" w:cs="Arial"/>
                <w:color w:val="000000"/>
                <w:sz w:val="22"/>
                <w:szCs w:val="22"/>
              </w:rPr>
              <w:t>25.5</w:t>
            </w:r>
          </w:p>
        </w:tc>
        <w:tc>
          <w:tcPr>
            <w:tcW w:w="1417" w:type="dxa"/>
            <w:tcBorders>
              <w:left w:val="single" w:sz="4" w:space="0" w:color="auto"/>
              <w:right w:val="single" w:sz="4" w:space="0" w:color="auto"/>
            </w:tcBorders>
            <w:shd w:val="clear" w:color="auto" w:fill="auto"/>
            <w:vAlign w:val="center"/>
          </w:tcPr>
          <w:p w14:paraId="4D0E0D97" w14:textId="0F38FE0A" w:rsidR="00F54943" w:rsidRPr="00384864" w:rsidRDefault="00F54943" w:rsidP="00F54943">
            <w:pPr>
              <w:keepNext/>
              <w:jc w:val="right"/>
              <w:rPr>
                <w:rFonts w:ascii="Arial" w:hAnsi="Arial" w:cs="Arial"/>
                <w:sz w:val="22"/>
                <w:szCs w:val="22"/>
              </w:rPr>
            </w:pPr>
            <w:r>
              <w:rPr>
                <w:rFonts w:ascii="Arial" w:hAnsi="Arial" w:cs="Arial"/>
                <w:color w:val="000000"/>
                <w:sz w:val="22"/>
                <w:szCs w:val="22"/>
              </w:rPr>
              <w:t>5.17</w:t>
            </w:r>
          </w:p>
        </w:tc>
        <w:tc>
          <w:tcPr>
            <w:tcW w:w="1421" w:type="dxa"/>
            <w:tcBorders>
              <w:left w:val="single" w:sz="4" w:space="0" w:color="auto"/>
              <w:right w:val="single" w:sz="4" w:space="0" w:color="auto"/>
            </w:tcBorders>
            <w:shd w:val="clear" w:color="auto" w:fill="auto"/>
            <w:vAlign w:val="center"/>
          </w:tcPr>
          <w:p w14:paraId="2F2C46E1" w14:textId="1777F1A9" w:rsidR="00F54943" w:rsidRPr="00384864" w:rsidRDefault="00F54943" w:rsidP="00F54943">
            <w:pPr>
              <w:keepNext/>
              <w:jc w:val="right"/>
              <w:rPr>
                <w:rFonts w:ascii="Arial" w:hAnsi="Arial" w:cs="Arial"/>
                <w:sz w:val="22"/>
                <w:szCs w:val="22"/>
              </w:rPr>
            </w:pPr>
            <w:r>
              <w:rPr>
                <w:rFonts w:ascii="Arial" w:hAnsi="Arial" w:cs="Arial"/>
                <w:color w:val="000000"/>
                <w:sz w:val="22"/>
                <w:szCs w:val="22"/>
              </w:rPr>
              <w:t>0.53</w:t>
            </w:r>
          </w:p>
        </w:tc>
      </w:tr>
      <w:tr w:rsidR="00F54943" w:rsidRPr="00384864" w14:paraId="313572E4"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1DF37423" w14:textId="5405B53A"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Treasury bills</w:t>
            </w:r>
          </w:p>
        </w:tc>
        <w:tc>
          <w:tcPr>
            <w:tcW w:w="1417" w:type="dxa"/>
            <w:tcBorders>
              <w:left w:val="single" w:sz="4" w:space="0" w:color="auto"/>
              <w:right w:val="single" w:sz="4" w:space="0" w:color="auto"/>
            </w:tcBorders>
            <w:vAlign w:val="center"/>
          </w:tcPr>
          <w:p w14:paraId="1FBB2B66" w14:textId="68826695" w:rsidR="00F54943" w:rsidRPr="00384864" w:rsidRDefault="00F54943" w:rsidP="00F54943">
            <w:pPr>
              <w:keepNext/>
              <w:jc w:val="right"/>
              <w:rPr>
                <w:rFonts w:ascii="Arial" w:hAnsi="Arial" w:cs="Arial"/>
                <w:sz w:val="22"/>
                <w:szCs w:val="22"/>
              </w:rPr>
            </w:pPr>
            <w:r>
              <w:rPr>
                <w:rFonts w:ascii="Arial" w:hAnsi="Arial" w:cs="Arial"/>
                <w:color w:val="000000"/>
                <w:sz w:val="22"/>
                <w:szCs w:val="22"/>
              </w:rPr>
              <w:t>13.0</w:t>
            </w:r>
          </w:p>
        </w:tc>
        <w:tc>
          <w:tcPr>
            <w:tcW w:w="1417" w:type="dxa"/>
            <w:tcBorders>
              <w:left w:val="single" w:sz="4" w:space="0" w:color="auto"/>
              <w:right w:val="single" w:sz="4" w:space="0" w:color="auto"/>
            </w:tcBorders>
            <w:shd w:val="clear" w:color="auto" w:fill="auto"/>
            <w:vAlign w:val="center"/>
          </w:tcPr>
          <w:p w14:paraId="6A7CA2DF" w14:textId="220EB473" w:rsidR="00F54943" w:rsidRPr="00384864" w:rsidRDefault="00F54943" w:rsidP="00F54943">
            <w:pPr>
              <w:keepNext/>
              <w:jc w:val="right"/>
              <w:rPr>
                <w:rFonts w:ascii="Arial" w:hAnsi="Arial" w:cs="Arial"/>
                <w:sz w:val="22"/>
                <w:szCs w:val="22"/>
              </w:rPr>
            </w:pPr>
            <w:r>
              <w:rPr>
                <w:rFonts w:ascii="Arial" w:hAnsi="Arial" w:cs="Arial"/>
                <w:color w:val="000000"/>
                <w:sz w:val="22"/>
                <w:szCs w:val="22"/>
              </w:rPr>
              <w:t>5.5</w:t>
            </w:r>
          </w:p>
        </w:tc>
        <w:tc>
          <w:tcPr>
            <w:tcW w:w="1417" w:type="dxa"/>
            <w:tcBorders>
              <w:left w:val="single" w:sz="4" w:space="0" w:color="auto"/>
              <w:right w:val="single" w:sz="4" w:space="0" w:color="auto"/>
            </w:tcBorders>
            <w:vAlign w:val="center"/>
          </w:tcPr>
          <w:p w14:paraId="4A813567" w14:textId="4FE77C59" w:rsidR="00F54943" w:rsidRPr="00384864" w:rsidRDefault="00F54943" w:rsidP="00F54943">
            <w:pPr>
              <w:keepNext/>
              <w:jc w:val="right"/>
              <w:rPr>
                <w:rFonts w:ascii="Arial" w:hAnsi="Arial" w:cs="Arial"/>
                <w:sz w:val="22"/>
                <w:szCs w:val="22"/>
              </w:rPr>
            </w:pPr>
            <w:r>
              <w:rPr>
                <w:rFonts w:ascii="Arial" w:hAnsi="Arial" w:cs="Arial"/>
                <w:color w:val="000000"/>
                <w:sz w:val="22"/>
                <w:szCs w:val="22"/>
              </w:rPr>
              <w:t>18.5</w:t>
            </w:r>
          </w:p>
        </w:tc>
        <w:tc>
          <w:tcPr>
            <w:tcW w:w="1417" w:type="dxa"/>
            <w:tcBorders>
              <w:left w:val="single" w:sz="4" w:space="0" w:color="auto"/>
              <w:right w:val="single" w:sz="4" w:space="0" w:color="auto"/>
            </w:tcBorders>
            <w:shd w:val="clear" w:color="auto" w:fill="auto"/>
            <w:vAlign w:val="center"/>
          </w:tcPr>
          <w:p w14:paraId="59EA9BF0" w14:textId="7D39FEB5" w:rsidR="00F54943" w:rsidRPr="00384864" w:rsidRDefault="00F54943" w:rsidP="00F54943">
            <w:pPr>
              <w:keepNext/>
              <w:jc w:val="right"/>
              <w:rPr>
                <w:rFonts w:ascii="Arial" w:hAnsi="Arial" w:cs="Arial"/>
                <w:sz w:val="22"/>
                <w:szCs w:val="22"/>
              </w:rPr>
            </w:pPr>
            <w:r>
              <w:rPr>
                <w:rFonts w:ascii="Arial" w:hAnsi="Arial" w:cs="Arial"/>
                <w:color w:val="000000"/>
                <w:sz w:val="22"/>
                <w:szCs w:val="22"/>
              </w:rPr>
              <w:t>5.27</w:t>
            </w:r>
          </w:p>
        </w:tc>
        <w:tc>
          <w:tcPr>
            <w:tcW w:w="1421" w:type="dxa"/>
            <w:tcBorders>
              <w:left w:val="single" w:sz="4" w:space="0" w:color="auto"/>
              <w:right w:val="single" w:sz="4" w:space="0" w:color="auto"/>
            </w:tcBorders>
            <w:shd w:val="clear" w:color="auto" w:fill="auto"/>
            <w:vAlign w:val="center"/>
          </w:tcPr>
          <w:p w14:paraId="186D3921" w14:textId="0F98DA58" w:rsidR="00F54943" w:rsidRPr="00384864" w:rsidRDefault="00F54943" w:rsidP="00F54943">
            <w:pPr>
              <w:keepNext/>
              <w:jc w:val="right"/>
              <w:rPr>
                <w:rFonts w:ascii="Arial" w:hAnsi="Arial" w:cs="Arial"/>
                <w:sz w:val="22"/>
                <w:szCs w:val="22"/>
              </w:rPr>
            </w:pPr>
            <w:r>
              <w:rPr>
                <w:rFonts w:ascii="Arial" w:hAnsi="Arial" w:cs="Arial"/>
                <w:color w:val="000000"/>
                <w:sz w:val="22"/>
                <w:szCs w:val="22"/>
              </w:rPr>
              <w:t>0.25</w:t>
            </w:r>
          </w:p>
        </w:tc>
      </w:tr>
      <w:tr w:rsidR="00F54943" w:rsidRPr="00384864" w14:paraId="6E931D9A" w14:textId="77777777" w:rsidTr="00B04D5E">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BC4B" w14:textId="6B209F4D" w:rsidR="00F54943" w:rsidRPr="00384864" w:rsidRDefault="00F54943" w:rsidP="00F54943">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028B0DA1" w14:textId="0A8E182F"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91.8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EB360" w14:textId="6E13DC17" w:rsidR="00F54943" w:rsidRPr="00384864" w:rsidRDefault="00AC086A" w:rsidP="00F54943">
            <w:pPr>
              <w:keepNext/>
              <w:jc w:val="right"/>
              <w:rPr>
                <w:rFonts w:ascii="Arial" w:hAnsi="Arial" w:cs="Arial"/>
                <w:b/>
                <w:sz w:val="22"/>
                <w:szCs w:val="22"/>
              </w:rPr>
            </w:pPr>
            <w:r>
              <w:rPr>
                <w:rFonts w:ascii="Arial" w:hAnsi="Arial" w:cs="Arial"/>
                <w:b/>
                <w:bCs/>
                <w:color w:val="000000"/>
                <w:sz w:val="22"/>
                <w:szCs w:val="22"/>
              </w:rPr>
              <w:t>(</w:t>
            </w:r>
            <w:r w:rsidR="00F54943">
              <w:rPr>
                <w:rFonts w:ascii="Arial" w:hAnsi="Arial" w:cs="Arial"/>
                <w:b/>
                <w:bCs/>
                <w:color w:val="000000"/>
                <w:sz w:val="22"/>
                <w:szCs w:val="22"/>
              </w:rPr>
              <w:t>2.4</w:t>
            </w:r>
            <w:r>
              <w:rPr>
                <w:rFonts w:ascii="Arial" w:hAnsi="Arial" w:cs="Arial"/>
                <w:b/>
                <w:bCs/>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6906852" w14:textId="4652FD50"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89.4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993C" w14:textId="6388BFF7"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5.22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B76B10" w14:textId="0271500E"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0.22</w:t>
            </w:r>
          </w:p>
        </w:tc>
      </w:tr>
      <w:tr w:rsidR="00F54943" w:rsidRPr="00384864" w14:paraId="177CAC45" w14:textId="77777777" w:rsidTr="00B04D5E">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1F5499C2" w14:textId="65D5EA28" w:rsidR="00F54943" w:rsidRDefault="00F54943" w:rsidP="00F54943">
            <w:pPr>
              <w:keepNext/>
              <w:rPr>
                <w:rFonts w:ascii="Arial" w:hAnsi="Arial" w:cs="Arial"/>
                <w:bCs/>
                <w:sz w:val="22"/>
                <w:szCs w:val="22"/>
              </w:rPr>
            </w:pPr>
            <w:r w:rsidRPr="00384864">
              <w:rPr>
                <w:rFonts w:ascii="Arial" w:hAnsi="Arial" w:cs="Arial"/>
                <w:b/>
                <w:sz w:val="22"/>
                <w:szCs w:val="22"/>
              </w:rPr>
              <w:t>Long term investments</w:t>
            </w:r>
          </w:p>
          <w:p w14:paraId="5AE0936C" w14:textId="77CD7028" w:rsidR="00F54943" w:rsidRPr="00657B22" w:rsidRDefault="00F54943" w:rsidP="00F54943">
            <w:pPr>
              <w:keepNext/>
              <w:rPr>
                <w:rFonts w:ascii="Arial" w:hAnsi="Arial" w:cs="Arial"/>
                <w:bCs/>
                <w:sz w:val="22"/>
                <w:szCs w:val="22"/>
              </w:rPr>
            </w:pPr>
            <w:r>
              <w:rPr>
                <w:rFonts w:ascii="Arial" w:hAnsi="Arial" w:cs="Arial"/>
                <w:bCs/>
                <w:sz w:val="22"/>
                <w:szCs w:val="22"/>
              </w:rPr>
              <w:t>Banks and building societies:</w:t>
            </w:r>
          </w:p>
        </w:tc>
        <w:tc>
          <w:tcPr>
            <w:tcW w:w="1417" w:type="dxa"/>
            <w:tcBorders>
              <w:top w:val="single" w:sz="4" w:space="0" w:color="auto"/>
              <w:left w:val="single" w:sz="4" w:space="0" w:color="auto"/>
              <w:right w:val="single" w:sz="4" w:space="0" w:color="auto"/>
            </w:tcBorders>
            <w:vAlign w:val="center"/>
          </w:tcPr>
          <w:p w14:paraId="74846FB2" w14:textId="5018E434" w:rsidR="00F54943" w:rsidRPr="00384864" w:rsidRDefault="00F54943" w:rsidP="00F54943">
            <w:pPr>
              <w:keepNext/>
              <w:jc w:val="right"/>
              <w:rPr>
                <w:rFonts w:ascii="Arial" w:hAnsi="Arial" w:cs="Arial"/>
                <w:sz w:val="22"/>
                <w:szCs w:val="22"/>
              </w:rPr>
            </w:pPr>
            <w:r>
              <w:rPr>
                <w:rFonts w:ascii="Arial" w:hAnsi="Arial" w:cs="Arial"/>
                <w:b/>
                <w:bCs/>
                <w:color w:val="000000"/>
                <w:sz w:val="22"/>
                <w:szCs w:val="22"/>
              </w:rPr>
              <w:t> </w:t>
            </w:r>
          </w:p>
        </w:tc>
        <w:tc>
          <w:tcPr>
            <w:tcW w:w="1417" w:type="dxa"/>
            <w:tcBorders>
              <w:top w:val="single" w:sz="4" w:space="0" w:color="auto"/>
              <w:left w:val="single" w:sz="4" w:space="0" w:color="auto"/>
              <w:right w:val="single" w:sz="4" w:space="0" w:color="auto"/>
            </w:tcBorders>
            <w:shd w:val="clear" w:color="auto" w:fill="auto"/>
            <w:vAlign w:val="center"/>
          </w:tcPr>
          <w:p w14:paraId="17BDFB39" w14:textId="65F784CB" w:rsidR="00F54943" w:rsidRPr="00384864" w:rsidRDefault="00F54943" w:rsidP="00F54943">
            <w:pPr>
              <w:keepNext/>
              <w:jc w:val="right"/>
              <w:rPr>
                <w:rFonts w:ascii="Arial" w:hAnsi="Arial" w:cs="Arial"/>
                <w:sz w:val="22"/>
                <w:szCs w:val="22"/>
              </w:rPr>
            </w:pPr>
            <w:r>
              <w:rPr>
                <w:rFonts w:ascii="Arial" w:hAnsi="Arial" w:cs="Arial"/>
                <w:b/>
                <w:bCs/>
                <w:color w:val="000000"/>
                <w:sz w:val="22"/>
                <w:szCs w:val="22"/>
              </w:rPr>
              <w:t> </w:t>
            </w:r>
          </w:p>
        </w:tc>
        <w:tc>
          <w:tcPr>
            <w:tcW w:w="1417" w:type="dxa"/>
            <w:tcBorders>
              <w:top w:val="single" w:sz="4" w:space="0" w:color="auto"/>
              <w:left w:val="single" w:sz="4" w:space="0" w:color="auto"/>
              <w:right w:val="single" w:sz="4" w:space="0" w:color="auto"/>
            </w:tcBorders>
            <w:vAlign w:val="center"/>
          </w:tcPr>
          <w:p w14:paraId="6E5B8169" w14:textId="63AE51C9" w:rsidR="00F54943" w:rsidRPr="00384864" w:rsidRDefault="00F54943" w:rsidP="00F54943">
            <w:pPr>
              <w:keepNext/>
              <w:jc w:val="right"/>
              <w:rPr>
                <w:rFonts w:ascii="Arial" w:hAnsi="Arial" w:cs="Arial"/>
                <w:sz w:val="22"/>
                <w:szCs w:val="22"/>
              </w:rPr>
            </w:pPr>
            <w:r>
              <w:rPr>
                <w:rFonts w:ascii="Arial" w:hAnsi="Arial" w:cs="Arial"/>
                <w:b/>
                <w:bCs/>
                <w:color w:val="000000"/>
                <w:sz w:val="22"/>
                <w:szCs w:val="22"/>
              </w:rPr>
              <w:t> </w:t>
            </w:r>
          </w:p>
        </w:tc>
        <w:tc>
          <w:tcPr>
            <w:tcW w:w="1417" w:type="dxa"/>
            <w:tcBorders>
              <w:top w:val="single" w:sz="4" w:space="0" w:color="auto"/>
              <w:left w:val="single" w:sz="4" w:space="0" w:color="auto"/>
              <w:right w:val="single" w:sz="4" w:space="0" w:color="auto"/>
            </w:tcBorders>
            <w:shd w:val="clear" w:color="auto" w:fill="auto"/>
            <w:vAlign w:val="center"/>
          </w:tcPr>
          <w:p w14:paraId="478092D4" w14:textId="31847765" w:rsidR="00F54943" w:rsidRPr="00384864" w:rsidRDefault="00F54943" w:rsidP="00F54943">
            <w:pPr>
              <w:keepNext/>
              <w:jc w:val="right"/>
              <w:rPr>
                <w:rFonts w:ascii="Arial" w:hAnsi="Arial" w:cs="Arial"/>
                <w:sz w:val="22"/>
                <w:szCs w:val="22"/>
              </w:rPr>
            </w:pPr>
            <w:r>
              <w:rPr>
                <w:rFonts w:ascii="Arial" w:hAnsi="Arial" w:cs="Arial"/>
                <w:b/>
                <w:bCs/>
                <w:color w:val="000000"/>
                <w:sz w:val="22"/>
                <w:szCs w:val="22"/>
              </w:rPr>
              <w:t> </w:t>
            </w:r>
          </w:p>
        </w:tc>
        <w:tc>
          <w:tcPr>
            <w:tcW w:w="1421" w:type="dxa"/>
            <w:tcBorders>
              <w:top w:val="single" w:sz="4" w:space="0" w:color="auto"/>
              <w:left w:val="single" w:sz="4" w:space="0" w:color="auto"/>
              <w:right w:val="single" w:sz="4" w:space="0" w:color="auto"/>
            </w:tcBorders>
            <w:shd w:val="clear" w:color="auto" w:fill="auto"/>
            <w:vAlign w:val="center"/>
          </w:tcPr>
          <w:p w14:paraId="2A8DA842" w14:textId="41E51C55" w:rsidR="00F54943" w:rsidRPr="00384864" w:rsidRDefault="00F54943" w:rsidP="00F54943">
            <w:pPr>
              <w:keepNext/>
              <w:jc w:val="right"/>
              <w:rPr>
                <w:rFonts w:ascii="Arial" w:hAnsi="Arial" w:cs="Arial"/>
                <w:sz w:val="22"/>
                <w:szCs w:val="22"/>
              </w:rPr>
            </w:pPr>
            <w:r>
              <w:rPr>
                <w:rFonts w:ascii="Arial" w:hAnsi="Arial" w:cs="Arial"/>
                <w:b/>
                <w:bCs/>
                <w:color w:val="000000"/>
                <w:sz w:val="22"/>
                <w:szCs w:val="22"/>
              </w:rPr>
              <w:t> </w:t>
            </w:r>
          </w:p>
        </w:tc>
      </w:tr>
      <w:tr w:rsidR="00CD10A6" w:rsidRPr="00384864" w14:paraId="05B2BEFE"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20FBD774" w14:textId="4FE9893E" w:rsidR="00CD10A6" w:rsidRPr="004A1A98" w:rsidRDefault="00CD10A6" w:rsidP="00CD10A6">
            <w:pPr>
              <w:keepNext/>
              <w:numPr>
                <w:ilvl w:val="0"/>
                <w:numId w:val="1"/>
              </w:numPr>
              <w:ind w:left="318" w:hanging="284"/>
              <w:rPr>
                <w:rFonts w:ascii="Arial" w:hAnsi="Arial" w:cs="Arial"/>
                <w:sz w:val="22"/>
                <w:szCs w:val="22"/>
              </w:rPr>
            </w:pPr>
            <w:r>
              <w:rPr>
                <w:rFonts w:ascii="Arial" w:hAnsi="Arial" w:cs="Arial"/>
                <w:bCs/>
                <w:sz w:val="22"/>
                <w:szCs w:val="22"/>
              </w:rPr>
              <w:t>S</w:t>
            </w:r>
            <w:r w:rsidRPr="00657B22">
              <w:rPr>
                <w:rFonts w:ascii="Arial" w:hAnsi="Arial" w:cs="Arial"/>
                <w:bCs/>
                <w:sz w:val="22"/>
                <w:szCs w:val="22"/>
              </w:rPr>
              <w:t xml:space="preserve">ecured </w:t>
            </w:r>
          </w:p>
        </w:tc>
        <w:tc>
          <w:tcPr>
            <w:tcW w:w="1417" w:type="dxa"/>
            <w:tcBorders>
              <w:left w:val="single" w:sz="4" w:space="0" w:color="auto"/>
              <w:right w:val="single" w:sz="4" w:space="0" w:color="auto"/>
            </w:tcBorders>
            <w:vAlign w:val="center"/>
          </w:tcPr>
          <w:p w14:paraId="788538DB" w14:textId="76EF8FC3" w:rsidR="00CD10A6" w:rsidRPr="00384864" w:rsidRDefault="00CD10A6" w:rsidP="00CD10A6">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right w:val="single" w:sz="4" w:space="0" w:color="auto"/>
            </w:tcBorders>
            <w:shd w:val="clear" w:color="auto" w:fill="auto"/>
            <w:vAlign w:val="center"/>
          </w:tcPr>
          <w:p w14:paraId="29E320D9" w14:textId="2C99BE59" w:rsidR="00CD10A6" w:rsidRPr="00384864" w:rsidRDefault="00CD10A6" w:rsidP="00CD10A6">
            <w:pPr>
              <w:keepNext/>
              <w:jc w:val="right"/>
              <w:rPr>
                <w:rFonts w:ascii="Arial" w:hAnsi="Arial" w:cs="Arial"/>
                <w:sz w:val="22"/>
                <w:szCs w:val="22"/>
              </w:rPr>
            </w:pPr>
            <w:r>
              <w:rPr>
                <w:rFonts w:ascii="Arial" w:hAnsi="Arial" w:cs="Arial"/>
                <w:color w:val="000000"/>
                <w:sz w:val="22"/>
                <w:szCs w:val="22"/>
              </w:rPr>
              <w:t>4.0</w:t>
            </w:r>
          </w:p>
        </w:tc>
        <w:tc>
          <w:tcPr>
            <w:tcW w:w="1417" w:type="dxa"/>
            <w:tcBorders>
              <w:left w:val="single" w:sz="4" w:space="0" w:color="auto"/>
              <w:right w:val="single" w:sz="4" w:space="0" w:color="auto"/>
            </w:tcBorders>
            <w:vAlign w:val="center"/>
          </w:tcPr>
          <w:p w14:paraId="096FDEE8" w14:textId="1E936915" w:rsidR="00CD10A6" w:rsidRPr="00384864" w:rsidRDefault="00CD10A6" w:rsidP="00CD10A6">
            <w:pPr>
              <w:keepNext/>
              <w:jc w:val="right"/>
              <w:rPr>
                <w:rFonts w:ascii="Arial" w:hAnsi="Arial" w:cs="Arial"/>
                <w:sz w:val="22"/>
                <w:szCs w:val="22"/>
              </w:rPr>
            </w:pPr>
            <w:r>
              <w:rPr>
                <w:rFonts w:ascii="Arial" w:hAnsi="Arial" w:cs="Arial"/>
                <w:color w:val="000000"/>
                <w:sz w:val="22"/>
                <w:szCs w:val="22"/>
              </w:rPr>
              <w:t>4.0</w:t>
            </w:r>
          </w:p>
        </w:tc>
        <w:tc>
          <w:tcPr>
            <w:tcW w:w="1417" w:type="dxa"/>
            <w:tcBorders>
              <w:left w:val="single" w:sz="4" w:space="0" w:color="auto"/>
              <w:right w:val="single" w:sz="4" w:space="0" w:color="auto"/>
            </w:tcBorders>
            <w:shd w:val="clear" w:color="auto" w:fill="auto"/>
            <w:vAlign w:val="center"/>
          </w:tcPr>
          <w:p w14:paraId="23C714FE" w14:textId="7845383A" w:rsidR="00CD10A6" w:rsidRPr="00384864" w:rsidRDefault="00CD10A6" w:rsidP="00CD10A6">
            <w:pPr>
              <w:keepNext/>
              <w:jc w:val="right"/>
              <w:rPr>
                <w:rFonts w:ascii="Arial" w:hAnsi="Arial" w:cs="Arial"/>
                <w:sz w:val="22"/>
                <w:szCs w:val="22"/>
              </w:rPr>
            </w:pPr>
            <w:r>
              <w:rPr>
                <w:rFonts w:ascii="Arial" w:hAnsi="Arial" w:cs="Arial"/>
                <w:color w:val="000000"/>
                <w:sz w:val="22"/>
                <w:szCs w:val="22"/>
              </w:rPr>
              <w:t>4.65</w:t>
            </w:r>
          </w:p>
        </w:tc>
        <w:tc>
          <w:tcPr>
            <w:tcW w:w="1421" w:type="dxa"/>
            <w:tcBorders>
              <w:left w:val="single" w:sz="4" w:space="0" w:color="auto"/>
              <w:right w:val="single" w:sz="4" w:space="0" w:color="auto"/>
            </w:tcBorders>
            <w:shd w:val="clear" w:color="auto" w:fill="auto"/>
            <w:vAlign w:val="center"/>
          </w:tcPr>
          <w:p w14:paraId="277D1C48" w14:textId="78E18BC4" w:rsidR="00CD10A6" w:rsidRPr="00384864" w:rsidRDefault="00CD10A6" w:rsidP="00CD10A6">
            <w:pPr>
              <w:keepNext/>
              <w:jc w:val="right"/>
              <w:rPr>
                <w:rFonts w:ascii="Arial" w:hAnsi="Arial" w:cs="Arial"/>
                <w:sz w:val="22"/>
                <w:szCs w:val="22"/>
              </w:rPr>
            </w:pPr>
            <w:r>
              <w:rPr>
                <w:rFonts w:ascii="Arial" w:hAnsi="Arial" w:cs="Arial"/>
                <w:color w:val="000000"/>
                <w:sz w:val="22"/>
                <w:szCs w:val="22"/>
              </w:rPr>
              <w:t>2.39</w:t>
            </w:r>
          </w:p>
        </w:tc>
      </w:tr>
      <w:tr w:rsidR="00CD10A6" w:rsidRPr="00384864" w14:paraId="5BD045F9"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36D6EDF4" w14:textId="0AE19323" w:rsidR="00CD10A6" w:rsidRDefault="00CD10A6" w:rsidP="00CD10A6">
            <w:pPr>
              <w:keepNext/>
              <w:numPr>
                <w:ilvl w:val="0"/>
                <w:numId w:val="1"/>
              </w:numPr>
              <w:ind w:left="318" w:hanging="284"/>
              <w:rPr>
                <w:rFonts w:ascii="Arial" w:hAnsi="Arial" w:cs="Arial"/>
                <w:bCs/>
                <w:sz w:val="22"/>
                <w:szCs w:val="22"/>
              </w:rPr>
            </w:pPr>
            <w:r>
              <w:rPr>
                <w:rFonts w:ascii="Arial" w:hAnsi="Arial" w:cs="Arial"/>
                <w:bCs/>
                <w:sz w:val="22"/>
                <w:szCs w:val="22"/>
              </w:rPr>
              <w:t>Unsecured</w:t>
            </w:r>
          </w:p>
        </w:tc>
        <w:tc>
          <w:tcPr>
            <w:tcW w:w="1417" w:type="dxa"/>
            <w:tcBorders>
              <w:left w:val="single" w:sz="4" w:space="0" w:color="auto"/>
              <w:right w:val="single" w:sz="4" w:space="0" w:color="auto"/>
            </w:tcBorders>
            <w:vAlign w:val="center"/>
          </w:tcPr>
          <w:p w14:paraId="6E736D4C" w14:textId="6347C502" w:rsidR="00CD10A6" w:rsidRDefault="00CD10A6" w:rsidP="00CD10A6">
            <w:pPr>
              <w:keepNext/>
              <w:jc w:val="right"/>
              <w:rPr>
                <w:rFonts w:ascii="Arial" w:hAnsi="Arial" w:cs="Arial"/>
                <w:sz w:val="22"/>
                <w:szCs w:val="22"/>
              </w:rPr>
            </w:pPr>
            <w:r>
              <w:rPr>
                <w:rFonts w:ascii="Arial" w:hAnsi="Arial" w:cs="Arial"/>
                <w:color w:val="000000"/>
                <w:sz w:val="22"/>
                <w:szCs w:val="22"/>
              </w:rPr>
              <w:t>5.1</w:t>
            </w:r>
          </w:p>
        </w:tc>
        <w:tc>
          <w:tcPr>
            <w:tcW w:w="1417" w:type="dxa"/>
            <w:tcBorders>
              <w:left w:val="single" w:sz="4" w:space="0" w:color="auto"/>
              <w:right w:val="single" w:sz="4" w:space="0" w:color="auto"/>
            </w:tcBorders>
            <w:shd w:val="clear" w:color="auto" w:fill="auto"/>
            <w:vAlign w:val="center"/>
          </w:tcPr>
          <w:p w14:paraId="5D34FDA2" w14:textId="382BCE3E" w:rsidR="00CD10A6" w:rsidRDefault="004D04CF" w:rsidP="00CD10A6">
            <w:pPr>
              <w:keepNext/>
              <w:jc w:val="right"/>
              <w:rPr>
                <w:rFonts w:ascii="Arial" w:hAnsi="Arial" w:cs="Arial"/>
                <w:sz w:val="22"/>
                <w:szCs w:val="22"/>
              </w:rPr>
            </w:pPr>
            <w:r>
              <w:rPr>
                <w:rFonts w:ascii="Arial" w:hAnsi="Arial" w:cs="Arial"/>
                <w:color w:val="000000"/>
                <w:sz w:val="22"/>
                <w:szCs w:val="22"/>
              </w:rPr>
              <w:t>(</w:t>
            </w:r>
            <w:r w:rsidR="00CD10A6">
              <w:rPr>
                <w:rFonts w:ascii="Arial" w:hAnsi="Arial" w:cs="Arial"/>
                <w:color w:val="000000"/>
                <w:sz w:val="22"/>
                <w:szCs w:val="22"/>
              </w:rPr>
              <w:t>0.1</w:t>
            </w:r>
            <w:r>
              <w:rPr>
                <w:rFonts w:ascii="Arial" w:hAnsi="Arial" w:cs="Arial"/>
                <w:color w:val="000000"/>
                <w:sz w:val="22"/>
                <w:szCs w:val="22"/>
              </w:rPr>
              <w:t>)</w:t>
            </w:r>
          </w:p>
        </w:tc>
        <w:tc>
          <w:tcPr>
            <w:tcW w:w="1417" w:type="dxa"/>
            <w:tcBorders>
              <w:left w:val="single" w:sz="4" w:space="0" w:color="auto"/>
              <w:right w:val="single" w:sz="4" w:space="0" w:color="auto"/>
            </w:tcBorders>
            <w:vAlign w:val="center"/>
          </w:tcPr>
          <w:p w14:paraId="54F327F6" w14:textId="088DEC2A" w:rsidR="00CD10A6" w:rsidRDefault="00CD10A6" w:rsidP="00CD10A6">
            <w:pPr>
              <w:keepNext/>
              <w:jc w:val="right"/>
              <w:rPr>
                <w:rFonts w:ascii="Arial" w:hAnsi="Arial" w:cs="Arial"/>
                <w:sz w:val="22"/>
                <w:szCs w:val="22"/>
              </w:rPr>
            </w:pPr>
            <w:r>
              <w:rPr>
                <w:rFonts w:ascii="Arial" w:hAnsi="Arial" w:cs="Arial"/>
                <w:color w:val="000000"/>
                <w:sz w:val="22"/>
                <w:szCs w:val="22"/>
              </w:rPr>
              <w:t>5.0</w:t>
            </w:r>
          </w:p>
        </w:tc>
        <w:tc>
          <w:tcPr>
            <w:tcW w:w="1417" w:type="dxa"/>
            <w:tcBorders>
              <w:left w:val="single" w:sz="4" w:space="0" w:color="auto"/>
              <w:right w:val="single" w:sz="4" w:space="0" w:color="auto"/>
            </w:tcBorders>
            <w:shd w:val="clear" w:color="auto" w:fill="auto"/>
            <w:vAlign w:val="center"/>
          </w:tcPr>
          <w:p w14:paraId="0F50E8BA" w14:textId="56760412" w:rsidR="00CD10A6" w:rsidRDefault="00CD10A6" w:rsidP="00CD10A6">
            <w:pPr>
              <w:keepNext/>
              <w:jc w:val="right"/>
              <w:rPr>
                <w:rFonts w:ascii="Arial" w:hAnsi="Arial" w:cs="Arial"/>
                <w:sz w:val="22"/>
                <w:szCs w:val="22"/>
              </w:rPr>
            </w:pPr>
            <w:r>
              <w:rPr>
                <w:rFonts w:ascii="Arial" w:hAnsi="Arial" w:cs="Arial"/>
                <w:color w:val="000000"/>
                <w:sz w:val="22"/>
                <w:szCs w:val="22"/>
              </w:rPr>
              <w:t>4.31</w:t>
            </w:r>
          </w:p>
        </w:tc>
        <w:tc>
          <w:tcPr>
            <w:tcW w:w="1421" w:type="dxa"/>
            <w:tcBorders>
              <w:left w:val="single" w:sz="4" w:space="0" w:color="auto"/>
              <w:right w:val="single" w:sz="4" w:space="0" w:color="auto"/>
            </w:tcBorders>
            <w:shd w:val="clear" w:color="auto" w:fill="auto"/>
            <w:vAlign w:val="center"/>
          </w:tcPr>
          <w:p w14:paraId="2DFCF1AD" w14:textId="3EC193ED" w:rsidR="00CD10A6" w:rsidRDefault="00CD10A6" w:rsidP="00CD10A6">
            <w:pPr>
              <w:keepNext/>
              <w:jc w:val="right"/>
              <w:rPr>
                <w:rFonts w:ascii="Arial" w:hAnsi="Arial" w:cs="Arial"/>
                <w:sz w:val="22"/>
                <w:szCs w:val="22"/>
              </w:rPr>
            </w:pPr>
            <w:r>
              <w:rPr>
                <w:rFonts w:ascii="Arial" w:hAnsi="Arial" w:cs="Arial"/>
                <w:color w:val="000000"/>
                <w:sz w:val="22"/>
                <w:szCs w:val="22"/>
              </w:rPr>
              <w:t>1.44</w:t>
            </w:r>
          </w:p>
        </w:tc>
      </w:tr>
      <w:tr w:rsidR="00CD10A6" w:rsidRPr="00384864" w14:paraId="4E379039"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37CBC006" w14:textId="61300C7D" w:rsidR="00CD10A6" w:rsidRDefault="00CD10A6" w:rsidP="00CD10A6">
            <w:pPr>
              <w:keepNext/>
              <w:rPr>
                <w:rFonts w:ascii="Arial" w:hAnsi="Arial" w:cs="Arial"/>
                <w:bCs/>
                <w:sz w:val="22"/>
                <w:szCs w:val="22"/>
              </w:rPr>
            </w:pPr>
            <w:r>
              <w:rPr>
                <w:rFonts w:ascii="Arial" w:hAnsi="Arial" w:cs="Arial"/>
                <w:bCs/>
                <w:sz w:val="22"/>
                <w:szCs w:val="22"/>
              </w:rPr>
              <w:t>Supranational bonds</w:t>
            </w:r>
          </w:p>
        </w:tc>
        <w:tc>
          <w:tcPr>
            <w:tcW w:w="1417" w:type="dxa"/>
            <w:tcBorders>
              <w:left w:val="single" w:sz="4" w:space="0" w:color="auto"/>
              <w:right w:val="single" w:sz="4" w:space="0" w:color="auto"/>
            </w:tcBorders>
            <w:vAlign w:val="center"/>
          </w:tcPr>
          <w:p w14:paraId="1E926C3D" w14:textId="0727F073" w:rsidR="00CD10A6" w:rsidRDefault="00CD10A6" w:rsidP="00CD10A6">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right w:val="single" w:sz="4" w:space="0" w:color="auto"/>
            </w:tcBorders>
            <w:shd w:val="clear" w:color="auto" w:fill="auto"/>
            <w:vAlign w:val="center"/>
          </w:tcPr>
          <w:p w14:paraId="724F33A1" w14:textId="0F1EA7C2" w:rsidR="00CD10A6" w:rsidRDefault="00CD10A6" w:rsidP="00CD10A6">
            <w:pPr>
              <w:keepNext/>
              <w:jc w:val="right"/>
              <w:rPr>
                <w:rFonts w:ascii="Arial" w:hAnsi="Arial" w:cs="Arial"/>
                <w:sz w:val="22"/>
                <w:szCs w:val="22"/>
              </w:rPr>
            </w:pPr>
            <w:r>
              <w:rPr>
                <w:rFonts w:ascii="Arial" w:hAnsi="Arial" w:cs="Arial"/>
                <w:color w:val="000000"/>
                <w:sz w:val="22"/>
                <w:szCs w:val="22"/>
              </w:rPr>
              <w:t>15.0</w:t>
            </w:r>
          </w:p>
        </w:tc>
        <w:tc>
          <w:tcPr>
            <w:tcW w:w="1417" w:type="dxa"/>
            <w:tcBorders>
              <w:left w:val="single" w:sz="4" w:space="0" w:color="auto"/>
              <w:right w:val="single" w:sz="4" w:space="0" w:color="auto"/>
            </w:tcBorders>
            <w:vAlign w:val="center"/>
          </w:tcPr>
          <w:p w14:paraId="637C8EAA" w14:textId="44EF9E36" w:rsidR="00CD10A6" w:rsidRDefault="00CD10A6" w:rsidP="00CD10A6">
            <w:pPr>
              <w:keepNext/>
              <w:jc w:val="right"/>
              <w:rPr>
                <w:rFonts w:ascii="Arial" w:hAnsi="Arial" w:cs="Arial"/>
                <w:sz w:val="22"/>
                <w:szCs w:val="22"/>
              </w:rPr>
            </w:pPr>
            <w:r>
              <w:rPr>
                <w:rFonts w:ascii="Arial" w:hAnsi="Arial" w:cs="Arial"/>
                <w:color w:val="000000"/>
                <w:sz w:val="22"/>
                <w:szCs w:val="22"/>
              </w:rPr>
              <w:t>15.0</w:t>
            </w:r>
          </w:p>
        </w:tc>
        <w:tc>
          <w:tcPr>
            <w:tcW w:w="1417" w:type="dxa"/>
            <w:tcBorders>
              <w:left w:val="single" w:sz="4" w:space="0" w:color="auto"/>
              <w:right w:val="single" w:sz="4" w:space="0" w:color="auto"/>
            </w:tcBorders>
            <w:shd w:val="clear" w:color="auto" w:fill="auto"/>
            <w:vAlign w:val="center"/>
          </w:tcPr>
          <w:p w14:paraId="3C79EE3E" w14:textId="768B3DB5" w:rsidR="00CD10A6" w:rsidRDefault="00CD10A6" w:rsidP="00CD10A6">
            <w:pPr>
              <w:keepNext/>
              <w:jc w:val="right"/>
              <w:rPr>
                <w:rFonts w:ascii="Arial" w:hAnsi="Arial" w:cs="Arial"/>
                <w:sz w:val="22"/>
                <w:szCs w:val="22"/>
              </w:rPr>
            </w:pPr>
            <w:r>
              <w:rPr>
                <w:rFonts w:ascii="Arial" w:hAnsi="Arial" w:cs="Arial"/>
                <w:color w:val="000000"/>
                <w:sz w:val="22"/>
                <w:szCs w:val="22"/>
              </w:rPr>
              <w:t>5.58</w:t>
            </w:r>
          </w:p>
        </w:tc>
        <w:tc>
          <w:tcPr>
            <w:tcW w:w="1421" w:type="dxa"/>
            <w:tcBorders>
              <w:left w:val="single" w:sz="4" w:space="0" w:color="auto"/>
              <w:right w:val="single" w:sz="4" w:space="0" w:color="auto"/>
            </w:tcBorders>
            <w:shd w:val="clear" w:color="auto" w:fill="auto"/>
            <w:vAlign w:val="center"/>
          </w:tcPr>
          <w:p w14:paraId="2CB59C3D" w14:textId="502DAB94" w:rsidR="00CD10A6" w:rsidRDefault="00CD10A6" w:rsidP="00CD10A6">
            <w:pPr>
              <w:keepNext/>
              <w:jc w:val="right"/>
              <w:rPr>
                <w:rFonts w:ascii="Arial" w:hAnsi="Arial" w:cs="Arial"/>
                <w:sz w:val="22"/>
                <w:szCs w:val="22"/>
              </w:rPr>
            </w:pPr>
            <w:r>
              <w:rPr>
                <w:rFonts w:ascii="Arial" w:hAnsi="Arial" w:cs="Arial"/>
                <w:color w:val="000000"/>
                <w:sz w:val="22"/>
                <w:szCs w:val="22"/>
              </w:rPr>
              <w:t>2.96</w:t>
            </w:r>
          </w:p>
        </w:tc>
      </w:tr>
      <w:tr w:rsidR="00CD10A6" w:rsidRPr="00384864" w14:paraId="49312056"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center"/>
          </w:tcPr>
          <w:p w14:paraId="0BA89DCA" w14:textId="579B0759" w:rsidR="00CD10A6" w:rsidRDefault="00CD10A6" w:rsidP="00CD10A6">
            <w:pPr>
              <w:keepNext/>
              <w:rPr>
                <w:rFonts w:ascii="Arial" w:hAnsi="Arial" w:cs="Arial"/>
                <w:bCs/>
                <w:sz w:val="22"/>
                <w:szCs w:val="22"/>
              </w:rPr>
            </w:pPr>
            <w:r>
              <w:rPr>
                <w:rFonts w:ascii="Arial" w:hAnsi="Arial" w:cs="Arial"/>
                <w:bCs/>
                <w:sz w:val="22"/>
                <w:szCs w:val="22"/>
              </w:rPr>
              <w:t>High quality bonds</w:t>
            </w:r>
          </w:p>
        </w:tc>
        <w:tc>
          <w:tcPr>
            <w:tcW w:w="1417" w:type="dxa"/>
            <w:tcBorders>
              <w:left w:val="single" w:sz="4" w:space="0" w:color="auto"/>
              <w:right w:val="single" w:sz="4" w:space="0" w:color="auto"/>
            </w:tcBorders>
            <w:vAlign w:val="center"/>
          </w:tcPr>
          <w:p w14:paraId="5EBA0B00" w14:textId="69470262" w:rsidR="00CD10A6" w:rsidRDefault="00CD10A6" w:rsidP="00CD10A6">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right w:val="single" w:sz="4" w:space="0" w:color="auto"/>
            </w:tcBorders>
            <w:shd w:val="clear" w:color="auto" w:fill="auto"/>
            <w:vAlign w:val="center"/>
          </w:tcPr>
          <w:p w14:paraId="2244D6D1" w14:textId="2343CE74" w:rsidR="00CD10A6" w:rsidRDefault="00CD10A6" w:rsidP="00CD10A6">
            <w:pPr>
              <w:keepNext/>
              <w:jc w:val="right"/>
              <w:rPr>
                <w:rFonts w:ascii="Arial" w:hAnsi="Arial" w:cs="Arial"/>
                <w:sz w:val="22"/>
                <w:szCs w:val="22"/>
              </w:rPr>
            </w:pPr>
            <w:r>
              <w:rPr>
                <w:rFonts w:ascii="Arial" w:hAnsi="Arial" w:cs="Arial"/>
                <w:color w:val="000000"/>
                <w:sz w:val="22"/>
                <w:szCs w:val="22"/>
              </w:rPr>
              <w:t>5.0</w:t>
            </w:r>
          </w:p>
        </w:tc>
        <w:tc>
          <w:tcPr>
            <w:tcW w:w="1417" w:type="dxa"/>
            <w:tcBorders>
              <w:left w:val="single" w:sz="4" w:space="0" w:color="auto"/>
              <w:right w:val="single" w:sz="4" w:space="0" w:color="auto"/>
            </w:tcBorders>
            <w:vAlign w:val="center"/>
          </w:tcPr>
          <w:p w14:paraId="45F1E545" w14:textId="5F998604" w:rsidR="00CD10A6" w:rsidRDefault="00CD10A6" w:rsidP="00CD10A6">
            <w:pPr>
              <w:keepNext/>
              <w:jc w:val="right"/>
              <w:rPr>
                <w:rFonts w:ascii="Arial" w:hAnsi="Arial" w:cs="Arial"/>
                <w:sz w:val="22"/>
                <w:szCs w:val="22"/>
              </w:rPr>
            </w:pPr>
            <w:r>
              <w:rPr>
                <w:rFonts w:ascii="Arial" w:hAnsi="Arial" w:cs="Arial"/>
                <w:color w:val="000000"/>
                <w:sz w:val="22"/>
                <w:szCs w:val="22"/>
              </w:rPr>
              <w:t>5.0</w:t>
            </w:r>
          </w:p>
        </w:tc>
        <w:tc>
          <w:tcPr>
            <w:tcW w:w="1417" w:type="dxa"/>
            <w:tcBorders>
              <w:left w:val="single" w:sz="4" w:space="0" w:color="auto"/>
              <w:right w:val="single" w:sz="4" w:space="0" w:color="auto"/>
            </w:tcBorders>
            <w:shd w:val="clear" w:color="auto" w:fill="auto"/>
            <w:vAlign w:val="center"/>
          </w:tcPr>
          <w:p w14:paraId="6BF55DA2" w14:textId="4F908B66" w:rsidR="00CD10A6" w:rsidRDefault="00CD10A6" w:rsidP="00CD10A6">
            <w:pPr>
              <w:keepNext/>
              <w:jc w:val="right"/>
              <w:rPr>
                <w:rFonts w:ascii="Arial" w:hAnsi="Arial" w:cs="Arial"/>
                <w:sz w:val="22"/>
                <w:szCs w:val="22"/>
              </w:rPr>
            </w:pPr>
            <w:r>
              <w:rPr>
                <w:rFonts w:ascii="Arial" w:hAnsi="Arial" w:cs="Arial"/>
                <w:color w:val="000000"/>
                <w:sz w:val="22"/>
                <w:szCs w:val="22"/>
              </w:rPr>
              <w:t>5.45</w:t>
            </w:r>
          </w:p>
        </w:tc>
        <w:tc>
          <w:tcPr>
            <w:tcW w:w="1421" w:type="dxa"/>
            <w:tcBorders>
              <w:left w:val="single" w:sz="4" w:space="0" w:color="auto"/>
              <w:right w:val="single" w:sz="4" w:space="0" w:color="auto"/>
            </w:tcBorders>
            <w:shd w:val="clear" w:color="auto" w:fill="auto"/>
            <w:vAlign w:val="center"/>
          </w:tcPr>
          <w:p w14:paraId="3F15FA53" w14:textId="08C5BAE1" w:rsidR="00CD10A6" w:rsidRDefault="00CD10A6" w:rsidP="00CD10A6">
            <w:pPr>
              <w:keepNext/>
              <w:jc w:val="right"/>
              <w:rPr>
                <w:rFonts w:ascii="Arial" w:hAnsi="Arial" w:cs="Arial"/>
                <w:sz w:val="22"/>
                <w:szCs w:val="22"/>
              </w:rPr>
            </w:pPr>
            <w:r>
              <w:rPr>
                <w:rFonts w:ascii="Arial" w:hAnsi="Arial" w:cs="Arial"/>
                <w:color w:val="000000"/>
                <w:sz w:val="22"/>
                <w:szCs w:val="22"/>
              </w:rPr>
              <w:t>0.25</w:t>
            </w:r>
          </w:p>
        </w:tc>
      </w:tr>
      <w:tr w:rsidR="00CD10A6" w:rsidRPr="00384864" w14:paraId="05D3A218" w14:textId="77777777" w:rsidTr="00B04D5E">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BFA80" w14:textId="7A30DAEC" w:rsidR="00CD10A6" w:rsidRPr="00384864" w:rsidRDefault="00CD10A6" w:rsidP="00CD10A6">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64639812" w14:textId="03EBE711" w:rsidR="00CD10A6" w:rsidRPr="00384864" w:rsidRDefault="00CD10A6" w:rsidP="00CD10A6">
            <w:pPr>
              <w:keepNext/>
              <w:jc w:val="right"/>
              <w:rPr>
                <w:rFonts w:ascii="Arial" w:hAnsi="Arial" w:cs="Arial"/>
                <w:b/>
                <w:sz w:val="22"/>
                <w:szCs w:val="22"/>
              </w:rPr>
            </w:pPr>
            <w:r>
              <w:rPr>
                <w:rFonts w:ascii="Arial" w:hAnsi="Arial" w:cs="Arial"/>
                <w:b/>
                <w:bCs/>
                <w:color w:val="000000"/>
                <w:sz w:val="22"/>
                <w:szCs w:val="22"/>
              </w:rPr>
              <w:t>5.1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55096" w14:textId="4BFAC140" w:rsidR="00CD10A6" w:rsidRPr="00384864" w:rsidRDefault="00CD10A6" w:rsidP="00CD10A6">
            <w:pPr>
              <w:keepNext/>
              <w:jc w:val="right"/>
              <w:rPr>
                <w:rFonts w:ascii="Arial" w:hAnsi="Arial" w:cs="Arial"/>
                <w:b/>
                <w:sz w:val="22"/>
                <w:szCs w:val="22"/>
              </w:rPr>
            </w:pPr>
            <w:r>
              <w:rPr>
                <w:rFonts w:ascii="Arial" w:hAnsi="Arial" w:cs="Arial"/>
                <w:b/>
                <w:bCs/>
                <w:color w:val="000000"/>
                <w:sz w:val="22"/>
                <w:szCs w:val="22"/>
              </w:rPr>
              <w:t>23.9</w:t>
            </w:r>
          </w:p>
        </w:tc>
        <w:tc>
          <w:tcPr>
            <w:tcW w:w="1417" w:type="dxa"/>
            <w:tcBorders>
              <w:top w:val="single" w:sz="4" w:space="0" w:color="auto"/>
              <w:left w:val="single" w:sz="4" w:space="0" w:color="auto"/>
              <w:bottom w:val="single" w:sz="4" w:space="0" w:color="auto"/>
              <w:right w:val="single" w:sz="4" w:space="0" w:color="auto"/>
            </w:tcBorders>
            <w:vAlign w:val="center"/>
          </w:tcPr>
          <w:p w14:paraId="7B3D7FA3" w14:textId="0F365034" w:rsidR="00CD10A6" w:rsidRPr="00384864" w:rsidRDefault="00CD10A6" w:rsidP="00CD10A6">
            <w:pPr>
              <w:keepNext/>
              <w:jc w:val="right"/>
              <w:rPr>
                <w:rFonts w:ascii="Arial" w:hAnsi="Arial" w:cs="Arial"/>
                <w:b/>
                <w:sz w:val="22"/>
                <w:szCs w:val="22"/>
              </w:rPr>
            </w:pPr>
            <w:r>
              <w:rPr>
                <w:rFonts w:ascii="Arial" w:hAnsi="Arial" w:cs="Arial"/>
                <w:b/>
                <w:bCs/>
                <w:color w:val="000000"/>
                <w:sz w:val="22"/>
                <w:szCs w:val="22"/>
              </w:rPr>
              <w:t>29.0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D1EFF1" w14:textId="35F88934" w:rsidR="00CD10A6" w:rsidRPr="00384864" w:rsidRDefault="00CD10A6" w:rsidP="00CD10A6">
            <w:pPr>
              <w:keepNext/>
              <w:jc w:val="right"/>
              <w:rPr>
                <w:rFonts w:ascii="Arial" w:hAnsi="Arial" w:cs="Arial"/>
                <w:b/>
                <w:sz w:val="22"/>
                <w:szCs w:val="22"/>
              </w:rPr>
            </w:pPr>
            <w:r>
              <w:rPr>
                <w:rFonts w:ascii="Arial" w:hAnsi="Arial" w:cs="Arial"/>
                <w:b/>
                <w:bCs/>
                <w:color w:val="000000"/>
                <w:sz w:val="22"/>
                <w:szCs w:val="22"/>
              </w:rPr>
              <w:t>5.16</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EEE4FD" w14:textId="1312E198" w:rsidR="00CD10A6" w:rsidRPr="00384864" w:rsidRDefault="00CD10A6" w:rsidP="00CD10A6">
            <w:pPr>
              <w:keepNext/>
              <w:jc w:val="right"/>
              <w:rPr>
                <w:rFonts w:ascii="Arial" w:hAnsi="Arial" w:cs="Arial"/>
                <w:b/>
                <w:sz w:val="22"/>
                <w:szCs w:val="22"/>
              </w:rPr>
            </w:pPr>
            <w:r>
              <w:rPr>
                <w:rFonts w:ascii="Arial" w:hAnsi="Arial" w:cs="Arial"/>
                <w:b/>
                <w:bCs/>
                <w:color w:val="000000"/>
                <w:sz w:val="22"/>
                <w:szCs w:val="22"/>
              </w:rPr>
              <w:t>2.55</w:t>
            </w:r>
          </w:p>
        </w:tc>
      </w:tr>
      <w:tr w:rsidR="00F54943" w:rsidRPr="00384864" w14:paraId="3693178C" w14:textId="77777777" w:rsidTr="00B04D5E">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22FE2094" w14:textId="6EA83931" w:rsidR="00F54943" w:rsidRPr="00384864" w:rsidRDefault="00F54943" w:rsidP="00F54943">
            <w:pPr>
              <w:keepNext/>
              <w:rPr>
                <w:rFonts w:ascii="Arial" w:hAnsi="Arial" w:cs="Arial"/>
                <w:b/>
                <w:sz w:val="22"/>
                <w:szCs w:val="22"/>
              </w:rPr>
            </w:pPr>
            <w:r w:rsidRPr="00384864">
              <w:rPr>
                <w:rFonts w:ascii="Arial" w:hAnsi="Arial" w:cs="Arial"/>
                <w:b/>
                <w:sz w:val="22"/>
                <w:szCs w:val="22"/>
              </w:rPr>
              <w:t>Higher yielding investments</w:t>
            </w:r>
          </w:p>
        </w:tc>
        <w:tc>
          <w:tcPr>
            <w:tcW w:w="1417" w:type="dxa"/>
            <w:tcBorders>
              <w:top w:val="single" w:sz="4" w:space="0" w:color="auto"/>
              <w:left w:val="single" w:sz="4" w:space="0" w:color="auto"/>
              <w:right w:val="single" w:sz="4" w:space="0" w:color="auto"/>
            </w:tcBorders>
            <w:vAlign w:val="center"/>
          </w:tcPr>
          <w:p w14:paraId="47B9888A" w14:textId="35CE65E5" w:rsidR="00F54943" w:rsidRPr="00384864" w:rsidRDefault="00F54943" w:rsidP="00F54943">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C406E56" w14:textId="0FD33CC1" w:rsidR="00F54943" w:rsidRPr="00384864" w:rsidRDefault="00F54943" w:rsidP="00F54943">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vAlign w:val="center"/>
          </w:tcPr>
          <w:p w14:paraId="2A6D3EBC" w14:textId="0770DCCC" w:rsidR="00F54943" w:rsidRPr="00384864" w:rsidRDefault="00F54943" w:rsidP="00F54943">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15082D9" w14:textId="36FC485D" w:rsidR="00F54943" w:rsidRPr="00384864" w:rsidRDefault="00F54943" w:rsidP="00F54943">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58B86F4F" w14:textId="4DA4667B" w:rsidR="00F54943" w:rsidRPr="00384864" w:rsidRDefault="00F54943" w:rsidP="00F54943">
            <w:pPr>
              <w:keepNext/>
              <w:jc w:val="right"/>
              <w:rPr>
                <w:rFonts w:ascii="Arial" w:hAnsi="Arial" w:cs="Arial"/>
                <w:sz w:val="22"/>
                <w:szCs w:val="22"/>
              </w:rPr>
            </w:pPr>
          </w:p>
        </w:tc>
      </w:tr>
      <w:tr w:rsidR="00F54943" w:rsidRPr="00384864" w14:paraId="2DF180A0"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5C05DD21" w14:textId="67A0BF3C" w:rsidR="00F54943" w:rsidRPr="00384864" w:rsidRDefault="00F54943" w:rsidP="00F54943">
            <w:pPr>
              <w:keepNext/>
              <w:rPr>
                <w:rFonts w:ascii="Arial" w:hAnsi="Arial" w:cs="Arial"/>
                <w:bCs/>
                <w:sz w:val="22"/>
                <w:szCs w:val="22"/>
              </w:rPr>
            </w:pPr>
            <w:r w:rsidRPr="00384864">
              <w:rPr>
                <w:rFonts w:ascii="Arial" w:hAnsi="Arial" w:cs="Arial"/>
                <w:bCs/>
                <w:sz w:val="22"/>
                <w:szCs w:val="22"/>
              </w:rPr>
              <w:t>Pooled funds:</w:t>
            </w:r>
          </w:p>
        </w:tc>
        <w:tc>
          <w:tcPr>
            <w:tcW w:w="1417" w:type="dxa"/>
            <w:tcBorders>
              <w:left w:val="single" w:sz="4" w:space="0" w:color="auto"/>
              <w:right w:val="single" w:sz="4" w:space="0" w:color="auto"/>
            </w:tcBorders>
            <w:vAlign w:val="center"/>
          </w:tcPr>
          <w:p w14:paraId="15A41CC6" w14:textId="15598CAE"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shd w:val="clear" w:color="auto" w:fill="auto"/>
            <w:vAlign w:val="center"/>
          </w:tcPr>
          <w:p w14:paraId="10D0096B" w14:textId="2776A28A"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vAlign w:val="center"/>
          </w:tcPr>
          <w:p w14:paraId="705EC8ED" w14:textId="0D464BDF"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17" w:type="dxa"/>
            <w:tcBorders>
              <w:left w:val="single" w:sz="4" w:space="0" w:color="auto"/>
              <w:right w:val="single" w:sz="4" w:space="0" w:color="auto"/>
            </w:tcBorders>
            <w:shd w:val="clear" w:color="auto" w:fill="auto"/>
            <w:vAlign w:val="center"/>
          </w:tcPr>
          <w:p w14:paraId="39C7A0FF" w14:textId="5CD96547"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c>
          <w:tcPr>
            <w:tcW w:w="1421" w:type="dxa"/>
            <w:tcBorders>
              <w:left w:val="single" w:sz="4" w:space="0" w:color="auto"/>
              <w:right w:val="single" w:sz="4" w:space="0" w:color="auto"/>
            </w:tcBorders>
            <w:shd w:val="clear" w:color="auto" w:fill="auto"/>
            <w:vAlign w:val="center"/>
          </w:tcPr>
          <w:p w14:paraId="3A78235D" w14:textId="1B0F48A2" w:rsidR="00F54943" w:rsidRPr="00384864" w:rsidRDefault="00F54943" w:rsidP="00F54943">
            <w:pPr>
              <w:keepNext/>
              <w:jc w:val="right"/>
              <w:rPr>
                <w:rFonts w:ascii="Arial" w:hAnsi="Arial" w:cs="Arial"/>
                <w:sz w:val="22"/>
                <w:szCs w:val="22"/>
              </w:rPr>
            </w:pPr>
            <w:r>
              <w:rPr>
                <w:rFonts w:ascii="Arial" w:hAnsi="Arial" w:cs="Arial"/>
                <w:color w:val="000000"/>
                <w:sz w:val="22"/>
                <w:szCs w:val="22"/>
              </w:rPr>
              <w:t> </w:t>
            </w:r>
          </w:p>
        </w:tc>
      </w:tr>
      <w:tr w:rsidR="00F54943" w:rsidRPr="00384864" w14:paraId="5A706832"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43FB1446" w14:textId="6DB1242D"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Pooled property*</w:t>
            </w:r>
          </w:p>
        </w:tc>
        <w:tc>
          <w:tcPr>
            <w:tcW w:w="1417" w:type="dxa"/>
            <w:tcBorders>
              <w:left w:val="single" w:sz="4" w:space="0" w:color="auto"/>
              <w:right w:val="single" w:sz="4" w:space="0" w:color="auto"/>
            </w:tcBorders>
            <w:vAlign w:val="center"/>
          </w:tcPr>
          <w:p w14:paraId="0EDBB993" w14:textId="387D4C21" w:rsidR="00F54943" w:rsidRPr="00384864" w:rsidRDefault="00F54943" w:rsidP="00F54943">
            <w:pPr>
              <w:keepNext/>
              <w:jc w:val="right"/>
              <w:rPr>
                <w:rFonts w:ascii="Arial" w:hAnsi="Arial" w:cs="Arial"/>
                <w:sz w:val="22"/>
                <w:szCs w:val="22"/>
              </w:rPr>
            </w:pPr>
            <w:r>
              <w:rPr>
                <w:rFonts w:ascii="Arial" w:hAnsi="Arial" w:cs="Arial"/>
                <w:color w:val="000000"/>
                <w:sz w:val="22"/>
                <w:szCs w:val="22"/>
              </w:rPr>
              <w:t>4.0</w:t>
            </w:r>
          </w:p>
        </w:tc>
        <w:tc>
          <w:tcPr>
            <w:tcW w:w="1417" w:type="dxa"/>
            <w:tcBorders>
              <w:left w:val="single" w:sz="4" w:space="0" w:color="auto"/>
              <w:right w:val="single" w:sz="4" w:space="0" w:color="auto"/>
            </w:tcBorders>
            <w:shd w:val="clear" w:color="auto" w:fill="auto"/>
            <w:vAlign w:val="center"/>
          </w:tcPr>
          <w:p w14:paraId="1525C370" w14:textId="24C07C00" w:rsidR="00F54943" w:rsidRPr="00384864" w:rsidRDefault="00F54943" w:rsidP="00F54943">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right w:val="single" w:sz="4" w:space="0" w:color="auto"/>
            </w:tcBorders>
            <w:vAlign w:val="center"/>
          </w:tcPr>
          <w:p w14:paraId="238EC4EC" w14:textId="4D7CABA9" w:rsidR="00F54943" w:rsidRPr="00384864" w:rsidRDefault="00F54943" w:rsidP="00F54943">
            <w:pPr>
              <w:keepNext/>
              <w:jc w:val="right"/>
              <w:rPr>
                <w:rFonts w:ascii="Arial" w:hAnsi="Arial" w:cs="Arial"/>
                <w:sz w:val="22"/>
                <w:szCs w:val="22"/>
              </w:rPr>
            </w:pPr>
            <w:r>
              <w:rPr>
                <w:rFonts w:ascii="Arial" w:hAnsi="Arial" w:cs="Arial"/>
                <w:color w:val="000000"/>
                <w:sz w:val="22"/>
                <w:szCs w:val="22"/>
              </w:rPr>
              <w:t>4.0</w:t>
            </w:r>
          </w:p>
        </w:tc>
        <w:tc>
          <w:tcPr>
            <w:tcW w:w="1417" w:type="dxa"/>
            <w:tcBorders>
              <w:left w:val="single" w:sz="4" w:space="0" w:color="auto"/>
              <w:right w:val="single" w:sz="4" w:space="0" w:color="auto"/>
            </w:tcBorders>
            <w:shd w:val="clear" w:color="auto" w:fill="auto"/>
            <w:vAlign w:val="center"/>
          </w:tcPr>
          <w:p w14:paraId="4E835BC8" w14:textId="1C2D4428" w:rsidR="00F54943" w:rsidRPr="00384864" w:rsidRDefault="00F54943" w:rsidP="00F54943">
            <w:pPr>
              <w:keepNext/>
              <w:jc w:val="right"/>
              <w:rPr>
                <w:rFonts w:ascii="Arial" w:hAnsi="Arial" w:cs="Arial"/>
                <w:sz w:val="22"/>
                <w:szCs w:val="22"/>
              </w:rPr>
            </w:pPr>
            <w:r>
              <w:rPr>
                <w:rFonts w:ascii="Arial" w:hAnsi="Arial" w:cs="Arial"/>
                <w:color w:val="000000"/>
                <w:sz w:val="22"/>
                <w:szCs w:val="22"/>
              </w:rPr>
              <w:t>3.87</w:t>
            </w:r>
          </w:p>
        </w:tc>
        <w:tc>
          <w:tcPr>
            <w:tcW w:w="1421" w:type="dxa"/>
            <w:tcBorders>
              <w:left w:val="single" w:sz="4" w:space="0" w:color="auto"/>
              <w:right w:val="single" w:sz="4" w:space="0" w:color="auto"/>
            </w:tcBorders>
            <w:shd w:val="clear" w:color="auto" w:fill="auto"/>
            <w:vAlign w:val="center"/>
          </w:tcPr>
          <w:p w14:paraId="2064E9F7" w14:textId="7FEAD669" w:rsidR="00F54943" w:rsidRPr="00384864" w:rsidRDefault="00F54943" w:rsidP="00F54943">
            <w:pPr>
              <w:keepNext/>
              <w:jc w:val="right"/>
              <w:rPr>
                <w:rFonts w:ascii="Arial" w:hAnsi="Arial" w:cs="Arial"/>
                <w:sz w:val="22"/>
                <w:szCs w:val="22"/>
              </w:rPr>
            </w:pPr>
            <w:r>
              <w:rPr>
                <w:rFonts w:ascii="Arial" w:hAnsi="Arial" w:cs="Arial"/>
                <w:color w:val="000000"/>
                <w:sz w:val="22"/>
                <w:szCs w:val="22"/>
              </w:rPr>
              <w:t>N/A</w:t>
            </w:r>
          </w:p>
        </w:tc>
      </w:tr>
      <w:tr w:rsidR="00F54943" w:rsidRPr="00384864" w14:paraId="612E967D" w14:textId="77777777" w:rsidTr="00B04D5E">
        <w:trPr>
          <w:cantSplit/>
          <w:trHeight w:val="255"/>
          <w:jc w:val="center"/>
        </w:trPr>
        <w:tc>
          <w:tcPr>
            <w:tcW w:w="3402" w:type="dxa"/>
            <w:tcBorders>
              <w:left w:val="single" w:sz="4" w:space="0" w:color="auto"/>
              <w:right w:val="single" w:sz="4" w:space="0" w:color="auto"/>
            </w:tcBorders>
            <w:shd w:val="clear" w:color="auto" w:fill="auto"/>
            <w:noWrap/>
            <w:vAlign w:val="bottom"/>
          </w:tcPr>
          <w:p w14:paraId="255A1A3C" w14:textId="71FF18C0"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Pooled equity*</w:t>
            </w:r>
          </w:p>
        </w:tc>
        <w:tc>
          <w:tcPr>
            <w:tcW w:w="1417" w:type="dxa"/>
            <w:tcBorders>
              <w:left w:val="single" w:sz="4" w:space="0" w:color="auto"/>
              <w:right w:val="single" w:sz="4" w:space="0" w:color="auto"/>
            </w:tcBorders>
            <w:vAlign w:val="center"/>
          </w:tcPr>
          <w:p w14:paraId="04825ECC" w14:textId="30400C30" w:rsidR="00F54943" w:rsidRPr="00384864" w:rsidRDefault="00F54943" w:rsidP="00F54943">
            <w:pPr>
              <w:keepNext/>
              <w:jc w:val="right"/>
              <w:rPr>
                <w:rFonts w:ascii="Arial" w:hAnsi="Arial" w:cs="Arial"/>
                <w:sz w:val="22"/>
                <w:szCs w:val="22"/>
              </w:rPr>
            </w:pPr>
            <w:r>
              <w:rPr>
                <w:rFonts w:ascii="Arial" w:hAnsi="Arial" w:cs="Arial"/>
                <w:color w:val="000000"/>
                <w:sz w:val="22"/>
                <w:szCs w:val="22"/>
              </w:rPr>
              <w:t>3.0</w:t>
            </w:r>
          </w:p>
        </w:tc>
        <w:tc>
          <w:tcPr>
            <w:tcW w:w="1417" w:type="dxa"/>
            <w:tcBorders>
              <w:left w:val="single" w:sz="4" w:space="0" w:color="auto"/>
              <w:right w:val="single" w:sz="4" w:space="0" w:color="auto"/>
            </w:tcBorders>
            <w:shd w:val="clear" w:color="auto" w:fill="auto"/>
            <w:vAlign w:val="center"/>
          </w:tcPr>
          <w:p w14:paraId="6DC99113" w14:textId="1C7BC71F" w:rsidR="00F54943" w:rsidRPr="00384864" w:rsidRDefault="00AC086A" w:rsidP="00F54943">
            <w:pPr>
              <w:keepNext/>
              <w:jc w:val="right"/>
              <w:rPr>
                <w:rFonts w:ascii="Arial" w:hAnsi="Arial" w:cs="Arial"/>
                <w:sz w:val="22"/>
                <w:szCs w:val="22"/>
              </w:rPr>
            </w:pPr>
            <w:r>
              <w:rPr>
                <w:rFonts w:ascii="Arial" w:hAnsi="Arial" w:cs="Arial"/>
                <w:color w:val="000000"/>
                <w:sz w:val="22"/>
                <w:szCs w:val="22"/>
              </w:rPr>
              <w:t>(</w:t>
            </w:r>
            <w:r w:rsidR="00F54943">
              <w:rPr>
                <w:rFonts w:ascii="Arial" w:hAnsi="Arial" w:cs="Arial"/>
                <w:color w:val="000000"/>
                <w:sz w:val="22"/>
                <w:szCs w:val="22"/>
              </w:rPr>
              <w:t>2.0</w:t>
            </w:r>
            <w:r>
              <w:rPr>
                <w:rFonts w:ascii="Arial" w:hAnsi="Arial" w:cs="Arial"/>
                <w:color w:val="000000"/>
                <w:sz w:val="22"/>
                <w:szCs w:val="22"/>
              </w:rPr>
              <w:t>)</w:t>
            </w:r>
          </w:p>
        </w:tc>
        <w:tc>
          <w:tcPr>
            <w:tcW w:w="1417" w:type="dxa"/>
            <w:tcBorders>
              <w:left w:val="single" w:sz="4" w:space="0" w:color="auto"/>
              <w:right w:val="single" w:sz="4" w:space="0" w:color="auto"/>
            </w:tcBorders>
            <w:vAlign w:val="center"/>
          </w:tcPr>
          <w:p w14:paraId="6B8D4902" w14:textId="1A952612" w:rsidR="00F54943" w:rsidRPr="00384864" w:rsidRDefault="00F54943" w:rsidP="00F54943">
            <w:pPr>
              <w:keepNext/>
              <w:jc w:val="right"/>
              <w:rPr>
                <w:rFonts w:ascii="Arial" w:hAnsi="Arial" w:cs="Arial"/>
                <w:sz w:val="22"/>
                <w:szCs w:val="22"/>
              </w:rPr>
            </w:pPr>
            <w:r>
              <w:rPr>
                <w:rFonts w:ascii="Arial" w:hAnsi="Arial" w:cs="Arial"/>
                <w:color w:val="000000"/>
                <w:sz w:val="22"/>
                <w:szCs w:val="22"/>
              </w:rPr>
              <w:t>1.0</w:t>
            </w:r>
          </w:p>
        </w:tc>
        <w:tc>
          <w:tcPr>
            <w:tcW w:w="1417" w:type="dxa"/>
            <w:tcBorders>
              <w:left w:val="single" w:sz="4" w:space="0" w:color="auto"/>
              <w:right w:val="single" w:sz="4" w:space="0" w:color="auto"/>
            </w:tcBorders>
            <w:shd w:val="clear" w:color="auto" w:fill="auto"/>
            <w:vAlign w:val="center"/>
          </w:tcPr>
          <w:p w14:paraId="7C080F2C" w14:textId="13141F89" w:rsidR="00F54943" w:rsidRPr="00384864" w:rsidRDefault="00F54943" w:rsidP="00F54943">
            <w:pPr>
              <w:keepNext/>
              <w:jc w:val="right"/>
              <w:rPr>
                <w:rFonts w:ascii="Arial" w:hAnsi="Arial" w:cs="Arial"/>
                <w:sz w:val="22"/>
                <w:szCs w:val="22"/>
              </w:rPr>
            </w:pPr>
            <w:r>
              <w:rPr>
                <w:rFonts w:ascii="Arial" w:hAnsi="Arial" w:cs="Arial"/>
                <w:color w:val="000000"/>
                <w:sz w:val="22"/>
                <w:szCs w:val="22"/>
              </w:rPr>
              <w:t>8.19</w:t>
            </w:r>
          </w:p>
        </w:tc>
        <w:tc>
          <w:tcPr>
            <w:tcW w:w="1421" w:type="dxa"/>
            <w:tcBorders>
              <w:left w:val="single" w:sz="4" w:space="0" w:color="auto"/>
              <w:right w:val="single" w:sz="4" w:space="0" w:color="auto"/>
            </w:tcBorders>
            <w:shd w:val="clear" w:color="auto" w:fill="auto"/>
            <w:vAlign w:val="center"/>
          </w:tcPr>
          <w:p w14:paraId="5C3B1201" w14:textId="5E3AAA4B" w:rsidR="00F54943" w:rsidRPr="00384864" w:rsidRDefault="00F54943" w:rsidP="00F54943">
            <w:pPr>
              <w:keepNext/>
              <w:jc w:val="right"/>
              <w:rPr>
                <w:rFonts w:ascii="Arial" w:hAnsi="Arial" w:cs="Arial"/>
                <w:sz w:val="22"/>
                <w:szCs w:val="22"/>
              </w:rPr>
            </w:pPr>
            <w:r>
              <w:rPr>
                <w:rFonts w:ascii="Arial" w:hAnsi="Arial" w:cs="Arial"/>
                <w:color w:val="000000"/>
                <w:sz w:val="22"/>
                <w:szCs w:val="22"/>
              </w:rPr>
              <w:t>N/A</w:t>
            </w:r>
          </w:p>
        </w:tc>
      </w:tr>
      <w:tr w:rsidR="00F54943" w:rsidRPr="00384864" w14:paraId="181407E5" w14:textId="77777777" w:rsidTr="00B04D5E">
        <w:trPr>
          <w:cantSplit/>
          <w:trHeight w:val="255"/>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7CD3C00E" w14:textId="212518AF" w:rsidR="00F54943" w:rsidRPr="00384864" w:rsidRDefault="00F54943" w:rsidP="00F54943">
            <w:pPr>
              <w:keepNext/>
              <w:numPr>
                <w:ilvl w:val="0"/>
                <w:numId w:val="1"/>
              </w:numPr>
              <w:ind w:left="318" w:hanging="284"/>
              <w:rPr>
                <w:rFonts w:ascii="Arial" w:hAnsi="Arial" w:cs="Arial"/>
                <w:bCs/>
                <w:sz w:val="22"/>
                <w:szCs w:val="22"/>
              </w:rPr>
            </w:pPr>
            <w:r w:rsidRPr="00384864">
              <w:rPr>
                <w:rFonts w:ascii="Arial" w:hAnsi="Arial" w:cs="Arial"/>
                <w:bCs/>
                <w:sz w:val="22"/>
                <w:szCs w:val="22"/>
              </w:rPr>
              <w:t>Pooled multi-asset*</w:t>
            </w:r>
          </w:p>
        </w:tc>
        <w:tc>
          <w:tcPr>
            <w:tcW w:w="1417" w:type="dxa"/>
            <w:tcBorders>
              <w:left w:val="single" w:sz="4" w:space="0" w:color="auto"/>
              <w:bottom w:val="single" w:sz="4" w:space="0" w:color="auto"/>
              <w:right w:val="single" w:sz="4" w:space="0" w:color="auto"/>
            </w:tcBorders>
            <w:vAlign w:val="center"/>
          </w:tcPr>
          <w:p w14:paraId="27763141" w14:textId="2CB13A48" w:rsidR="00F54943" w:rsidRPr="00384864" w:rsidRDefault="00F54943" w:rsidP="00F54943">
            <w:pPr>
              <w:keepNext/>
              <w:jc w:val="right"/>
              <w:rPr>
                <w:rFonts w:ascii="Arial" w:hAnsi="Arial" w:cs="Arial"/>
                <w:sz w:val="22"/>
                <w:szCs w:val="22"/>
              </w:rPr>
            </w:pPr>
            <w:r>
              <w:rPr>
                <w:rFonts w:ascii="Arial" w:hAnsi="Arial" w:cs="Arial"/>
                <w:color w:val="000000"/>
                <w:sz w:val="22"/>
                <w:szCs w:val="22"/>
              </w:rPr>
              <w:t>3.0</w:t>
            </w:r>
          </w:p>
        </w:tc>
        <w:tc>
          <w:tcPr>
            <w:tcW w:w="1417" w:type="dxa"/>
            <w:tcBorders>
              <w:left w:val="single" w:sz="4" w:space="0" w:color="auto"/>
              <w:bottom w:val="single" w:sz="4" w:space="0" w:color="auto"/>
              <w:right w:val="single" w:sz="4" w:space="0" w:color="auto"/>
            </w:tcBorders>
            <w:shd w:val="clear" w:color="auto" w:fill="auto"/>
            <w:vAlign w:val="center"/>
          </w:tcPr>
          <w:p w14:paraId="4503B55A" w14:textId="7D5F2946" w:rsidR="00F54943" w:rsidRPr="00384864" w:rsidRDefault="00AC086A" w:rsidP="00F54943">
            <w:pPr>
              <w:keepNext/>
              <w:jc w:val="right"/>
              <w:rPr>
                <w:rFonts w:ascii="Arial" w:hAnsi="Arial" w:cs="Arial"/>
                <w:sz w:val="22"/>
                <w:szCs w:val="22"/>
              </w:rPr>
            </w:pPr>
            <w:r>
              <w:rPr>
                <w:rFonts w:ascii="Arial" w:hAnsi="Arial" w:cs="Arial"/>
                <w:color w:val="000000"/>
                <w:sz w:val="22"/>
                <w:szCs w:val="22"/>
              </w:rPr>
              <w:t>(</w:t>
            </w:r>
            <w:r w:rsidR="00F54943">
              <w:rPr>
                <w:rFonts w:ascii="Arial" w:hAnsi="Arial" w:cs="Arial"/>
                <w:color w:val="000000"/>
                <w:sz w:val="22"/>
                <w:szCs w:val="22"/>
              </w:rPr>
              <w:t>3.0</w:t>
            </w:r>
            <w:r>
              <w:rPr>
                <w:rFonts w:ascii="Arial" w:hAnsi="Arial" w:cs="Arial"/>
                <w:color w:val="000000"/>
                <w:sz w:val="22"/>
                <w:szCs w:val="22"/>
              </w:rPr>
              <w:t>)</w:t>
            </w:r>
          </w:p>
        </w:tc>
        <w:tc>
          <w:tcPr>
            <w:tcW w:w="1417" w:type="dxa"/>
            <w:tcBorders>
              <w:left w:val="single" w:sz="4" w:space="0" w:color="auto"/>
              <w:bottom w:val="single" w:sz="4" w:space="0" w:color="auto"/>
              <w:right w:val="single" w:sz="4" w:space="0" w:color="auto"/>
            </w:tcBorders>
            <w:vAlign w:val="center"/>
          </w:tcPr>
          <w:p w14:paraId="3BA1EB0C" w14:textId="68960994" w:rsidR="00F54943" w:rsidRPr="00384864" w:rsidRDefault="00F54943" w:rsidP="00F54943">
            <w:pPr>
              <w:keepNext/>
              <w:jc w:val="right"/>
              <w:rPr>
                <w:rFonts w:ascii="Arial" w:hAnsi="Arial" w:cs="Arial"/>
                <w:sz w:val="22"/>
                <w:szCs w:val="22"/>
              </w:rPr>
            </w:pPr>
            <w:r>
              <w:rPr>
                <w:rFonts w:ascii="Arial" w:hAnsi="Arial" w:cs="Arial"/>
                <w:color w:val="000000"/>
                <w:sz w:val="22"/>
                <w:szCs w:val="22"/>
              </w:rPr>
              <w:t>0.0</w:t>
            </w:r>
          </w:p>
        </w:tc>
        <w:tc>
          <w:tcPr>
            <w:tcW w:w="1417" w:type="dxa"/>
            <w:tcBorders>
              <w:left w:val="single" w:sz="4" w:space="0" w:color="auto"/>
              <w:bottom w:val="single" w:sz="4" w:space="0" w:color="auto"/>
              <w:right w:val="single" w:sz="4" w:space="0" w:color="auto"/>
            </w:tcBorders>
            <w:shd w:val="clear" w:color="auto" w:fill="auto"/>
            <w:vAlign w:val="center"/>
          </w:tcPr>
          <w:p w14:paraId="55B2C0EA" w14:textId="461148AF" w:rsidR="00F54943" w:rsidRPr="00384864" w:rsidRDefault="00F54943" w:rsidP="00F54943">
            <w:pPr>
              <w:keepNext/>
              <w:jc w:val="right"/>
              <w:rPr>
                <w:rFonts w:ascii="Arial" w:hAnsi="Arial" w:cs="Arial"/>
                <w:sz w:val="22"/>
                <w:szCs w:val="22"/>
              </w:rPr>
            </w:pPr>
            <w:r>
              <w:rPr>
                <w:rFonts w:ascii="Arial" w:hAnsi="Arial" w:cs="Arial"/>
                <w:color w:val="000000"/>
                <w:sz w:val="22"/>
                <w:szCs w:val="22"/>
              </w:rPr>
              <w:t>N/A</w:t>
            </w:r>
          </w:p>
        </w:tc>
        <w:tc>
          <w:tcPr>
            <w:tcW w:w="1421" w:type="dxa"/>
            <w:tcBorders>
              <w:left w:val="single" w:sz="4" w:space="0" w:color="auto"/>
              <w:bottom w:val="single" w:sz="4" w:space="0" w:color="auto"/>
              <w:right w:val="single" w:sz="4" w:space="0" w:color="auto"/>
            </w:tcBorders>
            <w:shd w:val="clear" w:color="auto" w:fill="auto"/>
            <w:vAlign w:val="center"/>
          </w:tcPr>
          <w:p w14:paraId="459FA1EE" w14:textId="42CEA3B2" w:rsidR="00F54943" w:rsidRPr="00384864" w:rsidRDefault="00F54943" w:rsidP="00F54943">
            <w:pPr>
              <w:keepNext/>
              <w:jc w:val="right"/>
              <w:rPr>
                <w:rFonts w:ascii="Arial" w:hAnsi="Arial" w:cs="Arial"/>
                <w:sz w:val="22"/>
                <w:szCs w:val="22"/>
              </w:rPr>
            </w:pPr>
            <w:r>
              <w:rPr>
                <w:rFonts w:ascii="Arial" w:hAnsi="Arial" w:cs="Arial"/>
                <w:color w:val="000000"/>
                <w:sz w:val="22"/>
                <w:szCs w:val="22"/>
              </w:rPr>
              <w:t>N/A</w:t>
            </w:r>
          </w:p>
        </w:tc>
      </w:tr>
      <w:tr w:rsidR="00F54943" w:rsidRPr="00384864" w14:paraId="33725710" w14:textId="77777777" w:rsidTr="00B04D5E">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95A" w14:textId="57E379E4" w:rsidR="00F54943" w:rsidRPr="00384864" w:rsidRDefault="00F54943" w:rsidP="00F54943">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71297E24" w14:textId="785BF3DB"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DEFDF" w14:textId="5A024EF1" w:rsidR="00F54943" w:rsidRPr="00384864" w:rsidRDefault="004D04CF" w:rsidP="00F54943">
            <w:pPr>
              <w:keepNext/>
              <w:jc w:val="right"/>
              <w:rPr>
                <w:rFonts w:ascii="Arial" w:hAnsi="Arial" w:cs="Arial"/>
                <w:b/>
                <w:sz w:val="22"/>
                <w:szCs w:val="22"/>
              </w:rPr>
            </w:pPr>
            <w:r>
              <w:rPr>
                <w:rFonts w:ascii="Arial" w:hAnsi="Arial" w:cs="Arial"/>
                <w:b/>
                <w:bCs/>
                <w:color w:val="000000"/>
                <w:sz w:val="22"/>
                <w:szCs w:val="22"/>
              </w:rPr>
              <w:t>(</w:t>
            </w:r>
            <w:r w:rsidR="00F54943">
              <w:rPr>
                <w:rFonts w:ascii="Arial" w:hAnsi="Arial" w:cs="Arial"/>
                <w:b/>
                <w:bCs/>
                <w:color w:val="000000"/>
                <w:sz w:val="22"/>
                <w:szCs w:val="22"/>
              </w:rPr>
              <w:t>5.0</w:t>
            </w:r>
            <w:r>
              <w:rPr>
                <w:rFonts w:ascii="Arial" w:hAnsi="Arial" w:cs="Arial"/>
                <w:b/>
                <w:bCs/>
                <w:color w:val="000000"/>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6665BC5" w14:textId="41CB593F"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F3CE" w14:textId="6FFAA6FE"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4.73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F7E0A8" w14:textId="60E53CD5" w:rsidR="00F54943" w:rsidRPr="00384864" w:rsidRDefault="00F54943" w:rsidP="00F54943">
            <w:pPr>
              <w:keepNext/>
              <w:jc w:val="right"/>
              <w:rPr>
                <w:rFonts w:ascii="Arial" w:hAnsi="Arial" w:cs="Arial"/>
                <w:b/>
                <w:sz w:val="22"/>
                <w:szCs w:val="22"/>
              </w:rPr>
            </w:pPr>
            <w:r>
              <w:rPr>
                <w:rFonts w:ascii="Arial" w:hAnsi="Arial" w:cs="Arial"/>
                <w:color w:val="000000"/>
                <w:sz w:val="22"/>
                <w:szCs w:val="22"/>
              </w:rPr>
              <w:t>N/A</w:t>
            </w:r>
          </w:p>
        </w:tc>
      </w:tr>
      <w:tr w:rsidR="00F54943" w:rsidRPr="00C64046" w14:paraId="28A5E7ED" w14:textId="77777777" w:rsidTr="00B04D5E">
        <w:trPr>
          <w:cantSplit/>
          <w:trHeight w:val="283"/>
          <w:jc w:val="center"/>
        </w:trPr>
        <w:tc>
          <w:tcPr>
            <w:tcW w:w="3402" w:type="dxa"/>
            <w:tcBorders>
              <w:left w:val="single" w:sz="4" w:space="0" w:color="auto"/>
              <w:bottom w:val="single" w:sz="4" w:space="0" w:color="auto"/>
              <w:right w:val="single" w:sz="4" w:space="0" w:color="auto"/>
            </w:tcBorders>
            <w:shd w:val="clear" w:color="auto" w:fill="auto"/>
            <w:noWrap/>
            <w:vAlign w:val="center"/>
          </w:tcPr>
          <w:p w14:paraId="4482C5F9" w14:textId="45589394" w:rsidR="00F54943" w:rsidRPr="00384864" w:rsidRDefault="00F54943" w:rsidP="00F54943">
            <w:pPr>
              <w:keepNext/>
              <w:rPr>
                <w:rFonts w:ascii="Arial" w:hAnsi="Arial" w:cs="Arial"/>
                <w:b/>
                <w:sz w:val="22"/>
                <w:szCs w:val="22"/>
              </w:rPr>
            </w:pPr>
            <w:r w:rsidRPr="00384864">
              <w:rPr>
                <w:rFonts w:ascii="Arial" w:hAnsi="Arial" w:cs="Arial"/>
                <w:b/>
                <w:sz w:val="22"/>
                <w:szCs w:val="22"/>
              </w:rPr>
              <w:t>Total investments</w:t>
            </w:r>
          </w:p>
        </w:tc>
        <w:tc>
          <w:tcPr>
            <w:tcW w:w="1417" w:type="dxa"/>
            <w:tcBorders>
              <w:left w:val="single" w:sz="4" w:space="0" w:color="auto"/>
              <w:bottom w:val="single" w:sz="4" w:space="0" w:color="auto"/>
              <w:right w:val="single" w:sz="4" w:space="0" w:color="auto"/>
            </w:tcBorders>
            <w:vAlign w:val="center"/>
          </w:tcPr>
          <w:p w14:paraId="46664E02" w14:textId="348E66A3"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106.9</w:t>
            </w:r>
          </w:p>
        </w:tc>
        <w:tc>
          <w:tcPr>
            <w:tcW w:w="1417" w:type="dxa"/>
            <w:tcBorders>
              <w:left w:val="single" w:sz="4" w:space="0" w:color="auto"/>
              <w:bottom w:val="single" w:sz="4" w:space="0" w:color="auto"/>
              <w:right w:val="single" w:sz="4" w:space="0" w:color="auto"/>
            </w:tcBorders>
            <w:shd w:val="clear" w:color="auto" w:fill="auto"/>
            <w:vAlign w:val="center"/>
          </w:tcPr>
          <w:p w14:paraId="3DAE5B2C" w14:textId="7F3A0C03"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16.5</w:t>
            </w:r>
          </w:p>
        </w:tc>
        <w:tc>
          <w:tcPr>
            <w:tcW w:w="1417" w:type="dxa"/>
            <w:tcBorders>
              <w:left w:val="single" w:sz="4" w:space="0" w:color="auto"/>
              <w:bottom w:val="single" w:sz="4" w:space="0" w:color="auto"/>
              <w:right w:val="single" w:sz="4" w:space="0" w:color="auto"/>
            </w:tcBorders>
            <w:vAlign w:val="center"/>
          </w:tcPr>
          <w:p w14:paraId="0A7D434A" w14:textId="22A7348C"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123.4</w:t>
            </w:r>
          </w:p>
        </w:tc>
        <w:tc>
          <w:tcPr>
            <w:tcW w:w="1417" w:type="dxa"/>
            <w:tcBorders>
              <w:left w:val="single" w:sz="4" w:space="0" w:color="auto"/>
              <w:bottom w:val="single" w:sz="4" w:space="0" w:color="auto"/>
              <w:right w:val="single" w:sz="4" w:space="0" w:color="auto"/>
            </w:tcBorders>
            <w:shd w:val="clear" w:color="auto" w:fill="auto"/>
            <w:vAlign w:val="center"/>
          </w:tcPr>
          <w:p w14:paraId="6019D031" w14:textId="68D5BEE9" w:rsidR="00F54943" w:rsidRPr="00384864" w:rsidRDefault="00F54943" w:rsidP="00F54943">
            <w:pPr>
              <w:keepNext/>
              <w:jc w:val="right"/>
              <w:rPr>
                <w:rFonts w:ascii="Arial" w:hAnsi="Arial" w:cs="Arial"/>
                <w:b/>
                <w:sz w:val="22"/>
                <w:szCs w:val="22"/>
              </w:rPr>
            </w:pPr>
            <w:r>
              <w:rPr>
                <w:rFonts w:ascii="Arial" w:hAnsi="Arial" w:cs="Arial"/>
                <w:b/>
                <w:bCs/>
                <w:color w:val="000000"/>
                <w:sz w:val="22"/>
                <w:szCs w:val="22"/>
              </w:rPr>
              <w:t>5.19</w:t>
            </w:r>
          </w:p>
        </w:tc>
        <w:tc>
          <w:tcPr>
            <w:tcW w:w="1421" w:type="dxa"/>
            <w:tcBorders>
              <w:left w:val="single" w:sz="4" w:space="0" w:color="auto"/>
              <w:bottom w:val="single" w:sz="4" w:space="0" w:color="auto"/>
              <w:right w:val="single" w:sz="4" w:space="0" w:color="auto"/>
            </w:tcBorders>
            <w:shd w:val="clear" w:color="auto" w:fill="auto"/>
            <w:vAlign w:val="center"/>
          </w:tcPr>
          <w:p w14:paraId="5954E36E" w14:textId="77584747" w:rsidR="00F54943" w:rsidRPr="00C64046" w:rsidRDefault="00F54943" w:rsidP="00F54943">
            <w:pPr>
              <w:keepNext/>
              <w:jc w:val="right"/>
              <w:rPr>
                <w:rFonts w:ascii="Arial" w:hAnsi="Arial" w:cs="Arial"/>
                <w:b/>
                <w:sz w:val="22"/>
                <w:szCs w:val="22"/>
              </w:rPr>
            </w:pPr>
            <w:r>
              <w:rPr>
                <w:rFonts w:ascii="Arial" w:hAnsi="Arial" w:cs="Arial"/>
                <w:b/>
                <w:bCs/>
                <w:color w:val="000000"/>
                <w:sz w:val="22"/>
                <w:szCs w:val="22"/>
              </w:rPr>
              <w:t>0.66</w:t>
            </w:r>
          </w:p>
        </w:tc>
      </w:tr>
    </w:tbl>
    <w:p w14:paraId="65BA6F40" w14:textId="1BC94190" w:rsidR="00DE6341" w:rsidRPr="0075025D" w:rsidRDefault="00DE6341" w:rsidP="00DE6341">
      <w:pPr>
        <w:pStyle w:val="ListParagraph"/>
        <w:spacing w:after="240"/>
        <w:rPr>
          <w:rFonts w:ascii="Arial" w:hAnsi="Arial" w:cs="Arial"/>
          <w:sz w:val="20"/>
          <w:szCs w:val="20"/>
        </w:rPr>
      </w:pPr>
      <w:r w:rsidRPr="0075025D">
        <w:rPr>
          <w:rFonts w:ascii="Arial" w:hAnsi="Arial" w:cs="Arial"/>
          <w:sz w:val="20"/>
          <w:szCs w:val="20"/>
        </w:rPr>
        <w:t xml:space="preserve">* The rates provided for pooled fund investments are reflective of </w:t>
      </w:r>
      <w:r w:rsidR="00136AB8" w:rsidRPr="0075025D">
        <w:rPr>
          <w:rFonts w:ascii="Arial" w:hAnsi="Arial" w:cs="Arial"/>
          <w:sz w:val="20"/>
          <w:szCs w:val="20"/>
        </w:rPr>
        <w:t>annualised income</w:t>
      </w:r>
      <w:r w:rsidR="00B57A7B" w:rsidRPr="0075025D">
        <w:rPr>
          <w:rFonts w:ascii="Arial" w:hAnsi="Arial" w:cs="Arial"/>
          <w:sz w:val="20"/>
          <w:szCs w:val="20"/>
        </w:rPr>
        <w:t xml:space="preserve"> returns</w:t>
      </w:r>
      <w:r w:rsidR="00515E42" w:rsidRPr="0075025D">
        <w:rPr>
          <w:rFonts w:ascii="Arial" w:hAnsi="Arial" w:cs="Arial"/>
          <w:sz w:val="20"/>
          <w:szCs w:val="20"/>
        </w:rPr>
        <w:t xml:space="preserve"> </w:t>
      </w:r>
      <w:r w:rsidR="00A33177" w:rsidRPr="0075025D">
        <w:rPr>
          <w:rFonts w:ascii="Arial" w:hAnsi="Arial" w:cs="Arial"/>
          <w:sz w:val="20"/>
          <w:szCs w:val="20"/>
        </w:rPr>
        <w:t>based on the market value of investments at the start of the year</w:t>
      </w:r>
      <w:r w:rsidRPr="0075025D">
        <w:rPr>
          <w:rFonts w:ascii="Arial" w:hAnsi="Arial" w:cs="Arial"/>
          <w:sz w:val="20"/>
          <w:szCs w:val="20"/>
        </w:rPr>
        <w:t>.</w:t>
      </w:r>
    </w:p>
    <w:p w14:paraId="3C4ACD15" w14:textId="26731D06" w:rsidR="00DE6341" w:rsidRPr="0075025D" w:rsidRDefault="00DE6341" w:rsidP="00DE6341">
      <w:pPr>
        <w:pStyle w:val="ListParagraph"/>
        <w:spacing w:after="240"/>
        <w:rPr>
          <w:rFonts w:ascii="Arial" w:hAnsi="Arial" w:cs="Arial"/>
          <w:sz w:val="20"/>
          <w:szCs w:val="20"/>
        </w:rPr>
      </w:pPr>
      <w:r w:rsidRPr="0075025D">
        <w:rPr>
          <w:rFonts w:ascii="Arial" w:hAnsi="Arial" w:cs="Arial"/>
          <w:sz w:val="20"/>
          <w:szCs w:val="20"/>
        </w:rPr>
        <w:t xml:space="preserve">Note: </w:t>
      </w:r>
      <w:proofErr w:type="gramStart"/>
      <w:r w:rsidRPr="0075025D">
        <w:rPr>
          <w:rFonts w:ascii="Arial" w:hAnsi="Arial" w:cs="Arial"/>
          <w:sz w:val="20"/>
          <w:szCs w:val="20"/>
        </w:rPr>
        <w:t>the</w:t>
      </w:r>
      <w:proofErr w:type="gramEnd"/>
      <w:r w:rsidR="00D8028C" w:rsidRPr="00D8028C">
        <w:rPr>
          <w:rFonts w:ascii="Arial" w:hAnsi="Arial" w:cs="Arial"/>
          <w:sz w:val="20"/>
          <w:szCs w:val="20"/>
        </w:rPr>
        <w:t xml:space="preserve"> 31 March</w:t>
      </w:r>
      <w:r w:rsidRPr="0075025D">
        <w:rPr>
          <w:rFonts w:ascii="Arial" w:hAnsi="Arial" w:cs="Arial"/>
          <w:sz w:val="20"/>
          <w:szCs w:val="20"/>
        </w:rPr>
        <w:t xml:space="preserve"> figures</w:t>
      </w:r>
      <w:r w:rsidR="00E572BE" w:rsidRPr="0075025D">
        <w:rPr>
          <w:rFonts w:ascii="Arial" w:hAnsi="Arial" w:cs="Arial"/>
          <w:sz w:val="20"/>
          <w:szCs w:val="20"/>
        </w:rPr>
        <w:t xml:space="preserve"> in</w:t>
      </w:r>
      <w:r w:rsidRPr="0075025D">
        <w:rPr>
          <w:rFonts w:ascii="Arial" w:hAnsi="Arial" w:cs="Arial"/>
          <w:sz w:val="20"/>
          <w:szCs w:val="20"/>
        </w:rPr>
        <w:t xml:space="preserve"> </w:t>
      </w:r>
      <w:r w:rsidR="00060720" w:rsidRPr="0075025D">
        <w:rPr>
          <w:rFonts w:ascii="Arial" w:hAnsi="Arial" w:cs="Arial"/>
          <w:sz w:val="20"/>
          <w:szCs w:val="20"/>
        </w:rPr>
        <w:t>T</w:t>
      </w:r>
      <w:r w:rsidRPr="0075025D">
        <w:rPr>
          <w:rFonts w:ascii="Arial" w:hAnsi="Arial" w:cs="Arial"/>
          <w:sz w:val="20"/>
          <w:szCs w:val="20"/>
        </w:rPr>
        <w:t xml:space="preserve">able </w:t>
      </w:r>
      <w:r w:rsidR="00060720" w:rsidRPr="0075025D">
        <w:rPr>
          <w:rFonts w:ascii="Arial" w:hAnsi="Arial" w:cs="Arial"/>
          <w:sz w:val="20"/>
          <w:szCs w:val="20"/>
        </w:rPr>
        <w:t>4</w:t>
      </w:r>
      <w:r w:rsidRPr="0075025D">
        <w:rPr>
          <w:rFonts w:ascii="Arial" w:hAnsi="Arial" w:cs="Arial"/>
          <w:sz w:val="20"/>
          <w:szCs w:val="20"/>
        </w:rPr>
        <w:t xml:space="preserve"> are from the balance sheet in the PCC’s accounts, but adjusted to exclude operational cash, accrued interest and other accounting adjustments.</w:t>
      </w:r>
    </w:p>
    <w:p w14:paraId="249BE56D" w14:textId="7893273D" w:rsidR="00ED0957" w:rsidRPr="003C0779" w:rsidRDefault="00DA7460" w:rsidP="003C3808">
      <w:pPr>
        <w:pStyle w:val="ListParagraph"/>
        <w:numPr>
          <w:ilvl w:val="1"/>
          <w:numId w:val="2"/>
        </w:numPr>
        <w:spacing w:after="240"/>
        <w:ind w:left="720" w:hanging="720"/>
        <w:rPr>
          <w:rFonts w:ascii="Arial" w:hAnsi="Arial" w:cs="Arial"/>
        </w:rPr>
      </w:pPr>
      <w:r>
        <w:rPr>
          <w:rFonts w:ascii="Arial" w:hAnsi="Arial" w:cs="Arial"/>
        </w:rPr>
        <w:t xml:space="preserve">The </w:t>
      </w:r>
      <w:r w:rsidR="009203EE">
        <w:rPr>
          <w:rFonts w:ascii="Arial" w:hAnsi="Arial" w:cs="Arial"/>
        </w:rPr>
        <w:t>increase in i</w:t>
      </w:r>
      <w:r>
        <w:rPr>
          <w:rFonts w:ascii="Arial" w:hAnsi="Arial" w:cs="Arial"/>
        </w:rPr>
        <w:t xml:space="preserve">nvestment balances since the year end can primarily be attributed to the </w:t>
      </w:r>
      <w:r w:rsidR="009203EE">
        <w:rPr>
          <w:rFonts w:ascii="Arial" w:hAnsi="Arial" w:cs="Arial"/>
        </w:rPr>
        <w:t>receipt of</w:t>
      </w:r>
      <w:r w:rsidR="00361E44">
        <w:rPr>
          <w:rFonts w:ascii="Arial" w:hAnsi="Arial" w:cs="Arial"/>
        </w:rPr>
        <w:t xml:space="preserve"> the Police</w:t>
      </w:r>
      <w:r w:rsidR="009203EE">
        <w:rPr>
          <w:rFonts w:ascii="Arial" w:hAnsi="Arial" w:cs="Arial"/>
        </w:rPr>
        <w:t xml:space="preserve"> </w:t>
      </w:r>
      <w:r w:rsidR="009A6B24">
        <w:rPr>
          <w:rFonts w:ascii="Arial" w:hAnsi="Arial" w:cs="Arial"/>
        </w:rPr>
        <w:t>pension</w:t>
      </w:r>
      <w:r w:rsidR="009203EE">
        <w:rPr>
          <w:rFonts w:ascii="Arial" w:hAnsi="Arial" w:cs="Arial"/>
        </w:rPr>
        <w:t xml:space="preserve"> grant </w:t>
      </w:r>
      <w:r w:rsidR="0030290B">
        <w:rPr>
          <w:rFonts w:ascii="Arial" w:hAnsi="Arial" w:cs="Arial"/>
        </w:rPr>
        <w:t>during July</w:t>
      </w:r>
      <w:r w:rsidR="0074355A">
        <w:rPr>
          <w:rFonts w:ascii="Arial" w:hAnsi="Arial" w:cs="Arial"/>
        </w:rPr>
        <w:t xml:space="preserve"> which equated to £58.0m. This </w:t>
      </w:r>
      <w:r w:rsidR="00B90936">
        <w:rPr>
          <w:rFonts w:ascii="Arial" w:hAnsi="Arial" w:cs="Arial"/>
        </w:rPr>
        <w:t>funding</w:t>
      </w:r>
      <w:r w:rsidR="00287A8E">
        <w:rPr>
          <w:rFonts w:ascii="Arial" w:hAnsi="Arial" w:cs="Arial"/>
        </w:rPr>
        <w:t xml:space="preserve"> </w:t>
      </w:r>
      <w:r w:rsidR="003B76C7">
        <w:rPr>
          <w:rFonts w:ascii="Arial" w:hAnsi="Arial" w:cs="Arial"/>
        </w:rPr>
        <w:t xml:space="preserve">was offset to a large degree by the </w:t>
      </w:r>
      <w:r w:rsidR="009451C3" w:rsidRPr="003C0779">
        <w:rPr>
          <w:rFonts w:ascii="Arial" w:hAnsi="Arial" w:cs="Arial"/>
        </w:rPr>
        <w:t xml:space="preserve">payment of </w:t>
      </w:r>
      <w:r w:rsidR="00607869" w:rsidRPr="003C0779">
        <w:rPr>
          <w:rFonts w:ascii="Arial" w:hAnsi="Arial" w:cs="Arial"/>
        </w:rPr>
        <w:t>£</w:t>
      </w:r>
      <w:r w:rsidR="00184283" w:rsidRPr="003C0779">
        <w:rPr>
          <w:rFonts w:ascii="Arial" w:hAnsi="Arial" w:cs="Arial"/>
        </w:rPr>
        <w:t xml:space="preserve">39.5m </w:t>
      </w:r>
      <w:r w:rsidR="00384F07">
        <w:rPr>
          <w:rFonts w:ascii="Arial" w:hAnsi="Arial" w:cs="Arial"/>
        </w:rPr>
        <w:t>on 1</w:t>
      </w:r>
      <w:r w:rsidR="00384F07" w:rsidRPr="00384F07">
        <w:rPr>
          <w:rFonts w:ascii="Arial" w:hAnsi="Arial" w:cs="Arial"/>
          <w:vertAlign w:val="superscript"/>
        </w:rPr>
        <w:t>st</w:t>
      </w:r>
      <w:r w:rsidR="00384F07">
        <w:rPr>
          <w:rFonts w:ascii="Arial" w:hAnsi="Arial" w:cs="Arial"/>
        </w:rPr>
        <w:t xml:space="preserve"> April </w:t>
      </w:r>
      <w:r w:rsidR="00184283" w:rsidRPr="003C0779">
        <w:rPr>
          <w:rFonts w:ascii="Arial" w:hAnsi="Arial" w:cs="Arial"/>
        </w:rPr>
        <w:t xml:space="preserve">to </w:t>
      </w:r>
      <w:r w:rsidR="00B31182">
        <w:rPr>
          <w:rFonts w:ascii="Arial" w:hAnsi="Arial" w:cs="Arial"/>
        </w:rPr>
        <w:t>pre-</w:t>
      </w:r>
      <w:r w:rsidR="00184283" w:rsidRPr="003C0779">
        <w:rPr>
          <w:rFonts w:ascii="Arial" w:hAnsi="Arial" w:cs="Arial"/>
        </w:rPr>
        <w:t xml:space="preserve">pay </w:t>
      </w:r>
      <w:r w:rsidR="00516B1F">
        <w:rPr>
          <w:rFonts w:ascii="Arial" w:hAnsi="Arial" w:cs="Arial"/>
        </w:rPr>
        <w:t>three</w:t>
      </w:r>
      <w:r w:rsidR="00184283" w:rsidRPr="003C0779">
        <w:rPr>
          <w:rFonts w:ascii="Arial" w:hAnsi="Arial" w:cs="Arial"/>
        </w:rPr>
        <w:t xml:space="preserve"> years of employer pension contributions </w:t>
      </w:r>
      <w:r w:rsidR="00756852" w:rsidRPr="003C0779">
        <w:rPr>
          <w:rFonts w:ascii="Arial" w:hAnsi="Arial" w:cs="Arial"/>
        </w:rPr>
        <w:t>in advance</w:t>
      </w:r>
      <w:r w:rsidR="003B76C7">
        <w:rPr>
          <w:rFonts w:ascii="Arial" w:hAnsi="Arial" w:cs="Arial"/>
        </w:rPr>
        <w:t>, as previously highlighted in the Quarter 1 report</w:t>
      </w:r>
      <w:r w:rsidR="00756852" w:rsidRPr="003C0779">
        <w:rPr>
          <w:rFonts w:ascii="Arial" w:hAnsi="Arial" w:cs="Arial"/>
        </w:rPr>
        <w:t xml:space="preserve">. </w:t>
      </w:r>
      <w:r w:rsidR="008A0012" w:rsidRPr="003C0779">
        <w:rPr>
          <w:rFonts w:ascii="Arial" w:hAnsi="Arial" w:cs="Arial"/>
        </w:rPr>
        <w:t>By making this payment in advance</w:t>
      </w:r>
      <w:r w:rsidR="00283119" w:rsidRPr="003C0779">
        <w:rPr>
          <w:rFonts w:ascii="Arial" w:hAnsi="Arial" w:cs="Arial"/>
        </w:rPr>
        <w:t xml:space="preserve"> the PCC </w:t>
      </w:r>
      <w:r w:rsidR="004D0929" w:rsidRPr="003C0779">
        <w:rPr>
          <w:rFonts w:ascii="Arial" w:hAnsi="Arial" w:cs="Arial"/>
        </w:rPr>
        <w:t>has received</w:t>
      </w:r>
      <w:r w:rsidR="00051F56" w:rsidRPr="003C0779">
        <w:rPr>
          <w:rFonts w:ascii="Arial" w:hAnsi="Arial" w:cs="Arial"/>
        </w:rPr>
        <w:t xml:space="preserve"> a discount of 4.4%pa, </w:t>
      </w:r>
      <w:r w:rsidR="00C57DF3">
        <w:rPr>
          <w:rFonts w:ascii="Arial" w:hAnsi="Arial" w:cs="Arial"/>
        </w:rPr>
        <w:t xml:space="preserve">which will deliver a saving/an effective return </w:t>
      </w:r>
      <w:r w:rsidR="00051F56" w:rsidRPr="003C0779">
        <w:rPr>
          <w:rFonts w:ascii="Arial" w:hAnsi="Arial" w:cs="Arial"/>
        </w:rPr>
        <w:t xml:space="preserve">estimated at </w:t>
      </w:r>
      <w:r w:rsidR="00D20348" w:rsidRPr="003C0779">
        <w:rPr>
          <w:rFonts w:ascii="Arial" w:hAnsi="Arial" w:cs="Arial"/>
        </w:rPr>
        <w:t>£2.6m over 3 years</w:t>
      </w:r>
      <w:r w:rsidR="00FD72F7" w:rsidRPr="003C0779">
        <w:rPr>
          <w:rFonts w:ascii="Arial" w:hAnsi="Arial" w:cs="Arial"/>
        </w:rPr>
        <w:t>.</w:t>
      </w:r>
    </w:p>
    <w:p w14:paraId="1CAA6883" w14:textId="59334EC3" w:rsidR="00155FC6" w:rsidRPr="00821BEC" w:rsidRDefault="00FA1B13" w:rsidP="003C3808">
      <w:pPr>
        <w:pStyle w:val="ListParagraph"/>
        <w:numPr>
          <w:ilvl w:val="1"/>
          <w:numId w:val="2"/>
        </w:numPr>
        <w:spacing w:after="240"/>
        <w:ind w:left="720" w:hanging="720"/>
        <w:rPr>
          <w:rFonts w:ascii="Arial" w:hAnsi="Arial" w:cs="Arial"/>
        </w:rPr>
      </w:pPr>
      <w:r w:rsidRPr="00821BEC">
        <w:rPr>
          <w:rFonts w:ascii="Arial" w:hAnsi="Arial" w:cs="Arial"/>
        </w:rPr>
        <w:t xml:space="preserve">The CIPFA Code and government guidance both require the PCC to invest its funds prudently, and to have regard to the security and liquidity of its investments before seeking the </w:t>
      </w:r>
      <w:r w:rsidR="00DA2BA6">
        <w:rPr>
          <w:rFonts w:ascii="Arial" w:hAnsi="Arial" w:cs="Arial"/>
        </w:rPr>
        <w:t>optimum</w:t>
      </w:r>
      <w:r w:rsidRPr="00821BEC">
        <w:rPr>
          <w:rFonts w:ascii="Arial" w:hAnsi="Arial" w:cs="Arial"/>
        </w:rPr>
        <w:t xml:space="preserve"> rate of return, or yield. The PCC’s objective when investing money is therefore to strike an appropriate balance between risk and return, minimising the risk of incurring losses from defaults a</w:t>
      </w:r>
      <w:r w:rsidR="00370A7F" w:rsidRPr="00821BEC">
        <w:rPr>
          <w:rFonts w:ascii="Arial" w:hAnsi="Arial" w:cs="Arial"/>
        </w:rPr>
        <w:t>longside</w:t>
      </w:r>
      <w:r w:rsidRPr="00821BEC">
        <w:rPr>
          <w:rFonts w:ascii="Arial" w:hAnsi="Arial" w:cs="Arial"/>
        </w:rPr>
        <w:t xml:space="preserve"> the risk of receiving unsuitably low investment income</w:t>
      </w:r>
      <w:r w:rsidR="00BF117E" w:rsidRPr="00821BEC">
        <w:rPr>
          <w:rFonts w:ascii="Arial" w:hAnsi="Arial" w:cs="Arial"/>
        </w:rPr>
        <w:t>.</w:t>
      </w:r>
      <w:r w:rsidR="00370A7F" w:rsidRPr="00821BEC">
        <w:rPr>
          <w:rFonts w:ascii="Arial" w:hAnsi="Arial" w:cs="Arial"/>
        </w:rPr>
        <w:t xml:space="preserve"> The PCC’s Treasury Management Strategy Statement (TMSS) </w:t>
      </w:r>
      <w:r w:rsidR="007B7754" w:rsidRPr="00821BEC">
        <w:rPr>
          <w:rFonts w:ascii="Arial" w:hAnsi="Arial" w:cs="Arial"/>
        </w:rPr>
        <w:t>sets out how it will manage and mitigate these risks.</w:t>
      </w:r>
    </w:p>
    <w:p w14:paraId="507820D0" w14:textId="3A2D2A72" w:rsidR="00DE6341" w:rsidRPr="000E3EEB" w:rsidRDefault="00323561" w:rsidP="003C3808">
      <w:pPr>
        <w:pStyle w:val="ListParagraph"/>
        <w:numPr>
          <w:ilvl w:val="1"/>
          <w:numId w:val="2"/>
        </w:numPr>
        <w:spacing w:after="240"/>
        <w:ind w:left="720" w:hanging="720"/>
        <w:rPr>
          <w:rFonts w:ascii="Arial" w:hAnsi="Arial" w:cs="Arial"/>
        </w:rPr>
      </w:pPr>
      <w:r w:rsidRPr="00323561">
        <w:rPr>
          <w:rFonts w:ascii="Arial" w:hAnsi="Arial" w:cs="Arial"/>
        </w:rPr>
        <w:lastRenderedPageBreak/>
        <w:t xml:space="preserve">As demonstrated by the liability benchmark in this report, the </w:t>
      </w:r>
      <w:r w:rsidR="00E748FA">
        <w:rPr>
          <w:rFonts w:ascii="Arial" w:hAnsi="Arial" w:cs="Arial"/>
        </w:rPr>
        <w:t>PCC</w:t>
      </w:r>
      <w:r w:rsidRPr="00323561">
        <w:rPr>
          <w:rFonts w:ascii="Arial" w:hAnsi="Arial" w:cs="Arial"/>
        </w:rPr>
        <w:t xml:space="preserve"> expects to be a long-term investor and treasury investments therefore include both short-term low risk instruments to manage day-to-day cash flows and longer-term instruments where limited additional risk is accepted in return for higher investment income to support services</w:t>
      </w:r>
      <w:r w:rsidR="00ED0190" w:rsidRPr="000E3EEB">
        <w:rPr>
          <w:rFonts w:ascii="Arial" w:hAnsi="Arial" w:cs="Arial"/>
        </w:rPr>
        <w:t xml:space="preserve">. </w:t>
      </w:r>
    </w:p>
    <w:p w14:paraId="67C012D2" w14:textId="6CCF311B" w:rsidR="404446FA" w:rsidRDefault="404446FA" w:rsidP="68D35CC4">
      <w:pPr>
        <w:pStyle w:val="ListParagraph"/>
        <w:numPr>
          <w:ilvl w:val="1"/>
          <w:numId w:val="2"/>
        </w:numPr>
        <w:spacing w:after="240"/>
        <w:ind w:left="720" w:hanging="720"/>
        <w:rPr>
          <w:rFonts w:ascii="Arial" w:hAnsi="Arial" w:cs="Arial"/>
        </w:rPr>
      </w:pPr>
      <w:r w:rsidRPr="68D35CC4">
        <w:rPr>
          <w:rFonts w:ascii="Arial" w:hAnsi="Arial" w:cs="Arial"/>
        </w:rPr>
        <w:t xml:space="preserve">Over this financial year to date Bank Rate has increased by 1%, from 4.25% to 5.25% as </w:t>
      </w:r>
      <w:proofErr w:type="gramStart"/>
      <w:r w:rsidRPr="68D35CC4">
        <w:rPr>
          <w:rFonts w:ascii="Arial" w:hAnsi="Arial" w:cs="Arial"/>
        </w:rPr>
        <w:t>at</w:t>
      </w:r>
      <w:proofErr w:type="gramEnd"/>
      <w:r w:rsidRPr="68D35CC4">
        <w:rPr>
          <w:rFonts w:ascii="Arial" w:hAnsi="Arial" w:cs="Arial"/>
        </w:rPr>
        <w:t xml:space="preserve"> 30 September 2023. Short term investment interest rates have risen commensurately, with 3-month rates rising to around </w:t>
      </w:r>
      <w:proofErr w:type="gramStart"/>
      <w:r w:rsidRPr="68D35CC4">
        <w:rPr>
          <w:rFonts w:ascii="Arial" w:hAnsi="Arial" w:cs="Arial"/>
        </w:rPr>
        <w:t>5.25%, and 12 month</w:t>
      </w:r>
      <w:proofErr w:type="gramEnd"/>
      <w:r w:rsidRPr="68D35CC4">
        <w:rPr>
          <w:rFonts w:ascii="Arial" w:hAnsi="Arial" w:cs="Arial"/>
        </w:rPr>
        <w:t xml:space="preserve"> rates to nearly 6%. The interest rates on Debt Management Account Deposit Facility (DMADF) deposits also rose, ranging between 4.8% and 5.4% and Money Market Rates between 5.0% and 5.3%.</w:t>
      </w:r>
    </w:p>
    <w:p w14:paraId="486E6B11" w14:textId="1B11A4EC" w:rsidR="00DE6341" w:rsidRDefault="00E561CC" w:rsidP="003C3808">
      <w:pPr>
        <w:pStyle w:val="ListParagraph"/>
        <w:numPr>
          <w:ilvl w:val="1"/>
          <w:numId w:val="2"/>
        </w:numPr>
        <w:spacing w:after="240"/>
        <w:ind w:left="720" w:hanging="720"/>
        <w:rPr>
          <w:rFonts w:ascii="Arial" w:hAnsi="Arial" w:cs="Arial"/>
        </w:rPr>
      </w:pPr>
      <w:r w:rsidRPr="00E561CC">
        <w:rPr>
          <w:rFonts w:ascii="Arial" w:hAnsi="Arial" w:cs="Arial"/>
        </w:rPr>
        <w:t xml:space="preserve">The progression of risk and return metrics are shown in the extracts from </w:t>
      </w:r>
      <w:proofErr w:type="spellStart"/>
      <w:r w:rsidRPr="00E561CC">
        <w:rPr>
          <w:rFonts w:ascii="Arial" w:hAnsi="Arial" w:cs="Arial"/>
        </w:rPr>
        <w:t>Arlingclose’s</w:t>
      </w:r>
      <w:proofErr w:type="spellEnd"/>
      <w:r w:rsidRPr="00E561CC">
        <w:rPr>
          <w:rFonts w:ascii="Arial" w:hAnsi="Arial" w:cs="Arial"/>
        </w:rPr>
        <w:t xml:space="preserve"> quarterly investment benchmarking in Table 5.</w:t>
      </w:r>
    </w:p>
    <w:tbl>
      <w:tblPr>
        <w:tblW w:w="84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7"/>
        <w:gridCol w:w="1417"/>
        <w:gridCol w:w="1417"/>
      </w:tblGrid>
      <w:tr w:rsidR="00DF17C1" w:rsidRPr="00DB57E5" w14:paraId="3F5544CA" w14:textId="77777777" w:rsidTr="008C49F8">
        <w:tc>
          <w:tcPr>
            <w:tcW w:w="2802" w:type="dxa"/>
            <w:tcBorders>
              <w:top w:val="single" w:sz="4" w:space="0" w:color="auto"/>
              <w:bottom w:val="single" w:sz="4" w:space="0" w:color="auto"/>
            </w:tcBorders>
            <w:shd w:val="clear" w:color="auto" w:fill="auto"/>
          </w:tcPr>
          <w:p w14:paraId="54FD7297" w14:textId="77777777" w:rsidR="00DF17C1" w:rsidRPr="00DB57E5" w:rsidRDefault="00DF17C1" w:rsidP="008C49F8">
            <w:pPr>
              <w:pStyle w:val="ListParagraph"/>
              <w:keepNext/>
              <w:keepLines/>
              <w:ind w:left="0"/>
              <w:rPr>
                <w:rFonts w:ascii="Arial" w:hAnsi="Arial" w:cs="Arial"/>
                <w:b/>
                <w:bCs/>
              </w:rPr>
            </w:pPr>
            <w:r w:rsidRPr="00DB57E5">
              <w:rPr>
                <w:rFonts w:ascii="Arial" w:hAnsi="Arial" w:cs="Arial"/>
                <w:b/>
                <w:bCs/>
              </w:rPr>
              <w:t>Table 5: Investment benchmarking (excluding pooled funds)</w:t>
            </w:r>
          </w:p>
        </w:tc>
        <w:tc>
          <w:tcPr>
            <w:tcW w:w="1417" w:type="dxa"/>
            <w:tcBorders>
              <w:top w:val="single" w:sz="4" w:space="0" w:color="auto"/>
              <w:bottom w:val="single" w:sz="4" w:space="0" w:color="auto"/>
            </w:tcBorders>
            <w:shd w:val="clear" w:color="auto" w:fill="auto"/>
          </w:tcPr>
          <w:p w14:paraId="1A21E91E" w14:textId="77777777" w:rsidR="00DF17C1" w:rsidRPr="00DB57E5" w:rsidRDefault="00DF17C1" w:rsidP="008C49F8">
            <w:pPr>
              <w:pStyle w:val="ListParagraph"/>
              <w:keepNext/>
              <w:keepLines/>
              <w:ind w:left="0"/>
              <w:jc w:val="center"/>
              <w:rPr>
                <w:rFonts w:ascii="Arial" w:hAnsi="Arial" w:cs="Arial"/>
                <w:b/>
                <w:bCs/>
              </w:rPr>
            </w:pPr>
            <w:r w:rsidRPr="00DB57E5">
              <w:rPr>
                <w:rFonts w:ascii="Arial" w:hAnsi="Arial" w:cs="Arial"/>
                <w:b/>
                <w:bCs/>
              </w:rPr>
              <w:t>Credit rating</w:t>
            </w:r>
          </w:p>
        </w:tc>
        <w:tc>
          <w:tcPr>
            <w:tcW w:w="1417" w:type="dxa"/>
            <w:tcBorders>
              <w:top w:val="single" w:sz="4" w:space="0" w:color="auto"/>
              <w:bottom w:val="single" w:sz="4" w:space="0" w:color="auto"/>
            </w:tcBorders>
            <w:shd w:val="clear" w:color="auto" w:fill="auto"/>
          </w:tcPr>
          <w:p w14:paraId="21F8EAB5" w14:textId="77777777" w:rsidR="00DF17C1" w:rsidRPr="00DB57E5" w:rsidRDefault="00DF17C1" w:rsidP="008C49F8">
            <w:pPr>
              <w:pStyle w:val="ListParagraph"/>
              <w:keepNext/>
              <w:keepLines/>
              <w:ind w:left="0"/>
              <w:jc w:val="center"/>
              <w:rPr>
                <w:rFonts w:ascii="Arial" w:hAnsi="Arial" w:cs="Arial"/>
                <w:b/>
                <w:bCs/>
              </w:rPr>
            </w:pPr>
            <w:r w:rsidRPr="00DB57E5">
              <w:rPr>
                <w:rFonts w:ascii="Arial" w:hAnsi="Arial" w:cs="Arial"/>
                <w:b/>
                <w:bCs/>
              </w:rPr>
              <w:t>Bail-in exposure</w:t>
            </w:r>
          </w:p>
        </w:tc>
        <w:tc>
          <w:tcPr>
            <w:tcW w:w="1417" w:type="dxa"/>
            <w:tcBorders>
              <w:top w:val="single" w:sz="4" w:space="0" w:color="auto"/>
              <w:bottom w:val="single" w:sz="4" w:space="0" w:color="auto"/>
            </w:tcBorders>
            <w:shd w:val="clear" w:color="auto" w:fill="auto"/>
          </w:tcPr>
          <w:p w14:paraId="6550EE2E" w14:textId="77777777" w:rsidR="00DF17C1" w:rsidRPr="00DB57E5" w:rsidRDefault="00DF17C1" w:rsidP="008C49F8">
            <w:pPr>
              <w:pStyle w:val="ListParagraph"/>
              <w:keepNext/>
              <w:keepLines/>
              <w:ind w:left="0"/>
              <w:jc w:val="center"/>
              <w:rPr>
                <w:rFonts w:ascii="Arial" w:hAnsi="Arial" w:cs="Arial"/>
                <w:b/>
                <w:bCs/>
              </w:rPr>
            </w:pPr>
            <w:r w:rsidRPr="00DB57E5">
              <w:rPr>
                <w:rFonts w:ascii="Arial" w:hAnsi="Arial" w:cs="Arial"/>
                <w:b/>
                <w:bCs/>
              </w:rPr>
              <w:t>Weighted average maturity</w:t>
            </w:r>
            <w:r w:rsidRPr="00DB57E5">
              <w:rPr>
                <w:rFonts w:ascii="Arial" w:hAnsi="Arial" w:cs="Arial"/>
                <w:b/>
                <w:bCs/>
              </w:rPr>
              <w:br/>
              <w:t>(days)</w:t>
            </w:r>
          </w:p>
        </w:tc>
        <w:tc>
          <w:tcPr>
            <w:tcW w:w="1417" w:type="dxa"/>
            <w:tcBorders>
              <w:top w:val="single" w:sz="4" w:space="0" w:color="auto"/>
              <w:bottom w:val="single" w:sz="4" w:space="0" w:color="auto"/>
            </w:tcBorders>
            <w:shd w:val="clear" w:color="auto" w:fill="auto"/>
          </w:tcPr>
          <w:p w14:paraId="6CCE3F0A" w14:textId="77777777" w:rsidR="00DF17C1" w:rsidRPr="00DB57E5" w:rsidRDefault="00DF17C1" w:rsidP="008C49F8">
            <w:pPr>
              <w:pStyle w:val="ListParagraph"/>
              <w:keepNext/>
              <w:keepLines/>
              <w:ind w:left="0"/>
              <w:jc w:val="center"/>
              <w:rPr>
                <w:rFonts w:ascii="Arial" w:hAnsi="Arial" w:cs="Arial"/>
                <w:b/>
                <w:bCs/>
              </w:rPr>
            </w:pPr>
            <w:r w:rsidRPr="00DB57E5">
              <w:rPr>
                <w:rFonts w:ascii="Arial" w:hAnsi="Arial" w:cs="Arial"/>
                <w:b/>
                <w:bCs/>
              </w:rPr>
              <w:t>Rate of return</w:t>
            </w:r>
          </w:p>
        </w:tc>
      </w:tr>
      <w:tr w:rsidR="00C76028" w:rsidRPr="00DB57E5" w14:paraId="61F11705" w14:textId="77777777" w:rsidTr="00E14A6E">
        <w:tc>
          <w:tcPr>
            <w:tcW w:w="2802" w:type="dxa"/>
            <w:tcBorders>
              <w:top w:val="single" w:sz="4" w:space="0" w:color="auto"/>
              <w:left w:val="single" w:sz="4" w:space="0" w:color="auto"/>
              <w:bottom w:val="nil"/>
              <w:right w:val="single" w:sz="4" w:space="0" w:color="auto"/>
            </w:tcBorders>
            <w:shd w:val="clear" w:color="auto" w:fill="auto"/>
          </w:tcPr>
          <w:p w14:paraId="453CD16C" w14:textId="77777777" w:rsidR="00C76028" w:rsidRPr="00DB57E5" w:rsidRDefault="00C76028" w:rsidP="00C76028">
            <w:pPr>
              <w:pStyle w:val="ListParagraph"/>
              <w:keepNext/>
              <w:keepLines/>
              <w:ind w:left="0"/>
              <w:rPr>
                <w:rFonts w:ascii="Arial" w:hAnsi="Arial" w:cs="Arial"/>
              </w:rPr>
            </w:pPr>
            <w:r w:rsidRPr="00DB57E5">
              <w:rPr>
                <w:rFonts w:ascii="Arial" w:hAnsi="Arial" w:cs="Arial"/>
              </w:rPr>
              <w:t>31.03.202</w:t>
            </w:r>
            <w:r>
              <w:rPr>
                <w:rFonts w:ascii="Arial" w:hAnsi="Arial" w:cs="Arial"/>
              </w:rPr>
              <w:t>3</w:t>
            </w:r>
          </w:p>
        </w:tc>
        <w:tc>
          <w:tcPr>
            <w:tcW w:w="1417" w:type="dxa"/>
            <w:tcBorders>
              <w:top w:val="single" w:sz="4" w:space="0" w:color="auto"/>
              <w:left w:val="single" w:sz="4" w:space="0" w:color="auto"/>
              <w:bottom w:val="nil"/>
              <w:right w:val="single" w:sz="4" w:space="0" w:color="auto"/>
            </w:tcBorders>
            <w:shd w:val="clear" w:color="auto" w:fill="auto"/>
            <w:vAlign w:val="center"/>
          </w:tcPr>
          <w:p w14:paraId="493B067C" w14:textId="78908491"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78748C40" w14:textId="7200E5C3"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74%</w:t>
            </w:r>
          </w:p>
        </w:tc>
        <w:tc>
          <w:tcPr>
            <w:tcW w:w="1417" w:type="dxa"/>
            <w:tcBorders>
              <w:top w:val="single" w:sz="4" w:space="0" w:color="auto"/>
              <w:left w:val="single" w:sz="4" w:space="0" w:color="auto"/>
              <w:bottom w:val="nil"/>
              <w:right w:val="single" w:sz="4" w:space="0" w:color="auto"/>
            </w:tcBorders>
            <w:shd w:val="clear" w:color="auto" w:fill="auto"/>
            <w:vAlign w:val="center"/>
          </w:tcPr>
          <w:p w14:paraId="2A355ED9" w14:textId="446F1C04"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60</w:t>
            </w:r>
          </w:p>
        </w:tc>
        <w:tc>
          <w:tcPr>
            <w:tcW w:w="1417" w:type="dxa"/>
            <w:tcBorders>
              <w:top w:val="single" w:sz="4" w:space="0" w:color="auto"/>
              <w:left w:val="single" w:sz="4" w:space="0" w:color="auto"/>
              <w:bottom w:val="nil"/>
              <w:right w:val="single" w:sz="4" w:space="0" w:color="auto"/>
            </w:tcBorders>
            <w:shd w:val="clear" w:color="auto" w:fill="auto"/>
            <w:vAlign w:val="center"/>
          </w:tcPr>
          <w:p w14:paraId="5C847E60" w14:textId="15FB6627"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4.01%</w:t>
            </w:r>
          </w:p>
        </w:tc>
      </w:tr>
      <w:tr w:rsidR="00C76028" w:rsidRPr="00DB57E5" w14:paraId="18533257" w14:textId="77777777" w:rsidTr="008C49F8">
        <w:tc>
          <w:tcPr>
            <w:tcW w:w="2802" w:type="dxa"/>
            <w:tcBorders>
              <w:top w:val="nil"/>
              <w:left w:val="single" w:sz="4" w:space="0" w:color="auto"/>
              <w:bottom w:val="single" w:sz="4" w:space="0" w:color="auto"/>
              <w:right w:val="single" w:sz="4" w:space="0" w:color="auto"/>
            </w:tcBorders>
            <w:shd w:val="clear" w:color="auto" w:fill="auto"/>
          </w:tcPr>
          <w:p w14:paraId="790CF51A" w14:textId="77777777" w:rsidR="00C76028" w:rsidRPr="00DB57E5" w:rsidRDefault="00C76028" w:rsidP="00C76028">
            <w:pPr>
              <w:pStyle w:val="ListParagraph"/>
              <w:keepNext/>
              <w:keepLines/>
              <w:ind w:left="0"/>
              <w:rPr>
                <w:rFonts w:ascii="Arial" w:hAnsi="Arial" w:cs="Arial"/>
              </w:rPr>
            </w:pPr>
            <w:r>
              <w:rPr>
                <w:rFonts w:ascii="Arial" w:hAnsi="Arial" w:cs="Arial"/>
              </w:rPr>
              <w:t>30.09.2023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23E1EE" w14:textId="688AA1E2"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AA+</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9F281F" w14:textId="29715264"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36%</w:t>
            </w:r>
          </w:p>
        </w:tc>
        <w:tc>
          <w:tcPr>
            <w:tcW w:w="1417" w:type="dxa"/>
            <w:tcBorders>
              <w:top w:val="nil"/>
              <w:left w:val="single" w:sz="4" w:space="0" w:color="auto"/>
              <w:bottom w:val="single" w:sz="4" w:space="0" w:color="auto"/>
              <w:right w:val="single" w:sz="4" w:space="0" w:color="auto"/>
            </w:tcBorders>
            <w:shd w:val="clear" w:color="auto" w:fill="auto"/>
            <w:vAlign w:val="center"/>
          </w:tcPr>
          <w:p w14:paraId="6CD32419" w14:textId="7B728065"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247</w:t>
            </w:r>
          </w:p>
        </w:tc>
        <w:tc>
          <w:tcPr>
            <w:tcW w:w="1417" w:type="dxa"/>
            <w:tcBorders>
              <w:top w:val="nil"/>
              <w:left w:val="single" w:sz="4" w:space="0" w:color="auto"/>
              <w:bottom w:val="single" w:sz="4" w:space="0" w:color="auto"/>
              <w:right w:val="single" w:sz="4" w:space="0" w:color="auto"/>
            </w:tcBorders>
            <w:shd w:val="clear" w:color="auto" w:fill="auto"/>
            <w:vAlign w:val="center"/>
          </w:tcPr>
          <w:p w14:paraId="7B1CBB87" w14:textId="72B49A20"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5.18%</w:t>
            </w:r>
          </w:p>
        </w:tc>
      </w:tr>
      <w:tr w:rsidR="00C76028" w:rsidRPr="00DB57E5" w14:paraId="7A27ABFC" w14:textId="77777777" w:rsidTr="008C49F8">
        <w:tc>
          <w:tcPr>
            <w:tcW w:w="2802" w:type="dxa"/>
            <w:tcBorders>
              <w:top w:val="single" w:sz="4" w:space="0" w:color="auto"/>
              <w:left w:val="single" w:sz="4" w:space="0" w:color="auto"/>
              <w:bottom w:val="nil"/>
              <w:right w:val="single" w:sz="4" w:space="0" w:color="auto"/>
            </w:tcBorders>
            <w:shd w:val="clear" w:color="auto" w:fill="auto"/>
          </w:tcPr>
          <w:p w14:paraId="4ABEF6AA" w14:textId="77777777" w:rsidR="00C76028" w:rsidRPr="00DB57E5" w:rsidRDefault="00C76028" w:rsidP="00C76028">
            <w:pPr>
              <w:pStyle w:val="ListParagraph"/>
              <w:keepNext/>
              <w:keepLines/>
              <w:ind w:left="0"/>
              <w:rPr>
                <w:rFonts w:ascii="Arial" w:hAnsi="Arial" w:cs="Arial"/>
              </w:rPr>
            </w:pPr>
            <w:r w:rsidRPr="00DB57E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center"/>
          </w:tcPr>
          <w:p w14:paraId="1B09C767" w14:textId="1589AC26"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6133869E" w14:textId="5D9DDE48"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59%</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C05130" w14:textId="0C655E01"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41</w:t>
            </w:r>
          </w:p>
        </w:tc>
        <w:tc>
          <w:tcPr>
            <w:tcW w:w="1417" w:type="dxa"/>
            <w:tcBorders>
              <w:top w:val="single" w:sz="4" w:space="0" w:color="auto"/>
              <w:left w:val="single" w:sz="4" w:space="0" w:color="auto"/>
              <w:bottom w:val="nil"/>
              <w:right w:val="single" w:sz="4" w:space="0" w:color="auto"/>
            </w:tcBorders>
            <w:shd w:val="clear" w:color="auto" w:fill="auto"/>
            <w:vAlign w:val="center"/>
          </w:tcPr>
          <w:p w14:paraId="3CF76698" w14:textId="27D40AC8"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4.87%</w:t>
            </w:r>
          </w:p>
        </w:tc>
      </w:tr>
      <w:tr w:rsidR="00C76028" w:rsidRPr="00BA4271" w14:paraId="0F0861C1" w14:textId="77777777" w:rsidTr="008C49F8">
        <w:tc>
          <w:tcPr>
            <w:tcW w:w="2802" w:type="dxa"/>
            <w:tcBorders>
              <w:top w:val="nil"/>
              <w:left w:val="single" w:sz="4" w:space="0" w:color="auto"/>
              <w:bottom w:val="single" w:sz="4" w:space="0" w:color="auto"/>
              <w:right w:val="single" w:sz="4" w:space="0" w:color="auto"/>
            </w:tcBorders>
            <w:shd w:val="clear" w:color="auto" w:fill="auto"/>
          </w:tcPr>
          <w:p w14:paraId="5EFDC96C" w14:textId="77777777" w:rsidR="00C76028" w:rsidRPr="00DB57E5" w:rsidRDefault="00C76028" w:rsidP="00C76028">
            <w:pPr>
              <w:pStyle w:val="ListParagraph"/>
              <w:keepNext/>
              <w:keepLines/>
              <w:ind w:left="0"/>
              <w:rPr>
                <w:rFonts w:ascii="Arial" w:hAnsi="Arial" w:cs="Arial"/>
              </w:rPr>
            </w:pPr>
            <w:r w:rsidRPr="00DB57E5">
              <w:rPr>
                <w:rFonts w:ascii="Arial" w:hAnsi="Arial" w:cs="Arial"/>
              </w:rPr>
              <w:t>All LAs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251D35" w14:textId="0CAE59E6"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AA-</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DE6674" w14:textId="17BB8BB9"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59%</w:t>
            </w:r>
          </w:p>
        </w:tc>
        <w:tc>
          <w:tcPr>
            <w:tcW w:w="1417" w:type="dxa"/>
            <w:tcBorders>
              <w:top w:val="nil"/>
              <w:left w:val="single" w:sz="4" w:space="0" w:color="auto"/>
              <w:bottom w:val="single" w:sz="4" w:space="0" w:color="auto"/>
              <w:right w:val="single" w:sz="4" w:space="0" w:color="auto"/>
            </w:tcBorders>
            <w:shd w:val="clear" w:color="auto" w:fill="auto"/>
            <w:vAlign w:val="center"/>
          </w:tcPr>
          <w:p w14:paraId="020D2EB6" w14:textId="10EBF068"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13</w:t>
            </w:r>
          </w:p>
        </w:tc>
        <w:tc>
          <w:tcPr>
            <w:tcW w:w="1417" w:type="dxa"/>
            <w:tcBorders>
              <w:top w:val="nil"/>
              <w:left w:val="single" w:sz="4" w:space="0" w:color="auto"/>
              <w:bottom w:val="single" w:sz="4" w:space="0" w:color="auto"/>
              <w:right w:val="single" w:sz="4" w:space="0" w:color="auto"/>
            </w:tcBorders>
            <w:shd w:val="clear" w:color="auto" w:fill="auto"/>
            <w:vAlign w:val="center"/>
          </w:tcPr>
          <w:p w14:paraId="4EC5A2EE" w14:textId="46728219" w:rsidR="00C76028" w:rsidRPr="00DB57E5" w:rsidRDefault="00C76028" w:rsidP="00C76028">
            <w:pPr>
              <w:pStyle w:val="ListParagraph"/>
              <w:keepNext/>
              <w:keepLines/>
              <w:ind w:left="0"/>
              <w:jc w:val="center"/>
              <w:rPr>
                <w:rFonts w:ascii="Arial" w:hAnsi="Arial" w:cs="Arial"/>
              </w:rPr>
            </w:pPr>
            <w:r>
              <w:rPr>
                <w:rFonts w:ascii="Arial" w:hAnsi="Arial" w:cs="Arial"/>
                <w:color w:val="000000"/>
                <w:sz w:val="22"/>
                <w:szCs w:val="22"/>
              </w:rPr>
              <w:t>4.79%</w:t>
            </w:r>
          </w:p>
        </w:tc>
      </w:tr>
    </w:tbl>
    <w:p w14:paraId="251CF6FD" w14:textId="77777777" w:rsidR="00DF17C1" w:rsidRDefault="00DF17C1" w:rsidP="00DF17C1">
      <w:pPr>
        <w:pStyle w:val="ListParagraph"/>
        <w:spacing w:after="240"/>
        <w:rPr>
          <w:rFonts w:ascii="Arial" w:hAnsi="Arial" w:cs="Arial"/>
        </w:rPr>
      </w:pPr>
    </w:p>
    <w:p w14:paraId="791F3C42" w14:textId="1F6A1C19" w:rsidR="00FB3650" w:rsidRPr="00DF17C1" w:rsidRDefault="00DF17C1" w:rsidP="00022722">
      <w:pPr>
        <w:pStyle w:val="ListParagraph"/>
        <w:numPr>
          <w:ilvl w:val="1"/>
          <w:numId w:val="2"/>
        </w:numPr>
        <w:spacing w:after="240"/>
        <w:ind w:left="720" w:hanging="720"/>
        <w:rPr>
          <w:rFonts w:ascii="Arial" w:hAnsi="Arial" w:cs="Arial"/>
        </w:rPr>
      </w:pPr>
      <w:r>
        <w:rPr>
          <w:rFonts w:ascii="Arial" w:hAnsi="Arial" w:cs="Arial"/>
        </w:rPr>
        <w:t xml:space="preserve">The table shows that the PCC </w:t>
      </w:r>
      <w:r w:rsidR="00C76028">
        <w:rPr>
          <w:rFonts w:ascii="Arial" w:hAnsi="Arial" w:cs="Arial"/>
        </w:rPr>
        <w:t>compares favourably to other Arlingclose clients</w:t>
      </w:r>
      <w:r w:rsidR="005253FE">
        <w:rPr>
          <w:rFonts w:ascii="Arial" w:hAnsi="Arial" w:cs="Arial"/>
        </w:rPr>
        <w:t xml:space="preserve">, having </w:t>
      </w:r>
      <w:r w:rsidR="003C188F">
        <w:rPr>
          <w:rFonts w:ascii="Arial" w:hAnsi="Arial" w:cs="Arial"/>
        </w:rPr>
        <w:t xml:space="preserve">both </w:t>
      </w:r>
      <w:r w:rsidR="005253FE">
        <w:rPr>
          <w:rFonts w:ascii="Arial" w:hAnsi="Arial" w:cs="Arial"/>
        </w:rPr>
        <w:t>a stronger credit rating</w:t>
      </w:r>
      <w:r w:rsidR="005C0E03">
        <w:rPr>
          <w:rFonts w:ascii="Arial" w:hAnsi="Arial" w:cs="Arial"/>
        </w:rPr>
        <w:t xml:space="preserve"> and lower bail-in exposure across the portfolio. </w:t>
      </w:r>
      <w:r w:rsidR="00976602">
        <w:rPr>
          <w:rFonts w:ascii="Arial" w:hAnsi="Arial" w:cs="Arial"/>
        </w:rPr>
        <w:t xml:space="preserve">This can be attributed to the increased investment in </w:t>
      </w:r>
      <w:r w:rsidR="00A74BF4">
        <w:rPr>
          <w:rFonts w:ascii="Arial" w:hAnsi="Arial" w:cs="Arial"/>
        </w:rPr>
        <w:t>longer-dated instruments such as bonds and lending to other local authorities</w:t>
      </w:r>
      <w:r w:rsidR="00BC0E52" w:rsidRPr="00BC0E52">
        <w:rPr>
          <w:rFonts w:ascii="Arial" w:hAnsi="Arial" w:cs="Arial"/>
        </w:rPr>
        <w:t xml:space="preserve"> </w:t>
      </w:r>
      <w:r w:rsidR="00BC0E52">
        <w:rPr>
          <w:rFonts w:ascii="Arial" w:hAnsi="Arial" w:cs="Arial"/>
        </w:rPr>
        <w:t>that are exempt from bail-in</w:t>
      </w:r>
      <w:r w:rsidR="001B3BF6">
        <w:rPr>
          <w:rFonts w:ascii="Arial" w:hAnsi="Arial" w:cs="Arial"/>
        </w:rPr>
        <w:t>, and which</w:t>
      </w:r>
      <w:r w:rsidR="00466A0D">
        <w:rPr>
          <w:rFonts w:ascii="Arial" w:hAnsi="Arial" w:cs="Arial"/>
        </w:rPr>
        <w:t xml:space="preserve"> </w:t>
      </w:r>
      <w:r w:rsidR="00452CAC">
        <w:rPr>
          <w:rFonts w:ascii="Arial" w:hAnsi="Arial" w:cs="Arial"/>
        </w:rPr>
        <w:t>has been undertaken since divestment from the pooled funds in Quarter 1</w:t>
      </w:r>
      <w:r w:rsidR="001B3BF6">
        <w:rPr>
          <w:rFonts w:ascii="Arial" w:hAnsi="Arial" w:cs="Arial"/>
        </w:rPr>
        <w:t>. Th</w:t>
      </w:r>
      <w:r w:rsidR="00F24489">
        <w:rPr>
          <w:rFonts w:ascii="Arial" w:hAnsi="Arial" w:cs="Arial"/>
        </w:rPr>
        <w:t>is</w:t>
      </w:r>
      <w:r w:rsidR="001B3BF6">
        <w:rPr>
          <w:rFonts w:ascii="Arial" w:hAnsi="Arial" w:cs="Arial"/>
        </w:rPr>
        <w:t xml:space="preserve"> </w:t>
      </w:r>
      <w:r w:rsidR="00BD18C1">
        <w:rPr>
          <w:rFonts w:ascii="Arial" w:hAnsi="Arial" w:cs="Arial"/>
        </w:rPr>
        <w:t>investment in longer-dated in</w:t>
      </w:r>
      <w:r w:rsidR="00F24489">
        <w:rPr>
          <w:rFonts w:ascii="Arial" w:hAnsi="Arial" w:cs="Arial"/>
        </w:rPr>
        <w:t>struments</w:t>
      </w:r>
      <w:r w:rsidR="00BD18C1">
        <w:rPr>
          <w:rFonts w:ascii="Arial" w:hAnsi="Arial" w:cs="Arial"/>
        </w:rPr>
        <w:t xml:space="preserve"> is therefore</w:t>
      </w:r>
      <w:r w:rsidR="00584B4C">
        <w:rPr>
          <w:rFonts w:ascii="Arial" w:hAnsi="Arial" w:cs="Arial"/>
        </w:rPr>
        <w:t xml:space="preserve"> illustrated </w:t>
      </w:r>
      <w:r w:rsidR="0034614F">
        <w:rPr>
          <w:rFonts w:ascii="Arial" w:hAnsi="Arial" w:cs="Arial"/>
        </w:rPr>
        <w:t>by</w:t>
      </w:r>
      <w:r w:rsidR="00584B4C">
        <w:rPr>
          <w:rFonts w:ascii="Arial" w:hAnsi="Arial" w:cs="Arial"/>
        </w:rPr>
        <w:t xml:space="preserve"> the increase in weighted average maturity.</w:t>
      </w:r>
      <w:r w:rsidR="00E864E1">
        <w:rPr>
          <w:rFonts w:ascii="Arial" w:hAnsi="Arial" w:cs="Arial"/>
        </w:rPr>
        <w:t xml:space="preserve"> Return on investment has improved since March</w:t>
      </w:r>
      <w:r w:rsidR="009A5EE9">
        <w:rPr>
          <w:rFonts w:ascii="Arial" w:hAnsi="Arial" w:cs="Arial"/>
        </w:rPr>
        <w:t xml:space="preserve"> 2023</w:t>
      </w:r>
      <w:r w:rsidR="001335F1">
        <w:rPr>
          <w:rFonts w:ascii="Arial" w:hAnsi="Arial" w:cs="Arial"/>
        </w:rPr>
        <w:t xml:space="preserve">, predominantly </w:t>
      </w:r>
      <w:proofErr w:type="gramStart"/>
      <w:r w:rsidR="001335F1">
        <w:rPr>
          <w:rFonts w:ascii="Arial" w:hAnsi="Arial" w:cs="Arial"/>
        </w:rPr>
        <w:t>as a result of</w:t>
      </w:r>
      <w:proofErr w:type="gramEnd"/>
      <w:r w:rsidR="001335F1">
        <w:rPr>
          <w:rFonts w:ascii="Arial" w:hAnsi="Arial" w:cs="Arial"/>
        </w:rPr>
        <w:t xml:space="preserve"> exploiting increases in interest rates </w:t>
      </w:r>
      <w:r w:rsidR="00701CE7">
        <w:rPr>
          <w:rFonts w:ascii="Arial" w:hAnsi="Arial" w:cs="Arial"/>
        </w:rPr>
        <w:t xml:space="preserve">during this period, and </w:t>
      </w:r>
      <w:r w:rsidR="0034614F">
        <w:rPr>
          <w:rFonts w:ascii="Arial" w:hAnsi="Arial" w:cs="Arial"/>
        </w:rPr>
        <w:t xml:space="preserve">this </w:t>
      </w:r>
      <w:r w:rsidR="00BD18C1">
        <w:rPr>
          <w:rFonts w:ascii="Arial" w:hAnsi="Arial" w:cs="Arial"/>
        </w:rPr>
        <w:t xml:space="preserve">metric </w:t>
      </w:r>
      <w:r w:rsidR="0034614F">
        <w:rPr>
          <w:rFonts w:ascii="Arial" w:hAnsi="Arial" w:cs="Arial"/>
        </w:rPr>
        <w:t xml:space="preserve">also compares favourably to </w:t>
      </w:r>
      <w:r w:rsidR="00E53312">
        <w:rPr>
          <w:rFonts w:ascii="Arial" w:hAnsi="Arial" w:cs="Arial"/>
        </w:rPr>
        <w:t xml:space="preserve">other Arlingclose clients. </w:t>
      </w:r>
    </w:p>
    <w:p w14:paraId="3DF49417" w14:textId="4F2FD585" w:rsidR="007403DE" w:rsidRPr="0068422F" w:rsidRDefault="007403DE" w:rsidP="007403DE">
      <w:pPr>
        <w:pStyle w:val="ListParagraph"/>
        <w:spacing w:after="240"/>
        <w:rPr>
          <w:rFonts w:ascii="Arial" w:hAnsi="Arial" w:cs="Arial"/>
          <w:b/>
          <w:bCs/>
        </w:rPr>
      </w:pPr>
      <w:r w:rsidRPr="0068422F">
        <w:rPr>
          <w:rFonts w:ascii="Arial" w:hAnsi="Arial" w:cs="Arial"/>
          <w:b/>
          <w:bCs/>
        </w:rPr>
        <w:t>Externally managed pooled funds</w:t>
      </w:r>
    </w:p>
    <w:p w14:paraId="114F7B54" w14:textId="0EB36540" w:rsidR="00627C2A" w:rsidRDefault="00A82781" w:rsidP="00627C2A">
      <w:pPr>
        <w:pStyle w:val="ListParagraph"/>
        <w:numPr>
          <w:ilvl w:val="1"/>
          <w:numId w:val="2"/>
        </w:numPr>
        <w:spacing w:after="240"/>
        <w:ind w:left="720" w:hanging="720"/>
        <w:rPr>
          <w:rFonts w:ascii="Arial" w:hAnsi="Arial" w:cs="Arial"/>
        </w:rPr>
      </w:pPr>
      <w:r>
        <w:rPr>
          <w:rFonts w:ascii="Arial" w:hAnsi="Arial" w:cs="Arial"/>
        </w:rPr>
        <w:t xml:space="preserve">As </w:t>
      </w:r>
      <w:r w:rsidR="00EC24A1">
        <w:rPr>
          <w:rFonts w:ascii="Arial" w:hAnsi="Arial" w:cs="Arial"/>
        </w:rPr>
        <w:t xml:space="preserve">stated in the Quarter 1 report, as </w:t>
      </w:r>
      <w:proofErr w:type="gramStart"/>
      <w:r>
        <w:rPr>
          <w:rFonts w:ascii="Arial" w:hAnsi="Arial" w:cs="Arial"/>
        </w:rPr>
        <w:t>at</w:t>
      </w:r>
      <w:proofErr w:type="gramEnd"/>
      <w:r>
        <w:rPr>
          <w:rFonts w:ascii="Arial" w:hAnsi="Arial" w:cs="Arial"/>
        </w:rPr>
        <w:t xml:space="preserve"> 30 June 2023 </w:t>
      </w:r>
      <w:r w:rsidR="000528AA" w:rsidRPr="000528AA">
        <w:rPr>
          <w:rFonts w:ascii="Arial" w:hAnsi="Arial" w:cs="Arial"/>
        </w:rPr>
        <w:t>£</w:t>
      </w:r>
      <w:r w:rsidR="0049106B">
        <w:rPr>
          <w:rFonts w:ascii="Arial" w:hAnsi="Arial" w:cs="Arial"/>
        </w:rPr>
        <w:t>10</w:t>
      </w:r>
      <w:r w:rsidR="000528AA" w:rsidRPr="000528AA">
        <w:rPr>
          <w:rFonts w:ascii="Arial" w:hAnsi="Arial" w:cs="Arial"/>
        </w:rPr>
        <w:t xml:space="preserve">m of the </w:t>
      </w:r>
      <w:r w:rsidR="0049106B">
        <w:rPr>
          <w:rFonts w:ascii="Arial" w:hAnsi="Arial" w:cs="Arial"/>
        </w:rPr>
        <w:t>PCC</w:t>
      </w:r>
      <w:r w:rsidR="000528AA" w:rsidRPr="000528AA">
        <w:rPr>
          <w:rFonts w:ascii="Arial" w:hAnsi="Arial" w:cs="Arial"/>
        </w:rPr>
        <w:t xml:space="preserve">’s investments </w:t>
      </w:r>
      <w:r w:rsidR="004D6B12" w:rsidRPr="00BD79F5">
        <w:rPr>
          <w:rFonts w:ascii="Arial" w:hAnsi="Arial" w:cs="Arial"/>
        </w:rPr>
        <w:t>w</w:t>
      </w:r>
      <w:r w:rsidR="000B1C66" w:rsidRPr="00BD79F5">
        <w:rPr>
          <w:rFonts w:ascii="Arial" w:hAnsi="Arial" w:cs="Arial"/>
        </w:rPr>
        <w:t>ere</w:t>
      </w:r>
      <w:r w:rsidR="000528AA" w:rsidRPr="000528AA">
        <w:rPr>
          <w:rFonts w:ascii="Arial" w:hAnsi="Arial" w:cs="Arial"/>
        </w:rPr>
        <w:t xml:space="preserve"> invested in externally managed strategic pooled funds</w:t>
      </w:r>
      <w:r w:rsidR="000B292E" w:rsidRPr="000B292E">
        <w:t xml:space="preserve"> </w:t>
      </w:r>
      <w:r w:rsidR="000B292E" w:rsidRPr="000B292E">
        <w:rPr>
          <w:rFonts w:ascii="Arial" w:hAnsi="Arial" w:cs="Arial"/>
        </w:rPr>
        <w:t>where short-term security and liquidity are lesser considerations, and the objectives instead are regular revenue income and long-term price stability</w:t>
      </w:r>
      <w:r w:rsidR="0071020E">
        <w:rPr>
          <w:rFonts w:ascii="Arial" w:hAnsi="Arial" w:cs="Arial"/>
        </w:rPr>
        <w:t>.</w:t>
      </w:r>
      <w:r w:rsidR="000528AA" w:rsidRPr="000528AA">
        <w:rPr>
          <w:rFonts w:ascii="Arial" w:hAnsi="Arial" w:cs="Arial"/>
        </w:rPr>
        <w:t xml:space="preserve"> </w:t>
      </w:r>
      <w:r w:rsidR="000528AA" w:rsidRPr="00BD79F5">
        <w:rPr>
          <w:rFonts w:ascii="Arial" w:hAnsi="Arial" w:cs="Arial"/>
        </w:rPr>
        <w:t xml:space="preserve">These funds generated an average total return of </w:t>
      </w:r>
      <w:r w:rsidR="006D5A3F" w:rsidRPr="00BD79F5">
        <w:rPr>
          <w:rFonts w:ascii="Arial" w:hAnsi="Arial" w:cs="Arial"/>
        </w:rPr>
        <w:t>2</w:t>
      </w:r>
      <w:r w:rsidR="00A63F84">
        <w:rPr>
          <w:rFonts w:ascii="Arial" w:hAnsi="Arial" w:cs="Arial"/>
        </w:rPr>
        <w:t>4.0</w:t>
      </w:r>
      <w:r w:rsidR="000528AA" w:rsidRPr="00BD79F5">
        <w:rPr>
          <w:rFonts w:ascii="Arial" w:hAnsi="Arial" w:cs="Arial"/>
        </w:rPr>
        <w:t>%</w:t>
      </w:r>
      <w:r w:rsidR="006D5A3F" w:rsidRPr="00BD79F5">
        <w:rPr>
          <w:rFonts w:ascii="Arial" w:hAnsi="Arial" w:cs="Arial"/>
        </w:rPr>
        <w:t xml:space="preserve"> since purchase</w:t>
      </w:r>
      <w:r w:rsidR="0093260E" w:rsidRPr="00BD79F5">
        <w:rPr>
          <w:rFonts w:ascii="Arial" w:hAnsi="Arial" w:cs="Arial"/>
        </w:rPr>
        <w:t xml:space="preserve"> (on average a return of 4.</w:t>
      </w:r>
      <w:r w:rsidR="001375CE">
        <w:rPr>
          <w:rFonts w:ascii="Arial" w:hAnsi="Arial" w:cs="Arial"/>
        </w:rPr>
        <w:t>4</w:t>
      </w:r>
      <w:r w:rsidR="0093260E" w:rsidRPr="00BD79F5">
        <w:rPr>
          <w:rFonts w:ascii="Arial" w:hAnsi="Arial" w:cs="Arial"/>
        </w:rPr>
        <w:t xml:space="preserve">% per annum during a </w:t>
      </w:r>
      <w:r w:rsidR="00F21DA8" w:rsidRPr="00BD79F5">
        <w:rPr>
          <w:rFonts w:ascii="Arial" w:hAnsi="Arial" w:cs="Arial"/>
        </w:rPr>
        <w:t xml:space="preserve">low interest rate environment </w:t>
      </w:r>
      <w:r w:rsidR="008B1184" w:rsidRPr="00BD79F5">
        <w:rPr>
          <w:rFonts w:ascii="Arial" w:hAnsi="Arial" w:cs="Arial"/>
        </w:rPr>
        <w:t xml:space="preserve">period </w:t>
      </w:r>
      <w:r w:rsidR="0093260E" w:rsidRPr="00BD79F5">
        <w:rPr>
          <w:rFonts w:ascii="Arial" w:hAnsi="Arial" w:cs="Arial"/>
        </w:rPr>
        <w:t xml:space="preserve">where </w:t>
      </w:r>
      <w:r w:rsidR="00F21DA8" w:rsidRPr="00BD79F5">
        <w:rPr>
          <w:rFonts w:ascii="Arial" w:hAnsi="Arial" w:cs="Arial"/>
        </w:rPr>
        <w:t xml:space="preserve">the return on </w:t>
      </w:r>
      <w:proofErr w:type="spellStart"/>
      <w:r w:rsidR="00F21DA8" w:rsidRPr="00BD79F5">
        <w:rPr>
          <w:rFonts w:ascii="Arial" w:hAnsi="Arial" w:cs="Arial"/>
        </w:rPr>
        <w:t>non pooled</w:t>
      </w:r>
      <w:proofErr w:type="spellEnd"/>
      <w:r w:rsidR="00F21DA8" w:rsidRPr="00BD79F5">
        <w:rPr>
          <w:rFonts w:ascii="Arial" w:hAnsi="Arial" w:cs="Arial"/>
        </w:rPr>
        <w:t xml:space="preserve"> investments had been less than 1%)</w:t>
      </w:r>
      <w:r w:rsidR="00DB2257">
        <w:rPr>
          <w:rFonts w:ascii="Arial" w:hAnsi="Arial" w:cs="Arial"/>
        </w:rPr>
        <w:t xml:space="preserve">. </w:t>
      </w:r>
    </w:p>
    <w:p w14:paraId="01655B31" w14:textId="71C21933" w:rsidR="003B5C08" w:rsidRDefault="00DB2257" w:rsidP="003B5C08">
      <w:pPr>
        <w:pStyle w:val="ListParagraph"/>
        <w:numPr>
          <w:ilvl w:val="1"/>
          <w:numId w:val="2"/>
        </w:numPr>
        <w:spacing w:after="240"/>
        <w:ind w:left="720" w:hanging="720"/>
        <w:rPr>
          <w:rFonts w:ascii="Arial" w:hAnsi="Arial" w:cs="Arial"/>
        </w:rPr>
      </w:pPr>
      <w:r>
        <w:rPr>
          <w:rFonts w:ascii="Arial" w:hAnsi="Arial" w:cs="Arial"/>
        </w:rPr>
        <w:lastRenderedPageBreak/>
        <w:t xml:space="preserve">Having taken advice from Arlingclose </w:t>
      </w:r>
      <w:proofErr w:type="gramStart"/>
      <w:r>
        <w:rPr>
          <w:rFonts w:ascii="Arial" w:hAnsi="Arial" w:cs="Arial"/>
        </w:rPr>
        <w:t>as a result of</w:t>
      </w:r>
      <w:proofErr w:type="gramEnd"/>
      <w:r>
        <w:rPr>
          <w:rFonts w:ascii="Arial" w:hAnsi="Arial" w:cs="Arial"/>
        </w:rPr>
        <w:t xml:space="preserve"> the</w:t>
      </w:r>
      <w:r w:rsidRPr="008C3D63">
        <w:rPr>
          <w:rFonts w:ascii="Arial" w:hAnsi="Arial" w:cs="Arial"/>
        </w:rPr>
        <w:t xml:space="preserve"> </w:t>
      </w:r>
      <w:r w:rsidRPr="00C66C9F">
        <w:rPr>
          <w:rFonts w:ascii="Arial" w:hAnsi="Arial" w:cs="Arial"/>
        </w:rPr>
        <w:t xml:space="preserve">changes in the interest rate environment providing similar (and in some cases better) returns on more liquid investments, the </w:t>
      </w:r>
      <w:r>
        <w:rPr>
          <w:rFonts w:ascii="Arial" w:hAnsi="Arial" w:cs="Arial"/>
        </w:rPr>
        <w:t>PCC</w:t>
      </w:r>
      <w:r w:rsidRPr="00C66C9F">
        <w:rPr>
          <w:rFonts w:ascii="Arial" w:hAnsi="Arial" w:cs="Arial"/>
        </w:rPr>
        <w:t xml:space="preserve"> sought to disinvest </w:t>
      </w:r>
      <w:r>
        <w:rPr>
          <w:rFonts w:ascii="Arial" w:hAnsi="Arial" w:cs="Arial"/>
        </w:rPr>
        <w:t xml:space="preserve">£5m (from its total pooled fund holding of £10m) </w:t>
      </w:r>
      <w:r w:rsidRPr="00C66C9F">
        <w:rPr>
          <w:rFonts w:ascii="Arial" w:hAnsi="Arial" w:cs="Arial"/>
        </w:rPr>
        <w:t xml:space="preserve">from some of its pooled </w:t>
      </w:r>
      <w:r>
        <w:rPr>
          <w:rFonts w:ascii="Arial" w:hAnsi="Arial" w:cs="Arial"/>
        </w:rPr>
        <w:t xml:space="preserve">equity and multi-asset </w:t>
      </w:r>
      <w:r w:rsidRPr="00C66C9F">
        <w:rPr>
          <w:rFonts w:ascii="Arial" w:hAnsi="Arial" w:cs="Arial"/>
        </w:rPr>
        <w:t>holdings in Quarter 2</w:t>
      </w:r>
      <w:r>
        <w:rPr>
          <w:rFonts w:ascii="Arial" w:hAnsi="Arial" w:cs="Arial"/>
        </w:rPr>
        <w:t>, crystallising a net capital gain of £2</w:t>
      </w:r>
      <w:r w:rsidR="00315E70">
        <w:rPr>
          <w:rFonts w:ascii="Arial" w:hAnsi="Arial" w:cs="Arial"/>
        </w:rPr>
        <w:t>40</w:t>
      </w:r>
      <w:r w:rsidR="00766B78">
        <w:rPr>
          <w:rFonts w:ascii="Arial" w:hAnsi="Arial" w:cs="Arial"/>
        </w:rPr>
        <w:t>,000</w:t>
      </w:r>
      <w:r w:rsidRPr="00C66C9F">
        <w:rPr>
          <w:rFonts w:ascii="Arial" w:hAnsi="Arial" w:cs="Arial"/>
        </w:rPr>
        <w:t xml:space="preserve">. Capital gains made from this disinvestment </w:t>
      </w:r>
      <w:r>
        <w:rPr>
          <w:rFonts w:ascii="Arial" w:hAnsi="Arial" w:cs="Arial"/>
        </w:rPr>
        <w:t xml:space="preserve">have been </w:t>
      </w:r>
      <w:r w:rsidRPr="00C66C9F">
        <w:rPr>
          <w:rFonts w:ascii="Arial" w:hAnsi="Arial" w:cs="Arial"/>
        </w:rPr>
        <w:t xml:space="preserve"> transferred to </w:t>
      </w:r>
      <w:r>
        <w:rPr>
          <w:rFonts w:ascii="Arial" w:hAnsi="Arial" w:cs="Arial"/>
        </w:rPr>
        <w:t>an</w:t>
      </w:r>
      <w:r w:rsidRPr="00C66C9F">
        <w:rPr>
          <w:rFonts w:ascii="Arial" w:hAnsi="Arial" w:cs="Arial"/>
        </w:rPr>
        <w:t xml:space="preserve"> Investment Risk Reserve, in order to mitigate any potential losses on future </w:t>
      </w:r>
      <w:r>
        <w:rPr>
          <w:rFonts w:ascii="Arial" w:hAnsi="Arial" w:cs="Arial"/>
        </w:rPr>
        <w:t xml:space="preserve">pooled fund </w:t>
      </w:r>
      <w:r w:rsidRPr="00C66C9F">
        <w:rPr>
          <w:rFonts w:ascii="Arial" w:hAnsi="Arial" w:cs="Arial"/>
        </w:rPr>
        <w:t xml:space="preserve">disinvestment should </w:t>
      </w:r>
      <w:r>
        <w:rPr>
          <w:rFonts w:ascii="Arial" w:hAnsi="Arial" w:cs="Arial"/>
        </w:rPr>
        <w:t>they</w:t>
      </w:r>
      <w:r w:rsidRPr="00C66C9F">
        <w:rPr>
          <w:rFonts w:ascii="Arial" w:hAnsi="Arial" w:cs="Arial"/>
        </w:rPr>
        <w:t xml:space="preserve"> arise</w:t>
      </w:r>
      <w:r>
        <w:rPr>
          <w:rFonts w:ascii="Arial" w:hAnsi="Arial" w:cs="Arial"/>
        </w:rPr>
        <w:t>.</w:t>
      </w:r>
    </w:p>
    <w:p w14:paraId="33366D26" w14:textId="77777777" w:rsidR="001B77F2" w:rsidRDefault="001B77F2" w:rsidP="001B77F2">
      <w:pPr>
        <w:pStyle w:val="ListParagraph"/>
        <w:numPr>
          <w:ilvl w:val="1"/>
          <w:numId w:val="2"/>
        </w:numPr>
        <w:spacing w:after="240"/>
        <w:ind w:left="720" w:hanging="720"/>
        <w:rPr>
          <w:rFonts w:ascii="Arial" w:hAnsi="Arial" w:cs="Arial"/>
        </w:rPr>
      </w:pPr>
      <w:r w:rsidRPr="001B77F2">
        <w:rPr>
          <w:rFonts w:ascii="Arial" w:hAnsi="Arial" w:cs="Arial"/>
        </w:rPr>
        <w:t xml:space="preserve">Financial market conditions were volatile during the six-month period. Global bond yields rose and remained elevated as it became apparent that policymakers were looking to keep rates high for some time amid persistently higher core inflation and tight labour markets. </w:t>
      </w:r>
    </w:p>
    <w:p w14:paraId="3A2165DC" w14:textId="12F6871C" w:rsidR="003B5C08" w:rsidRPr="001B77F2" w:rsidRDefault="001B77F2" w:rsidP="001B77F2">
      <w:pPr>
        <w:pStyle w:val="ListParagraph"/>
        <w:numPr>
          <w:ilvl w:val="1"/>
          <w:numId w:val="2"/>
        </w:numPr>
        <w:spacing w:after="240"/>
        <w:ind w:left="720" w:hanging="720"/>
        <w:rPr>
          <w:rFonts w:ascii="Arial" w:hAnsi="Arial" w:cs="Arial"/>
        </w:rPr>
      </w:pPr>
      <w:r w:rsidRPr="001B77F2">
        <w:rPr>
          <w:rFonts w:ascii="Arial" w:hAnsi="Arial" w:cs="Arial"/>
        </w:rPr>
        <w:t>During the period investor sentiment for UK commercial property was more settled than in Quarter 3 and Quarter 4 of 2022 when the sharp rise in bond yields resulted in a big fall in property valuations. There were signs of returning investor interest, occupier resilience and a perception that the downturn in commercial real estate may be at an end. It helped rental income and led to some stabilisation in capital values. However, the combination of high interest rates and bond yield, higher funding costs and the prospect of sluggish economic growth constrain the outlook for commercial property</w:t>
      </w:r>
      <w:r>
        <w:rPr>
          <w:rFonts w:ascii="Arial" w:hAnsi="Arial" w:cs="Arial"/>
        </w:rPr>
        <w:t>.</w:t>
      </w:r>
    </w:p>
    <w:p w14:paraId="7E97A5A7" w14:textId="750183E2" w:rsidR="0087271A" w:rsidRPr="003B5C08" w:rsidRDefault="00D35245" w:rsidP="003B5C08">
      <w:pPr>
        <w:pStyle w:val="ListParagraph"/>
        <w:numPr>
          <w:ilvl w:val="1"/>
          <w:numId w:val="2"/>
        </w:numPr>
        <w:spacing w:after="240"/>
        <w:ind w:left="720" w:hanging="720"/>
        <w:rPr>
          <w:rFonts w:ascii="Arial" w:hAnsi="Arial" w:cs="Arial"/>
        </w:rPr>
      </w:pPr>
      <w:r w:rsidRPr="003B5C08">
        <w:rPr>
          <w:rFonts w:ascii="Arial" w:hAnsi="Arial" w:cs="Arial"/>
        </w:rPr>
        <w:t xml:space="preserve">The combination of the above had a marginal negative effect on the combined value of the PCC’s </w:t>
      </w:r>
      <w:r w:rsidR="008464A3" w:rsidRPr="003B5C08">
        <w:rPr>
          <w:rFonts w:ascii="Arial" w:hAnsi="Arial" w:cs="Arial"/>
        </w:rPr>
        <w:t>re</w:t>
      </w:r>
      <w:r w:rsidR="006D249D" w:rsidRPr="003B5C08">
        <w:rPr>
          <w:rFonts w:ascii="Arial" w:hAnsi="Arial" w:cs="Arial"/>
        </w:rPr>
        <w:t xml:space="preserve">maining </w:t>
      </w:r>
      <w:r w:rsidR="008C2869" w:rsidRPr="003B5C08">
        <w:rPr>
          <w:rFonts w:ascii="Arial" w:hAnsi="Arial" w:cs="Arial"/>
        </w:rPr>
        <w:t xml:space="preserve">pooled </w:t>
      </w:r>
      <w:r w:rsidRPr="003B5C08">
        <w:rPr>
          <w:rFonts w:ascii="Arial" w:hAnsi="Arial" w:cs="Arial"/>
        </w:rPr>
        <w:t xml:space="preserve">funds since March 2023. </w:t>
      </w:r>
      <w:r w:rsidR="0087271A" w:rsidRPr="003B5C08">
        <w:rPr>
          <w:rFonts w:ascii="Arial" w:hAnsi="Arial" w:cs="Arial"/>
        </w:rPr>
        <w:t xml:space="preserve">Based on market values </w:t>
      </w:r>
      <w:proofErr w:type="gramStart"/>
      <w:r w:rsidR="0087271A" w:rsidRPr="003B5C08">
        <w:rPr>
          <w:rFonts w:ascii="Arial" w:hAnsi="Arial" w:cs="Arial"/>
        </w:rPr>
        <w:t>at</w:t>
      </w:r>
      <w:proofErr w:type="gramEnd"/>
      <w:r w:rsidR="0087271A" w:rsidRPr="003B5C08">
        <w:rPr>
          <w:rFonts w:ascii="Arial" w:hAnsi="Arial" w:cs="Arial"/>
        </w:rPr>
        <w:t xml:space="preserve"> 30 September 2023, </w:t>
      </w:r>
      <w:r w:rsidR="0087271A" w:rsidRPr="00AA1C90">
        <w:rPr>
          <w:rFonts w:ascii="Arial" w:hAnsi="Arial" w:cs="Arial"/>
        </w:rPr>
        <w:t xml:space="preserve">the </w:t>
      </w:r>
      <w:r w:rsidR="00286B42" w:rsidRPr="00AA1C90">
        <w:rPr>
          <w:rFonts w:ascii="Arial" w:hAnsi="Arial" w:cs="Arial"/>
        </w:rPr>
        <w:t>PCC</w:t>
      </w:r>
      <w:r w:rsidR="0087271A" w:rsidRPr="00AA1C90">
        <w:rPr>
          <w:rFonts w:ascii="Arial" w:hAnsi="Arial" w:cs="Arial"/>
        </w:rPr>
        <w:t xml:space="preserve"> currently has a £</w:t>
      </w:r>
      <w:r w:rsidR="00B62A2B">
        <w:rPr>
          <w:rFonts w:ascii="Arial" w:hAnsi="Arial" w:cs="Arial"/>
        </w:rPr>
        <w:t>0</w:t>
      </w:r>
      <w:r w:rsidR="00FE044A" w:rsidRPr="00AA1C90">
        <w:rPr>
          <w:rFonts w:ascii="Arial" w:hAnsi="Arial" w:cs="Arial"/>
        </w:rPr>
        <w:t>.4</w:t>
      </w:r>
      <w:r w:rsidR="0087271A" w:rsidRPr="00AA1C90">
        <w:rPr>
          <w:rFonts w:ascii="Arial" w:hAnsi="Arial" w:cs="Arial"/>
        </w:rPr>
        <w:t xml:space="preserve">m unrealised loss on the </w:t>
      </w:r>
      <w:r w:rsidR="00286B42" w:rsidRPr="00AA1C90">
        <w:rPr>
          <w:rFonts w:ascii="Arial" w:hAnsi="Arial" w:cs="Arial"/>
        </w:rPr>
        <w:t>£</w:t>
      </w:r>
      <w:r w:rsidR="00FE044A" w:rsidRPr="00AA1C90">
        <w:rPr>
          <w:rFonts w:ascii="Arial" w:hAnsi="Arial" w:cs="Arial"/>
        </w:rPr>
        <w:t>7</w:t>
      </w:r>
      <w:r w:rsidR="0087271A" w:rsidRPr="00AA1C90">
        <w:rPr>
          <w:rFonts w:ascii="Arial" w:hAnsi="Arial" w:cs="Arial"/>
        </w:rPr>
        <w:t>m book value of its pooled fund holdings, summarised in Table 6</w:t>
      </w:r>
      <w:r w:rsidR="00286B42" w:rsidRPr="00AA1C90">
        <w:rPr>
          <w:rFonts w:ascii="Arial" w:hAnsi="Arial" w:cs="Arial"/>
        </w:rPr>
        <w:t>.</w:t>
      </w:r>
    </w:p>
    <w:tbl>
      <w:tblPr>
        <w:tblW w:w="0" w:type="auto"/>
        <w:jc w:val="center"/>
        <w:tblLook w:val="04A0" w:firstRow="1" w:lastRow="0" w:firstColumn="1" w:lastColumn="0" w:noHBand="0" w:noVBand="1"/>
      </w:tblPr>
      <w:tblGrid>
        <w:gridCol w:w="2647"/>
        <w:gridCol w:w="1387"/>
        <w:gridCol w:w="1443"/>
        <w:gridCol w:w="1445"/>
        <w:gridCol w:w="1391"/>
      </w:tblGrid>
      <w:tr w:rsidR="00F33F37" w:rsidRPr="00F52CEA" w14:paraId="24C0EF32" w14:textId="77777777" w:rsidTr="008C49F8">
        <w:trPr>
          <w:jc w:val="center"/>
        </w:trPr>
        <w:tc>
          <w:tcPr>
            <w:tcW w:w="2647" w:type="dxa"/>
            <w:vMerge w:val="restart"/>
            <w:tcBorders>
              <w:top w:val="single" w:sz="4" w:space="0" w:color="auto"/>
              <w:left w:val="single" w:sz="4" w:space="0" w:color="auto"/>
              <w:right w:val="single" w:sz="4" w:space="0" w:color="auto"/>
            </w:tcBorders>
            <w:shd w:val="clear" w:color="auto" w:fill="auto"/>
          </w:tcPr>
          <w:p w14:paraId="0CB450C4" w14:textId="77777777" w:rsidR="00F33F37" w:rsidRPr="00347AA7" w:rsidRDefault="00F33F37" w:rsidP="008C49F8">
            <w:pPr>
              <w:rPr>
                <w:rFonts w:ascii="Arial" w:hAnsi="Arial" w:cs="Arial"/>
                <w:b/>
              </w:rPr>
            </w:pPr>
            <w:r>
              <w:rPr>
                <w:rFonts w:ascii="Arial" w:hAnsi="Arial" w:cs="Arial"/>
                <w:b/>
              </w:rPr>
              <w:t>Table 6: Higher yielding investments – market value performance</w:t>
            </w:r>
          </w:p>
        </w:tc>
        <w:tc>
          <w:tcPr>
            <w:tcW w:w="1387" w:type="dxa"/>
            <w:vMerge w:val="restart"/>
            <w:tcBorders>
              <w:top w:val="single" w:sz="4" w:space="0" w:color="auto"/>
              <w:left w:val="single" w:sz="4" w:space="0" w:color="auto"/>
              <w:right w:val="single" w:sz="4" w:space="0" w:color="auto"/>
            </w:tcBorders>
            <w:shd w:val="clear" w:color="auto" w:fill="auto"/>
          </w:tcPr>
          <w:p w14:paraId="7C8B30D6" w14:textId="77777777" w:rsidR="00F33F37" w:rsidRPr="00347AA7" w:rsidRDefault="00F33F37" w:rsidP="008C49F8">
            <w:pPr>
              <w:jc w:val="right"/>
              <w:rPr>
                <w:rFonts w:ascii="Arial" w:hAnsi="Arial" w:cs="Arial"/>
                <w:b/>
              </w:rPr>
            </w:pPr>
            <w:r w:rsidRPr="00347AA7">
              <w:rPr>
                <w:rFonts w:ascii="Arial" w:hAnsi="Arial" w:cs="Arial"/>
                <w:b/>
              </w:rPr>
              <w:t>Amount invested</w:t>
            </w:r>
          </w:p>
        </w:tc>
        <w:tc>
          <w:tcPr>
            <w:tcW w:w="1443" w:type="dxa"/>
            <w:vMerge w:val="restart"/>
            <w:tcBorders>
              <w:top w:val="single" w:sz="4" w:space="0" w:color="auto"/>
              <w:left w:val="single" w:sz="4" w:space="0" w:color="auto"/>
              <w:right w:val="single" w:sz="4" w:space="0" w:color="auto"/>
            </w:tcBorders>
            <w:shd w:val="clear" w:color="auto" w:fill="auto"/>
          </w:tcPr>
          <w:p w14:paraId="02DD8672" w14:textId="77777777" w:rsidR="00F33F37" w:rsidRPr="00347AA7" w:rsidRDefault="00F33F37" w:rsidP="008C49F8">
            <w:pPr>
              <w:jc w:val="right"/>
              <w:rPr>
                <w:rFonts w:ascii="Arial" w:hAnsi="Arial" w:cs="Arial"/>
                <w:b/>
              </w:rPr>
            </w:pPr>
            <w:r w:rsidRPr="00347AA7">
              <w:rPr>
                <w:rFonts w:ascii="Arial" w:hAnsi="Arial" w:cs="Arial"/>
                <w:b/>
              </w:rPr>
              <w:t>Market value at 30/09/23</w:t>
            </w: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tcPr>
          <w:p w14:paraId="077B6AE8" w14:textId="77777777" w:rsidR="00F33F37" w:rsidRPr="00347AA7" w:rsidRDefault="00F33F37" w:rsidP="008C49F8">
            <w:pPr>
              <w:jc w:val="right"/>
              <w:rPr>
                <w:rFonts w:ascii="Arial" w:hAnsi="Arial" w:cs="Arial"/>
                <w:b/>
              </w:rPr>
            </w:pPr>
            <w:r w:rsidRPr="00347AA7">
              <w:rPr>
                <w:rFonts w:ascii="Arial" w:hAnsi="Arial" w:cs="Arial"/>
                <w:b/>
              </w:rPr>
              <w:t>Gain / (fall) in capital value</w:t>
            </w:r>
          </w:p>
        </w:tc>
      </w:tr>
      <w:tr w:rsidR="00F33F37" w:rsidRPr="00F52CEA" w14:paraId="275EC540" w14:textId="77777777" w:rsidTr="008C49F8">
        <w:trPr>
          <w:jc w:val="center"/>
        </w:trPr>
        <w:tc>
          <w:tcPr>
            <w:tcW w:w="2647" w:type="dxa"/>
            <w:vMerge/>
            <w:tcBorders>
              <w:left w:val="single" w:sz="4" w:space="0" w:color="auto"/>
              <w:bottom w:val="single" w:sz="4" w:space="0" w:color="auto"/>
              <w:right w:val="single" w:sz="4" w:space="0" w:color="auto"/>
            </w:tcBorders>
            <w:shd w:val="clear" w:color="auto" w:fill="auto"/>
          </w:tcPr>
          <w:p w14:paraId="18A52261" w14:textId="77777777" w:rsidR="00F33F37" w:rsidRPr="00347AA7" w:rsidRDefault="00F33F37" w:rsidP="008C49F8">
            <w:pPr>
              <w:rPr>
                <w:rFonts w:ascii="Arial" w:hAnsi="Arial" w:cs="Arial"/>
                <w:b/>
              </w:rPr>
            </w:pPr>
          </w:p>
        </w:tc>
        <w:tc>
          <w:tcPr>
            <w:tcW w:w="1387" w:type="dxa"/>
            <w:vMerge/>
            <w:tcBorders>
              <w:left w:val="single" w:sz="4" w:space="0" w:color="auto"/>
              <w:bottom w:val="single" w:sz="4" w:space="0" w:color="auto"/>
              <w:right w:val="single" w:sz="4" w:space="0" w:color="auto"/>
            </w:tcBorders>
            <w:shd w:val="clear" w:color="auto" w:fill="auto"/>
          </w:tcPr>
          <w:p w14:paraId="1224A9F0" w14:textId="77777777" w:rsidR="00F33F37" w:rsidRPr="00347AA7" w:rsidRDefault="00F33F37" w:rsidP="008C49F8">
            <w:pPr>
              <w:jc w:val="right"/>
              <w:rPr>
                <w:rFonts w:ascii="Arial" w:hAnsi="Arial" w:cs="Arial"/>
                <w:b/>
              </w:rPr>
            </w:pPr>
          </w:p>
        </w:tc>
        <w:tc>
          <w:tcPr>
            <w:tcW w:w="1443" w:type="dxa"/>
            <w:vMerge/>
            <w:tcBorders>
              <w:left w:val="single" w:sz="4" w:space="0" w:color="auto"/>
              <w:bottom w:val="single" w:sz="4" w:space="0" w:color="auto"/>
              <w:right w:val="single" w:sz="4" w:space="0" w:color="auto"/>
            </w:tcBorders>
            <w:shd w:val="clear" w:color="auto" w:fill="auto"/>
          </w:tcPr>
          <w:p w14:paraId="23980AFB" w14:textId="77777777" w:rsidR="00F33F37" w:rsidRPr="00347AA7" w:rsidRDefault="00F33F37" w:rsidP="008C49F8">
            <w:pPr>
              <w:jc w:val="right"/>
              <w:rPr>
                <w:rFonts w:ascii="Arial" w:hAnsi="Arial" w:cs="Arial"/>
                <w:b/>
              </w:rPr>
            </w:pP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1AEA1684" w14:textId="77777777" w:rsidR="00F33F37" w:rsidRPr="00347AA7" w:rsidRDefault="00F33F37" w:rsidP="008C49F8">
            <w:pPr>
              <w:jc w:val="right"/>
              <w:rPr>
                <w:rFonts w:ascii="Arial" w:hAnsi="Arial" w:cs="Arial"/>
                <w:b/>
              </w:rPr>
            </w:pPr>
            <w:r w:rsidRPr="00347AA7">
              <w:rPr>
                <w:rFonts w:ascii="Arial" w:hAnsi="Arial" w:cs="Arial"/>
                <w:b/>
              </w:rPr>
              <w:t>Since purchase</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216E8130" w14:textId="77777777" w:rsidR="00F33F37" w:rsidRPr="00347AA7" w:rsidRDefault="00F33F37" w:rsidP="008C49F8">
            <w:pPr>
              <w:jc w:val="right"/>
              <w:rPr>
                <w:rFonts w:ascii="Arial" w:hAnsi="Arial" w:cs="Arial"/>
                <w:b/>
              </w:rPr>
            </w:pPr>
            <w:r w:rsidRPr="00347AA7">
              <w:rPr>
                <w:rFonts w:ascii="Arial" w:hAnsi="Arial" w:cs="Arial"/>
                <w:b/>
              </w:rPr>
              <w:t>2023/24</w:t>
            </w:r>
          </w:p>
        </w:tc>
      </w:tr>
      <w:tr w:rsidR="00F33F37" w:rsidRPr="00F52CEA" w14:paraId="5EF5A712" w14:textId="77777777" w:rsidTr="008C49F8">
        <w:trPr>
          <w:jc w:val="center"/>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79C1E9EC" w14:textId="77777777" w:rsidR="00F33F37" w:rsidRPr="00347AA7" w:rsidRDefault="00F33F37" w:rsidP="008C49F8">
            <w:pPr>
              <w:rPr>
                <w:rFonts w:ascii="Arial" w:hAnsi="Arial" w:cs="Arial"/>
                <w:b/>
              </w:rPr>
            </w:pPr>
          </w:p>
        </w:tc>
        <w:tc>
          <w:tcPr>
            <w:tcW w:w="1387" w:type="dxa"/>
            <w:tcBorders>
              <w:top w:val="single" w:sz="4" w:space="0" w:color="auto"/>
              <w:left w:val="single" w:sz="4" w:space="0" w:color="auto"/>
              <w:bottom w:val="single" w:sz="4" w:space="0" w:color="auto"/>
              <w:right w:val="single" w:sz="4" w:space="0" w:color="auto"/>
            </w:tcBorders>
            <w:shd w:val="clear" w:color="auto" w:fill="auto"/>
          </w:tcPr>
          <w:p w14:paraId="1F37F7BD" w14:textId="77777777" w:rsidR="00F33F37" w:rsidRPr="00347AA7" w:rsidRDefault="00F33F37" w:rsidP="008C49F8">
            <w:pPr>
              <w:jc w:val="right"/>
              <w:rPr>
                <w:rFonts w:ascii="Arial" w:hAnsi="Arial" w:cs="Arial"/>
                <w:b/>
              </w:rPr>
            </w:pPr>
            <w:r w:rsidRPr="00347AA7">
              <w:rPr>
                <w:rFonts w:ascii="Arial" w:hAnsi="Arial" w:cs="Arial"/>
                <w:b/>
              </w:rPr>
              <w:t>£m</w:t>
            </w:r>
          </w:p>
        </w:tc>
        <w:tc>
          <w:tcPr>
            <w:tcW w:w="1443" w:type="dxa"/>
            <w:tcBorders>
              <w:top w:val="single" w:sz="4" w:space="0" w:color="auto"/>
              <w:left w:val="single" w:sz="4" w:space="0" w:color="auto"/>
              <w:bottom w:val="single" w:sz="4" w:space="0" w:color="auto"/>
              <w:right w:val="single" w:sz="4" w:space="0" w:color="auto"/>
            </w:tcBorders>
            <w:shd w:val="clear" w:color="auto" w:fill="auto"/>
          </w:tcPr>
          <w:p w14:paraId="4127C63B" w14:textId="77777777" w:rsidR="00F33F37" w:rsidRPr="00347AA7" w:rsidRDefault="00F33F37" w:rsidP="008C49F8">
            <w:pPr>
              <w:jc w:val="right"/>
              <w:rPr>
                <w:rFonts w:ascii="Arial" w:hAnsi="Arial" w:cs="Arial"/>
                <w:b/>
              </w:rPr>
            </w:pPr>
            <w:r w:rsidRPr="00347AA7">
              <w:rPr>
                <w:rFonts w:ascii="Arial" w:hAnsi="Arial" w:cs="Arial"/>
                <w:b/>
              </w:rPr>
              <w:t>£m</w:t>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2DECA498" w14:textId="77777777" w:rsidR="00F33F37" w:rsidRPr="00347AA7" w:rsidRDefault="00F33F37" w:rsidP="008C49F8">
            <w:pPr>
              <w:jc w:val="right"/>
              <w:rPr>
                <w:rFonts w:ascii="Arial" w:hAnsi="Arial" w:cs="Arial"/>
                <w:b/>
              </w:rPr>
            </w:pPr>
            <w:r w:rsidRPr="00347AA7">
              <w:rPr>
                <w:rFonts w:ascii="Arial" w:hAnsi="Arial" w:cs="Arial"/>
                <w:b/>
              </w:rPr>
              <w:t>£m</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6A7328EB" w14:textId="77777777" w:rsidR="00F33F37" w:rsidRPr="00347AA7" w:rsidRDefault="00F33F37" w:rsidP="008C49F8">
            <w:pPr>
              <w:jc w:val="right"/>
              <w:rPr>
                <w:rFonts w:ascii="Arial" w:hAnsi="Arial" w:cs="Arial"/>
                <w:b/>
              </w:rPr>
            </w:pPr>
            <w:r w:rsidRPr="00347AA7">
              <w:rPr>
                <w:rFonts w:ascii="Arial" w:hAnsi="Arial" w:cs="Arial"/>
                <w:b/>
              </w:rPr>
              <w:t>£m</w:t>
            </w:r>
          </w:p>
        </w:tc>
      </w:tr>
      <w:tr w:rsidR="00AA1C90" w:rsidRPr="00F52CEA" w14:paraId="1157BB19" w14:textId="77777777" w:rsidTr="00F83E18">
        <w:trPr>
          <w:trHeight w:val="80"/>
          <w:jc w:val="center"/>
        </w:trPr>
        <w:tc>
          <w:tcPr>
            <w:tcW w:w="2647" w:type="dxa"/>
            <w:tcBorders>
              <w:left w:val="single" w:sz="4" w:space="0" w:color="auto"/>
              <w:bottom w:val="single" w:sz="4" w:space="0" w:color="auto"/>
              <w:right w:val="single" w:sz="4" w:space="0" w:color="auto"/>
            </w:tcBorders>
            <w:shd w:val="clear" w:color="auto" w:fill="auto"/>
          </w:tcPr>
          <w:p w14:paraId="1117465E" w14:textId="77777777" w:rsidR="00AA1C90" w:rsidRPr="00347AA7" w:rsidRDefault="00AA1C90" w:rsidP="00AA1C90">
            <w:pPr>
              <w:rPr>
                <w:rFonts w:ascii="Arial" w:hAnsi="Arial" w:cs="Arial"/>
                <w:bCs/>
              </w:rPr>
            </w:pPr>
            <w:r w:rsidRPr="00347AA7">
              <w:rPr>
                <w:rFonts w:ascii="Arial" w:hAnsi="Arial" w:cs="Arial"/>
                <w:bCs/>
              </w:rPr>
              <w:t>Pooled property fund</w:t>
            </w:r>
            <w:r>
              <w:rPr>
                <w:rFonts w:ascii="Arial" w:hAnsi="Arial" w:cs="Arial"/>
                <w:bCs/>
              </w:rPr>
              <w:t>s</w:t>
            </w:r>
          </w:p>
        </w:tc>
        <w:tc>
          <w:tcPr>
            <w:tcW w:w="1387" w:type="dxa"/>
            <w:tcBorders>
              <w:left w:val="single" w:sz="4" w:space="0" w:color="auto"/>
              <w:bottom w:val="single" w:sz="4" w:space="0" w:color="auto"/>
              <w:right w:val="single" w:sz="4" w:space="0" w:color="auto"/>
            </w:tcBorders>
            <w:shd w:val="clear" w:color="auto" w:fill="auto"/>
            <w:vAlign w:val="center"/>
          </w:tcPr>
          <w:p w14:paraId="44F33C0C" w14:textId="5F4B7C23" w:rsidR="00AA1C90" w:rsidRPr="00347AA7" w:rsidRDefault="00AA1C90" w:rsidP="00AA1C90">
            <w:pPr>
              <w:jc w:val="right"/>
              <w:rPr>
                <w:rFonts w:ascii="Arial" w:hAnsi="Arial" w:cs="Arial"/>
                <w:bCs/>
              </w:rPr>
            </w:pPr>
            <w:r>
              <w:rPr>
                <w:rFonts w:ascii="Arial" w:hAnsi="Arial" w:cs="Arial"/>
              </w:rPr>
              <w:t>4.0</w:t>
            </w:r>
          </w:p>
        </w:tc>
        <w:tc>
          <w:tcPr>
            <w:tcW w:w="1443" w:type="dxa"/>
            <w:tcBorders>
              <w:left w:val="single" w:sz="4" w:space="0" w:color="auto"/>
              <w:bottom w:val="single" w:sz="4" w:space="0" w:color="auto"/>
              <w:right w:val="single" w:sz="4" w:space="0" w:color="auto"/>
            </w:tcBorders>
            <w:shd w:val="clear" w:color="auto" w:fill="auto"/>
            <w:vAlign w:val="center"/>
          </w:tcPr>
          <w:p w14:paraId="42535F2B" w14:textId="6DE63D6D" w:rsidR="00AA1C90" w:rsidRPr="00347AA7" w:rsidRDefault="00AA1C90" w:rsidP="00AA1C90">
            <w:pPr>
              <w:jc w:val="right"/>
              <w:rPr>
                <w:rFonts w:ascii="Arial" w:hAnsi="Arial" w:cs="Arial"/>
                <w:bCs/>
              </w:rPr>
            </w:pPr>
            <w:r>
              <w:rPr>
                <w:rFonts w:ascii="Arial" w:hAnsi="Arial" w:cs="Arial"/>
              </w:rPr>
              <w:t>3.8</w:t>
            </w:r>
          </w:p>
        </w:tc>
        <w:tc>
          <w:tcPr>
            <w:tcW w:w="1445" w:type="dxa"/>
            <w:tcBorders>
              <w:left w:val="single" w:sz="4" w:space="0" w:color="auto"/>
              <w:bottom w:val="single" w:sz="4" w:space="0" w:color="auto"/>
              <w:right w:val="single" w:sz="4" w:space="0" w:color="auto"/>
            </w:tcBorders>
            <w:shd w:val="clear" w:color="auto" w:fill="auto"/>
            <w:vAlign w:val="center"/>
          </w:tcPr>
          <w:p w14:paraId="1376C10D" w14:textId="7545F9C7" w:rsidR="00AA1C90" w:rsidRPr="00347AA7" w:rsidRDefault="00AA1C90" w:rsidP="00AA1C90">
            <w:pPr>
              <w:jc w:val="right"/>
              <w:rPr>
                <w:rFonts w:ascii="Arial" w:hAnsi="Arial" w:cs="Arial"/>
                <w:bCs/>
              </w:rPr>
            </w:pPr>
            <w:r>
              <w:rPr>
                <w:rFonts w:ascii="Arial" w:hAnsi="Arial" w:cs="Arial"/>
              </w:rPr>
              <w:t>(0.2)</w:t>
            </w:r>
          </w:p>
        </w:tc>
        <w:tc>
          <w:tcPr>
            <w:tcW w:w="1391" w:type="dxa"/>
            <w:tcBorders>
              <w:left w:val="single" w:sz="4" w:space="0" w:color="auto"/>
              <w:bottom w:val="single" w:sz="4" w:space="0" w:color="auto"/>
              <w:right w:val="single" w:sz="4" w:space="0" w:color="auto"/>
            </w:tcBorders>
            <w:shd w:val="clear" w:color="auto" w:fill="auto"/>
            <w:vAlign w:val="center"/>
          </w:tcPr>
          <w:p w14:paraId="4DD8CDB0" w14:textId="17C76A38" w:rsidR="00AA1C90" w:rsidRPr="00347AA7" w:rsidRDefault="00AA1C90" w:rsidP="00AA1C90">
            <w:pPr>
              <w:jc w:val="right"/>
              <w:rPr>
                <w:rFonts w:ascii="Arial" w:hAnsi="Arial" w:cs="Arial"/>
                <w:bCs/>
              </w:rPr>
            </w:pPr>
            <w:r>
              <w:rPr>
                <w:rFonts w:ascii="Arial" w:hAnsi="Arial" w:cs="Arial"/>
              </w:rPr>
              <w:t>0.0</w:t>
            </w:r>
          </w:p>
        </w:tc>
      </w:tr>
      <w:tr w:rsidR="00AA1C90" w:rsidRPr="00F52CEA" w14:paraId="2B739F75" w14:textId="77777777" w:rsidTr="00F83E18">
        <w:trPr>
          <w:trHeight w:val="80"/>
          <w:jc w:val="center"/>
        </w:trPr>
        <w:tc>
          <w:tcPr>
            <w:tcW w:w="2647" w:type="dxa"/>
            <w:tcBorders>
              <w:left w:val="single" w:sz="4" w:space="0" w:color="auto"/>
              <w:bottom w:val="single" w:sz="4" w:space="0" w:color="auto"/>
              <w:right w:val="single" w:sz="4" w:space="0" w:color="auto"/>
            </w:tcBorders>
            <w:shd w:val="clear" w:color="auto" w:fill="auto"/>
          </w:tcPr>
          <w:p w14:paraId="405802FC" w14:textId="3022034F" w:rsidR="00AA1C90" w:rsidRPr="00347AA7" w:rsidRDefault="00AA1C90" w:rsidP="00AA1C90">
            <w:pPr>
              <w:rPr>
                <w:rFonts w:ascii="Arial" w:hAnsi="Arial" w:cs="Arial"/>
                <w:bCs/>
              </w:rPr>
            </w:pPr>
            <w:r>
              <w:rPr>
                <w:rFonts w:ascii="Arial" w:hAnsi="Arial" w:cs="Arial"/>
                <w:bCs/>
              </w:rPr>
              <w:t>Pooled equity funds</w:t>
            </w:r>
          </w:p>
        </w:tc>
        <w:tc>
          <w:tcPr>
            <w:tcW w:w="1387" w:type="dxa"/>
            <w:tcBorders>
              <w:left w:val="single" w:sz="4" w:space="0" w:color="auto"/>
              <w:bottom w:val="single" w:sz="4" w:space="0" w:color="auto"/>
              <w:right w:val="single" w:sz="4" w:space="0" w:color="auto"/>
            </w:tcBorders>
            <w:shd w:val="clear" w:color="auto" w:fill="auto"/>
            <w:vAlign w:val="center"/>
          </w:tcPr>
          <w:p w14:paraId="0B7743E8" w14:textId="07611221" w:rsidR="00AA1C90" w:rsidRDefault="00807851" w:rsidP="00AA1C90">
            <w:pPr>
              <w:jc w:val="right"/>
              <w:rPr>
                <w:rFonts w:ascii="Arial" w:hAnsi="Arial" w:cs="Arial"/>
                <w:bCs/>
              </w:rPr>
            </w:pPr>
            <w:r>
              <w:rPr>
                <w:rFonts w:ascii="Arial" w:hAnsi="Arial" w:cs="Arial"/>
              </w:rPr>
              <w:t>1</w:t>
            </w:r>
            <w:r w:rsidR="00AA1C90">
              <w:rPr>
                <w:rFonts w:ascii="Arial" w:hAnsi="Arial" w:cs="Arial"/>
              </w:rPr>
              <w:t>.0</w:t>
            </w:r>
          </w:p>
        </w:tc>
        <w:tc>
          <w:tcPr>
            <w:tcW w:w="1443" w:type="dxa"/>
            <w:tcBorders>
              <w:left w:val="single" w:sz="4" w:space="0" w:color="auto"/>
              <w:bottom w:val="single" w:sz="4" w:space="0" w:color="auto"/>
              <w:right w:val="single" w:sz="4" w:space="0" w:color="auto"/>
            </w:tcBorders>
            <w:shd w:val="clear" w:color="auto" w:fill="auto"/>
            <w:vAlign w:val="center"/>
          </w:tcPr>
          <w:p w14:paraId="7974E442" w14:textId="0FD16AEB" w:rsidR="00AA1C90" w:rsidRDefault="00AA1C90" w:rsidP="00AA1C90">
            <w:pPr>
              <w:jc w:val="right"/>
              <w:rPr>
                <w:rFonts w:ascii="Arial" w:hAnsi="Arial" w:cs="Arial"/>
                <w:bCs/>
              </w:rPr>
            </w:pPr>
            <w:r>
              <w:rPr>
                <w:rFonts w:ascii="Arial" w:hAnsi="Arial" w:cs="Arial"/>
              </w:rPr>
              <w:t>0.8</w:t>
            </w:r>
          </w:p>
        </w:tc>
        <w:tc>
          <w:tcPr>
            <w:tcW w:w="1445" w:type="dxa"/>
            <w:tcBorders>
              <w:left w:val="single" w:sz="4" w:space="0" w:color="auto"/>
              <w:bottom w:val="single" w:sz="4" w:space="0" w:color="auto"/>
              <w:right w:val="single" w:sz="4" w:space="0" w:color="auto"/>
            </w:tcBorders>
            <w:shd w:val="clear" w:color="auto" w:fill="auto"/>
            <w:vAlign w:val="center"/>
          </w:tcPr>
          <w:p w14:paraId="1465B509" w14:textId="3B6A759B" w:rsidR="00AA1C90" w:rsidRPr="00347AA7" w:rsidRDefault="00AA1C90" w:rsidP="00AA1C90">
            <w:pPr>
              <w:jc w:val="right"/>
              <w:rPr>
                <w:rFonts w:ascii="Arial" w:hAnsi="Arial" w:cs="Arial"/>
                <w:bCs/>
              </w:rPr>
            </w:pPr>
            <w:r>
              <w:rPr>
                <w:rFonts w:ascii="Arial" w:hAnsi="Arial" w:cs="Arial"/>
              </w:rPr>
              <w:t>(</w:t>
            </w:r>
            <w:r w:rsidR="0072410E">
              <w:rPr>
                <w:rFonts w:ascii="Arial" w:hAnsi="Arial" w:cs="Arial"/>
              </w:rPr>
              <w:t>0</w:t>
            </w:r>
            <w:r>
              <w:rPr>
                <w:rFonts w:ascii="Arial" w:hAnsi="Arial" w:cs="Arial"/>
              </w:rPr>
              <w:t>.2)</w:t>
            </w:r>
          </w:p>
        </w:tc>
        <w:tc>
          <w:tcPr>
            <w:tcW w:w="1391" w:type="dxa"/>
            <w:tcBorders>
              <w:left w:val="single" w:sz="4" w:space="0" w:color="auto"/>
              <w:bottom w:val="single" w:sz="4" w:space="0" w:color="auto"/>
              <w:right w:val="single" w:sz="4" w:space="0" w:color="auto"/>
            </w:tcBorders>
            <w:shd w:val="clear" w:color="auto" w:fill="auto"/>
            <w:vAlign w:val="center"/>
          </w:tcPr>
          <w:p w14:paraId="1CDED3E4" w14:textId="3E48B8FE" w:rsidR="00AA1C90" w:rsidRPr="00347AA7" w:rsidRDefault="00AA1C90" w:rsidP="00AA1C90">
            <w:pPr>
              <w:jc w:val="right"/>
              <w:rPr>
                <w:rFonts w:ascii="Arial" w:hAnsi="Arial" w:cs="Arial"/>
                <w:bCs/>
              </w:rPr>
            </w:pPr>
            <w:r>
              <w:rPr>
                <w:rFonts w:ascii="Arial" w:hAnsi="Arial" w:cs="Arial"/>
              </w:rPr>
              <w:t>(0.1)</w:t>
            </w:r>
          </w:p>
        </w:tc>
      </w:tr>
      <w:tr w:rsidR="00AA1C90" w:rsidRPr="00101F20" w14:paraId="72077ED2" w14:textId="77777777" w:rsidTr="00F83E18">
        <w:trPr>
          <w:trHeight w:val="80"/>
          <w:jc w:val="center"/>
        </w:trPr>
        <w:tc>
          <w:tcPr>
            <w:tcW w:w="2647" w:type="dxa"/>
            <w:tcBorders>
              <w:top w:val="single" w:sz="4" w:space="0" w:color="auto"/>
              <w:left w:val="single" w:sz="4" w:space="0" w:color="auto"/>
              <w:bottom w:val="single" w:sz="4" w:space="0" w:color="auto"/>
              <w:right w:val="single" w:sz="4" w:space="0" w:color="auto"/>
            </w:tcBorders>
            <w:shd w:val="clear" w:color="auto" w:fill="auto"/>
          </w:tcPr>
          <w:p w14:paraId="6DB15F9B" w14:textId="77777777" w:rsidR="00AA1C90" w:rsidRPr="00347AA7" w:rsidRDefault="00AA1C90" w:rsidP="00AA1C90">
            <w:pPr>
              <w:rPr>
                <w:rFonts w:ascii="Arial" w:hAnsi="Arial" w:cs="Arial"/>
                <w:bCs/>
              </w:rPr>
            </w:pPr>
            <w:r w:rsidRPr="00347AA7">
              <w:rPr>
                <w:rFonts w:ascii="Arial" w:hAnsi="Arial" w:cs="Arial"/>
                <w:bCs/>
              </w:rPr>
              <w:t>Total</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8ADBFFC" w14:textId="5139C769" w:rsidR="00AA1C90" w:rsidRPr="00347AA7" w:rsidRDefault="00AA1C90" w:rsidP="00AA1C90">
            <w:pPr>
              <w:jc w:val="right"/>
              <w:rPr>
                <w:rFonts w:ascii="Arial" w:hAnsi="Arial" w:cs="Arial"/>
                <w:bCs/>
              </w:rPr>
            </w:pPr>
            <w:r>
              <w:rPr>
                <w:rFonts w:ascii="Arial" w:hAnsi="Arial" w:cs="Arial"/>
                <w:b/>
                <w:bCs/>
              </w:rPr>
              <w:t>7.0</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14:paraId="4CAAF7FE" w14:textId="30A3F6CA" w:rsidR="00AA1C90" w:rsidRPr="00347AA7" w:rsidRDefault="00AA1C90" w:rsidP="00AA1C90">
            <w:pPr>
              <w:jc w:val="right"/>
              <w:rPr>
                <w:rFonts w:ascii="Arial" w:hAnsi="Arial" w:cs="Arial"/>
                <w:bCs/>
              </w:rPr>
            </w:pPr>
            <w:r>
              <w:rPr>
                <w:rFonts w:ascii="Arial" w:hAnsi="Arial" w:cs="Arial"/>
                <w:b/>
                <w:bCs/>
              </w:rPr>
              <w:t>4.6</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5F8B61F" w14:textId="5A7DAC09" w:rsidR="00AA1C90" w:rsidRPr="00347AA7" w:rsidRDefault="00AA1C90" w:rsidP="00AA1C90">
            <w:pPr>
              <w:jc w:val="right"/>
              <w:rPr>
                <w:rFonts w:ascii="Arial" w:hAnsi="Arial" w:cs="Arial"/>
                <w:bCs/>
              </w:rPr>
            </w:pPr>
            <w:r>
              <w:rPr>
                <w:rFonts w:ascii="Arial" w:hAnsi="Arial" w:cs="Arial"/>
                <w:b/>
                <w:bCs/>
              </w:rPr>
              <w:t>(</w:t>
            </w:r>
            <w:r w:rsidR="0072410E">
              <w:rPr>
                <w:rFonts w:ascii="Arial" w:hAnsi="Arial" w:cs="Arial"/>
                <w:b/>
                <w:bCs/>
              </w:rPr>
              <w:t>0</w:t>
            </w:r>
            <w:r>
              <w:rPr>
                <w:rFonts w:ascii="Arial" w:hAnsi="Arial" w:cs="Arial"/>
                <w:b/>
                <w:bCs/>
              </w:rPr>
              <w:t>.4)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16F9DDA" w14:textId="7B5EEA8A" w:rsidR="00AA1C90" w:rsidRPr="00347AA7" w:rsidRDefault="00AA1C90" w:rsidP="00AA1C90">
            <w:pPr>
              <w:jc w:val="right"/>
              <w:rPr>
                <w:rFonts w:ascii="Arial" w:hAnsi="Arial" w:cs="Arial"/>
                <w:bCs/>
              </w:rPr>
            </w:pPr>
            <w:r>
              <w:rPr>
                <w:rFonts w:ascii="Arial" w:hAnsi="Arial" w:cs="Arial"/>
                <w:b/>
                <w:bCs/>
              </w:rPr>
              <w:t>(0.1)</w:t>
            </w:r>
          </w:p>
        </w:tc>
      </w:tr>
    </w:tbl>
    <w:p w14:paraId="23115E51" w14:textId="4F2D020B" w:rsidR="00F32E0B" w:rsidRDefault="00F32E0B" w:rsidP="0087271A">
      <w:pPr>
        <w:pStyle w:val="ListParagraph"/>
        <w:spacing w:after="240"/>
        <w:rPr>
          <w:rFonts w:ascii="Arial" w:hAnsi="Arial" w:cs="Arial"/>
        </w:rPr>
      </w:pPr>
    </w:p>
    <w:p w14:paraId="63C581F7" w14:textId="1CCD0BA4" w:rsidR="002B21D7" w:rsidRDefault="00A4202C" w:rsidP="004928CD">
      <w:pPr>
        <w:pStyle w:val="ListParagraph"/>
        <w:numPr>
          <w:ilvl w:val="1"/>
          <w:numId w:val="2"/>
        </w:numPr>
        <w:spacing w:after="240"/>
        <w:ind w:left="720" w:hanging="720"/>
        <w:rPr>
          <w:rFonts w:ascii="Arial" w:hAnsi="Arial" w:cs="Arial"/>
        </w:rPr>
      </w:pPr>
      <w:r>
        <w:rPr>
          <w:rFonts w:ascii="Arial" w:hAnsi="Arial" w:cs="Arial"/>
        </w:rPr>
        <w:t xml:space="preserve">The PCC’s </w:t>
      </w:r>
      <w:r w:rsidRPr="00A4202C">
        <w:rPr>
          <w:rFonts w:ascii="Arial" w:hAnsi="Arial" w:cs="Arial"/>
        </w:rPr>
        <w:t xml:space="preserve">investments in pooled funds target long-term price stability and regular revenue income. As shown in Table 7, the annualised income returns have </w:t>
      </w:r>
      <w:r w:rsidRPr="00052EFD">
        <w:rPr>
          <w:rFonts w:ascii="Arial" w:hAnsi="Arial" w:cs="Arial"/>
        </w:rPr>
        <w:t xml:space="preserve">averaged </w:t>
      </w:r>
      <w:r w:rsidR="00052EFD" w:rsidRPr="00052EFD">
        <w:rPr>
          <w:rFonts w:ascii="Arial" w:hAnsi="Arial" w:cs="Arial"/>
        </w:rPr>
        <w:t>4.19</w:t>
      </w:r>
      <w:r w:rsidRPr="00052EFD">
        <w:rPr>
          <w:rFonts w:ascii="Arial" w:hAnsi="Arial" w:cs="Arial"/>
        </w:rPr>
        <w:t xml:space="preserve">% pa (per annum) since purchase, contributing to a total return of </w:t>
      </w:r>
      <w:r w:rsidR="00052EFD" w:rsidRPr="00052EFD">
        <w:rPr>
          <w:rFonts w:ascii="Arial" w:hAnsi="Arial" w:cs="Arial"/>
        </w:rPr>
        <w:t>24.82</w:t>
      </w:r>
      <w:r w:rsidRPr="00052EFD">
        <w:rPr>
          <w:rFonts w:ascii="Arial" w:hAnsi="Arial" w:cs="Arial"/>
        </w:rPr>
        <w:t>%</w:t>
      </w:r>
      <w:r w:rsidR="00B43C54" w:rsidRPr="00052EFD">
        <w:rPr>
          <w:rFonts w:ascii="Arial" w:hAnsi="Arial" w:cs="Arial"/>
        </w:rPr>
        <w:t>.</w:t>
      </w:r>
      <w:r w:rsidR="00B43C54">
        <w:rPr>
          <w:rFonts w:ascii="Arial" w:hAnsi="Arial" w:cs="Arial"/>
        </w:rPr>
        <w:t xml:space="preserve"> </w:t>
      </w:r>
    </w:p>
    <w:p w14:paraId="4443E746" w14:textId="77777777" w:rsidR="001E57DD" w:rsidRDefault="001E57DD" w:rsidP="001E57DD">
      <w:pPr>
        <w:spacing w:after="240"/>
        <w:rPr>
          <w:rFonts w:ascii="Arial" w:hAnsi="Arial" w:cs="Arial"/>
        </w:rPr>
      </w:pPr>
    </w:p>
    <w:p w14:paraId="427FA11C" w14:textId="77777777" w:rsidR="001E57DD" w:rsidRPr="001E57DD" w:rsidRDefault="001E57DD" w:rsidP="001E57DD">
      <w:pPr>
        <w:spacing w:after="240"/>
        <w:rPr>
          <w:rFonts w:ascii="Arial" w:hAnsi="Arial" w:cs="Arial"/>
        </w:rPr>
      </w:pPr>
    </w:p>
    <w:tbl>
      <w:tblPr>
        <w:tblW w:w="7796" w:type="dxa"/>
        <w:jc w:val="center"/>
        <w:tblLook w:val="04A0" w:firstRow="1" w:lastRow="0" w:firstColumn="1" w:lastColumn="0" w:noHBand="0" w:noVBand="1"/>
      </w:tblPr>
      <w:tblGrid>
        <w:gridCol w:w="3827"/>
        <w:gridCol w:w="1984"/>
        <w:gridCol w:w="1985"/>
      </w:tblGrid>
      <w:tr w:rsidR="00B43C54" w:rsidRPr="00F52CEA" w14:paraId="0837F5AD" w14:textId="77777777" w:rsidTr="008C49F8">
        <w:trPr>
          <w:trHeight w:val="276"/>
          <w:jc w:val="center"/>
        </w:trPr>
        <w:tc>
          <w:tcPr>
            <w:tcW w:w="3827" w:type="dxa"/>
            <w:vMerge w:val="restart"/>
            <w:tcBorders>
              <w:top w:val="single" w:sz="4" w:space="0" w:color="auto"/>
              <w:left w:val="single" w:sz="4" w:space="0" w:color="auto"/>
              <w:right w:val="single" w:sz="4" w:space="0" w:color="auto"/>
            </w:tcBorders>
            <w:shd w:val="clear" w:color="auto" w:fill="auto"/>
          </w:tcPr>
          <w:p w14:paraId="584B3937" w14:textId="77777777" w:rsidR="00B43C54" w:rsidRPr="00737598" w:rsidRDefault="00B43C54" w:rsidP="008C49F8">
            <w:pPr>
              <w:rPr>
                <w:rFonts w:ascii="Arial" w:hAnsi="Arial" w:cs="Arial"/>
                <w:b/>
                <w:bCs/>
                <w:szCs w:val="28"/>
              </w:rPr>
            </w:pPr>
            <w:r w:rsidRPr="00737598">
              <w:rPr>
                <w:rFonts w:ascii="Arial" w:eastAsia="Calibri" w:hAnsi="Arial" w:cs="Arial"/>
                <w:b/>
                <w:bCs/>
                <w:szCs w:val="28"/>
              </w:rPr>
              <w:lastRenderedPageBreak/>
              <w:t>Table 7: Higher yielding investments – income and total returns since purchase</w:t>
            </w:r>
          </w:p>
        </w:tc>
        <w:tc>
          <w:tcPr>
            <w:tcW w:w="1984" w:type="dxa"/>
            <w:vMerge w:val="restart"/>
            <w:tcBorders>
              <w:top w:val="single" w:sz="4" w:space="0" w:color="auto"/>
              <w:left w:val="single" w:sz="4" w:space="0" w:color="auto"/>
              <w:right w:val="single" w:sz="4" w:space="0" w:color="auto"/>
            </w:tcBorders>
            <w:shd w:val="clear" w:color="auto" w:fill="auto"/>
          </w:tcPr>
          <w:p w14:paraId="58DEDBF4" w14:textId="77777777" w:rsidR="00B43C54" w:rsidRPr="00737598" w:rsidRDefault="00B43C54" w:rsidP="008C49F8">
            <w:pPr>
              <w:jc w:val="right"/>
              <w:rPr>
                <w:rFonts w:ascii="Arial" w:hAnsi="Arial" w:cs="Arial"/>
                <w:b/>
                <w:szCs w:val="28"/>
              </w:rPr>
            </w:pPr>
            <w:r w:rsidRPr="00737598">
              <w:rPr>
                <w:rFonts w:ascii="Arial" w:hAnsi="Arial" w:cs="Arial"/>
                <w:b/>
                <w:szCs w:val="28"/>
              </w:rPr>
              <w:t>Annualised income return</w:t>
            </w:r>
          </w:p>
        </w:tc>
        <w:tc>
          <w:tcPr>
            <w:tcW w:w="1985" w:type="dxa"/>
            <w:vMerge w:val="restart"/>
            <w:tcBorders>
              <w:top w:val="single" w:sz="4" w:space="0" w:color="auto"/>
              <w:left w:val="single" w:sz="4" w:space="0" w:color="auto"/>
              <w:right w:val="single" w:sz="4" w:space="0" w:color="auto"/>
            </w:tcBorders>
            <w:shd w:val="clear" w:color="auto" w:fill="auto"/>
          </w:tcPr>
          <w:p w14:paraId="78A90BD5" w14:textId="77777777" w:rsidR="00B43C54" w:rsidRPr="00737598" w:rsidRDefault="00B43C54" w:rsidP="008C49F8">
            <w:pPr>
              <w:jc w:val="right"/>
              <w:rPr>
                <w:rFonts w:ascii="Arial" w:hAnsi="Arial" w:cs="Arial"/>
                <w:b/>
                <w:szCs w:val="28"/>
              </w:rPr>
            </w:pPr>
            <w:r w:rsidRPr="00737598">
              <w:rPr>
                <w:rFonts w:ascii="Arial" w:hAnsi="Arial" w:cs="Arial"/>
                <w:b/>
                <w:szCs w:val="28"/>
              </w:rPr>
              <w:t>Total return</w:t>
            </w:r>
          </w:p>
        </w:tc>
      </w:tr>
      <w:tr w:rsidR="00B43C54" w:rsidRPr="00F52CEA" w14:paraId="42C59828" w14:textId="77777777" w:rsidTr="008C49F8">
        <w:trPr>
          <w:trHeight w:val="276"/>
          <w:jc w:val="center"/>
        </w:trPr>
        <w:tc>
          <w:tcPr>
            <w:tcW w:w="3827" w:type="dxa"/>
            <w:vMerge/>
            <w:tcBorders>
              <w:left w:val="single" w:sz="4" w:space="0" w:color="auto"/>
              <w:bottom w:val="single" w:sz="4" w:space="0" w:color="auto"/>
              <w:right w:val="single" w:sz="4" w:space="0" w:color="auto"/>
            </w:tcBorders>
            <w:shd w:val="clear" w:color="auto" w:fill="auto"/>
          </w:tcPr>
          <w:p w14:paraId="65D894BC" w14:textId="77777777" w:rsidR="00B43C54" w:rsidRPr="00737598" w:rsidRDefault="00B43C54" w:rsidP="008C49F8">
            <w:pPr>
              <w:rPr>
                <w:rFonts w:ascii="Arial" w:hAnsi="Arial" w:cs="Arial"/>
                <w:b/>
                <w:szCs w:val="28"/>
              </w:rPr>
            </w:pPr>
          </w:p>
        </w:tc>
        <w:tc>
          <w:tcPr>
            <w:tcW w:w="1984" w:type="dxa"/>
            <w:vMerge/>
            <w:tcBorders>
              <w:left w:val="single" w:sz="4" w:space="0" w:color="auto"/>
              <w:bottom w:val="single" w:sz="4" w:space="0" w:color="auto"/>
              <w:right w:val="single" w:sz="4" w:space="0" w:color="auto"/>
            </w:tcBorders>
            <w:shd w:val="clear" w:color="auto" w:fill="auto"/>
          </w:tcPr>
          <w:p w14:paraId="40CED48D" w14:textId="77777777" w:rsidR="00B43C54" w:rsidRPr="00737598" w:rsidRDefault="00B43C54" w:rsidP="008C49F8">
            <w:pPr>
              <w:jc w:val="right"/>
              <w:rPr>
                <w:rFonts w:ascii="Arial" w:hAnsi="Arial" w:cs="Arial"/>
                <w:b/>
                <w:szCs w:val="28"/>
              </w:rPr>
            </w:pPr>
          </w:p>
        </w:tc>
        <w:tc>
          <w:tcPr>
            <w:tcW w:w="1985" w:type="dxa"/>
            <w:vMerge/>
            <w:tcBorders>
              <w:left w:val="single" w:sz="4" w:space="0" w:color="auto"/>
              <w:bottom w:val="single" w:sz="4" w:space="0" w:color="auto"/>
              <w:right w:val="single" w:sz="4" w:space="0" w:color="auto"/>
            </w:tcBorders>
            <w:shd w:val="clear" w:color="auto" w:fill="auto"/>
          </w:tcPr>
          <w:p w14:paraId="59BD0069" w14:textId="77777777" w:rsidR="00B43C54" w:rsidRPr="00737598" w:rsidRDefault="00B43C54" w:rsidP="008C49F8">
            <w:pPr>
              <w:jc w:val="right"/>
              <w:rPr>
                <w:rFonts w:ascii="Arial" w:hAnsi="Arial" w:cs="Arial"/>
                <w:b/>
                <w:szCs w:val="28"/>
              </w:rPr>
            </w:pPr>
          </w:p>
        </w:tc>
      </w:tr>
      <w:tr w:rsidR="00B43C54" w:rsidRPr="00F52CEA" w14:paraId="40B48B35" w14:textId="77777777" w:rsidTr="008C49F8">
        <w:trPr>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316B1278" w14:textId="77777777" w:rsidR="00B43C54" w:rsidRPr="00737598" w:rsidRDefault="00B43C54" w:rsidP="008C49F8">
            <w:pPr>
              <w:rPr>
                <w:rFonts w:ascii="Arial" w:hAnsi="Arial" w:cs="Arial"/>
                <w:b/>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3B05A8F" w14:textId="77777777" w:rsidR="00B43C54" w:rsidRPr="00737598" w:rsidRDefault="00B43C54" w:rsidP="008C49F8">
            <w:pPr>
              <w:jc w:val="right"/>
              <w:rPr>
                <w:rFonts w:ascii="Arial" w:hAnsi="Arial" w:cs="Arial"/>
                <w:b/>
                <w:szCs w:val="28"/>
              </w:rPr>
            </w:pPr>
            <w:r w:rsidRPr="00737598">
              <w:rPr>
                <w:rFonts w:ascii="Arial" w:hAnsi="Arial" w:cs="Arial"/>
                <w:b/>
                <w:szCs w:val="28"/>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F8F1F67" w14:textId="77777777" w:rsidR="00B43C54" w:rsidRPr="00737598" w:rsidRDefault="00B43C54" w:rsidP="008C49F8">
            <w:pPr>
              <w:jc w:val="right"/>
              <w:rPr>
                <w:rFonts w:ascii="Arial" w:hAnsi="Arial" w:cs="Arial"/>
                <w:b/>
                <w:szCs w:val="28"/>
              </w:rPr>
            </w:pPr>
            <w:r w:rsidRPr="00737598">
              <w:rPr>
                <w:rFonts w:ascii="Arial" w:hAnsi="Arial" w:cs="Arial"/>
                <w:b/>
                <w:szCs w:val="28"/>
              </w:rPr>
              <w:t>%</w:t>
            </w:r>
          </w:p>
        </w:tc>
      </w:tr>
      <w:tr w:rsidR="00052EFD" w:rsidRPr="00F52CEA" w14:paraId="149D976B" w14:textId="77777777" w:rsidTr="00AE4806">
        <w:trPr>
          <w:trHeight w:val="80"/>
          <w:jc w:val="center"/>
        </w:trPr>
        <w:tc>
          <w:tcPr>
            <w:tcW w:w="3827" w:type="dxa"/>
            <w:tcBorders>
              <w:left w:val="single" w:sz="4" w:space="0" w:color="auto"/>
              <w:bottom w:val="single" w:sz="4" w:space="0" w:color="auto"/>
              <w:right w:val="single" w:sz="4" w:space="0" w:color="auto"/>
            </w:tcBorders>
            <w:shd w:val="clear" w:color="auto" w:fill="auto"/>
          </w:tcPr>
          <w:p w14:paraId="694D5375" w14:textId="77777777" w:rsidR="00052EFD" w:rsidRPr="00737598" w:rsidRDefault="00052EFD" w:rsidP="00052EFD">
            <w:pPr>
              <w:rPr>
                <w:rFonts w:ascii="Arial" w:hAnsi="Arial" w:cs="Arial"/>
                <w:bCs/>
                <w:szCs w:val="28"/>
              </w:rPr>
            </w:pPr>
            <w:r w:rsidRPr="00737598">
              <w:rPr>
                <w:rFonts w:ascii="Arial" w:hAnsi="Arial" w:cs="Arial"/>
                <w:bCs/>
                <w:szCs w:val="28"/>
              </w:rPr>
              <w:t>Pooled property funds</w:t>
            </w:r>
          </w:p>
        </w:tc>
        <w:tc>
          <w:tcPr>
            <w:tcW w:w="1984" w:type="dxa"/>
            <w:tcBorders>
              <w:left w:val="single" w:sz="4" w:space="0" w:color="auto"/>
              <w:bottom w:val="single" w:sz="4" w:space="0" w:color="auto"/>
              <w:right w:val="single" w:sz="4" w:space="0" w:color="auto"/>
            </w:tcBorders>
            <w:shd w:val="clear" w:color="auto" w:fill="auto"/>
            <w:vAlign w:val="center"/>
          </w:tcPr>
          <w:p w14:paraId="56879C39" w14:textId="45A5096D" w:rsidR="00052EFD" w:rsidRPr="00737598" w:rsidRDefault="00052EFD" w:rsidP="00052EFD">
            <w:pPr>
              <w:jc w:val="right"/>
              <w:rPr>
                <w:rFonts w:ascii="Arial" w:hAnsi="Arial" w:cs="Arial"/>
                <w:bCs/>
                <w:szCs w:val="28"/>
              </w:rPr>
            </w:pPr>
            <w:r w:rsidRPr="00737598">
              <w:rPr>
                <w:rFonts w:ascii="Arial" w:hAnsi="Arial" w:cs="Arial"/>
                <w:szCs w:val="28"/>
              </w:rPr>
              <w:t>3.94</w:t>
            </w:r>
          </w:p>
        </w:tc>
        <w:tc>
          <w:tcPr>
            <w:tcW w:w="1985" w:type="dxa"/>
            <w:tcBorders>
              <w:left w:val="single" w:sz="4" w:space="0" w:color="auto"/>
              <w:bottom w:val="single" w:sz="4" w:space="0" w:color="auto"/>
              <w:right w:val="single" w:sz="4" w:space="0" w:color="auto"/>
            </w:tcBorders>
            <w:shd w:val="clear" w:color="auto" w:fill="auto"/>
            <w:vAlign w:val="center"/>
          </w:tcPr>
          <w:p w14:paraId="2B81260D" w14:textId="676768D2" w:rsidR="00052EFD" w:rsidRPr="00737598" w:rsidRDefault="00052EFD" w:rsidP="00052EFD">
            <w:pPr>
              <w:jc w:val="right"/>
              <w:rPr>
                <w:rFonts w:ascii="Arial" w:hAnsi="Arial" w:cs="Arial"/>
                <w:bCs/>
                <w:szCs w:val="28"/>
              </w:rPr>
            </w:pPr>
            <w:r w:rsidRPr="00737598">
              <w:rPr>
                <w:rFonts w:ascii="Arial" w:hAnsi="Arial" w:cs="Arial"/>
                <w:szCs w:val="28"/>
              </w:rPr>
              <w:t>26.68</w:t>
            </w:r>
          </w:p>
        </w:tc>
      </w:tr>
      <w:tr w:rsidR="00052EFD" w:rsidRPr="00F52CEA" w14:paraId="61CEF8A2" w14:textId="77777777" w:rsidTr="00AE4806">
        <w:trPr>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7CC69D6A" w14:textId="1B2F9206" w:rsidR="00052EFD" w:rsidRPr="00737598" w:rsidRDefault="00052EFD" w:rsidP="00052EFD">
            <w:pPr>
              <w:rPr>
                <w:rFonts w:ascii="Arial" w:hAnsi="Arial" w:cs="Arial"/>
                <w:bCs/>
                <w:szCs w:val="28"/>
              </w:rPr>
            </w:pPr>
            <w:r w:rsidRPr="00737598">
              <w:rPr>
                <w:rFonts w:ascii="Arial" w:hAnsi="Arial" w:cs="Arial"/>
                <w:bCs/>
                <w:szCs w:val="28"/>
              </w:rPr>
              <w:t>Pooled equity funds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91D887" w14:textId="052D3269" w:rsidR="00052EFD" w:rsidRPr="00737598" w:rsidRDefault="00052EFD" w:rsidP="00052EFD">
            <w:pPr>
              <w:jc w:val="right"/>
              <w:rPr>
                <w:rFonts w:ascii="Arial" w:hAnsi="Arial" w:cs="Arial"/>
                <w:bCs/>
                <w:szCs w:val="28"/>
              </w:rPr>
            </w:pPr>
            <w:r w:rsidRPr="00737598">
              <w:rPr>
                <w:rFonts w:ascii="Arial" w:hAnsi="Arial" w:cs="Arial"/>
                <w:szCs w:val="28"/>
              </w:rPr>
              <w:t>4.59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2C97F8" w14:textId="31F38BC2" w:rsidR="00052EFD" w:rsidRPr="00737598" w:rsidRDefault="00052EFD" w:rsidP="00052EFD">
            <w:pPr>
              <w:jc w:val="right"/>
              <w:rPr>
                <w:rFonts w:ascii="Arial" w:hAnsi="Arial" w:cs="Arial"/>
                <w:bCs/>
                <w:szCs w:val="28"/>
              </w:rPr>
            </w:pPr>
            <w:r w:rsidRPr="00737598">
              <w:rPr>
                <w:rFonts w:ascii="Arial" w:hAnsi="Arial" w:cs="Arial"/>
                <w:szCs w:val="28"/>
              </w:rPr>
              <w:t>40.16</w:t>
            </w:r>
          </w:p>
        </w:tc>
      </w:tr>
      <w:tr w:rsidR="00052EFD" w:rsidRPr="00D65F44" w14:paraId="5B63A8CA" w14:textId="77777777" w:rsidTr="00AE4806">
        <w:trPr>
          <w:trHeight w:val="80"/>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5C253C49" w14:textId="0B01BDBC" w:rsidR="00052EFD" w:rsidRPr="00737598" w:rsidRDefault="00052EFD" w:rsidP="00052EFD">
            <w:pPr>
              <w:rPr>
                <w:rFonts w:ascii="Arial" w:hAnsi="Arial" w:cs="Arial"/>
                <w:bCs/>
                <w:szCs w:val="28"/>
              </w:rPr>
            </w:pPr>
            <w:r w:rsidRPr="00737598">
              <w:rPr>
                <w:rFonts w:ascii="Arial" w:hAnsi="Arial" w:cs="Arial"/>
                <w:bCs/>
                <w:szCs w:val="28"/>
              </w:rPr>
              <w:t>Pooled multi-asset funds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B86A9C4" w14:textId="6745725B" w:rsidR="00052EFD" w:rsidRPr="00737598" w:rsidRDefault="00052EFD" w:rsidP="00052EFD">
            <w:pPr>
              <w:jc w:val="right"/>
              <w:rPr>
                <w:rFonts w:ascii="Arial" w:hAnsi="Arial" w:cs="Arial"/>
                <w:bCs/>
                <w:szCs w:val="28"/>
              </w:rPr>
            </w:pPr>
            <w:r w:rsidRPr="00737598">
              <w:rPr>
                <w:rFonts w:ascii="Arial" w:hAnsi="Arial" w:cs="Arial"/>
                <w:szCs w:val="28"/>
              </w:rPr>
              <w:t>4.25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82B979A" w14:textId="6E4107F0" w:rsidR="00052EFD" w:rsidRPr="00737598" w:rsidRDefault="00052EFD" w:rsidP="00052EFD">
            <w:pPr>
              <w:jc w:val="right"/>
              <w:rPr>
                <w:rFonts w:ascii="Arial" w:hAnsi="Arial" w:cs="Arial"/>
                <w:bCs/>
                <w:szCs w:val="28"/>
              </w:rPr>
            </w:pPr>
            <w:r w:rsidRPr="00737598">
              <w:rPr>
                <w:rFonts w:ascii="Arial" w:hAnsi="Arial" w:cs="Arial"/>
                <w:szCs w:val="28"/>
              </w:rPr>
              <w:t>6.87</w:t>
            </w:r>
          </w:p>
        </w:tc>
      </w:tr>
      <w:tr w:rsidR="00052EFD" w:rsidRPr="00101F20" w14:paraId="29ECDF3C" w14:textId="77777777" w:rsidTr="00AE4806">
        <w:trPr>
          <w:trHeight w:val="80"/>
          <w:jc w:val="center"/>
        </w:trPr>
        <w:tc>
          <w:tcPr>
            <w:tcW w:w="3827" w:type="dxa"/>
            <w:tcBorders>
              <w:top w:val="single" w:sz="4" w:space="0" w:color="auto"/>
              <w:left w:val="single" w:sz="4" w:space="0" w:color="auto"/>
              <w:bottom w:val="single" w:sz="4" w:space="0" w:color="auto"/>
              <w:right w:val="single" w:sz="4" w:space="0" w:color="auto"/>
            </w:tcBorders>
            <w:shd w:val="clear" w:color="auto" w:fill="auto"/>
          </w:tcPr>
          <w:p w14:paraId="194F2FEB" w14:textId="77777777" w:rsidR="00052EFD" w:rsidRPr="00737598" w:rsidRDefault="00052EFD" w:rsidP="00052EFD">
            <w:pPr>
              <w:rPr>
                <w:rFonts w:ascii="Arial" w:hAnsi="Arial" w:cs="Arial"/>
                <w:b/>
                <w:szCs w:val="28"/>
              </w:rPr>
            </w:pPr>
            <w:r w:rsidRPr="00737598">
              <w:rPr>
                <w:rFonts w:ascii="Arial" w:hAnsi="Arial" w:cs="Arial"/>
                <w:b/>
                <w:szCs w:val="28"/>
              </w:rPr>
              <w:t>Total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EDF861" w14:textId="4FDA7E31" w:rsidR="00052EFD" w:rsidRPr="00737598" w:rsidRDefault="00052EFD" w:rsidP="00052EFD">
            <w:pPr>
              <w:jc w:val="right"/>
              <w:rPr>
                <w:rFonts w:ascii="Arial" w:hAnsi="Arial" w:cs="Arial"/>
                <w:b/>
                <w:szCs w:val="28"/>
              </w:rPr>
            </w:pPr>
            <w:r w:rsidRPr="00737598">
              <w:rPr>
                <w:rFonts w:ascii="Arial" w:hAnsi="Arial" w:cs="Arial"/>
                <w:b/>
                <w:bCs/>
                <w:szCs w:val="28"/>
              </w:rPr>
              <w:t>4.19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5E68F1" w14:textId="0C280F52" w:rsidR="00052EFD" w:rsidRPr="00737598" w:rsidRDefault="00052EFD" w:rsidP="00052EFD">
            <w:pPr>
              <w:jc w:val="right"/>
              <w:rPr>
                <w:rFonts w:ascii="Arial" w:hAnsi="Arial" w:cs="Arial"/>
                <w:b/>
                <w:szCs w:val="28"/>
              </w:rPr>
            </w:pPr>
            <w:r w:rsidRPr="00737598">
              <w:rPr>
                <w:rFonts w:ascii="Arial" w:hAnsi="Arial" w:cs="Arial"/>
                <w:b/>
                <w:bCs/>
                <w:szCs w:val="28"/>
              </w:rPr>
              <w:t>24.82</w:t>
            </w:r>
          </w:p>
        </w:tc>
      </w:tr>
    </w:tbl>
    <w:p w14:paraId="621E8C77" w14:textId="205AD933" w:rsidR="002B21D7" w:rsidRDefault="002B21D7" w:rsidP="002B21D7">
      <w:pPr>
        <w:pStyle w:val="ListParagraph"/>
        <w:spacing w:after="240"/>
        <w:rPr>
          <w:rFonts w:ascii="Arial" w:hAnsi="Arial" w:cs="Arial"/>
        </w:rPr>
      </w:pPr>
    </w:p>
    <w:p w14:paraId="70132A98" w14:textId="135CA228" w:rsidR="00D35245" w:rsidRDefault="00C66C9F" w:rsidP="004928CD">
      <w:pPr>
        <w:pStyle w:val="ListParagraph"/>
        <w:numPr>
          <w:ilvl w:val="1"/>
          <w:numId w:val="2"/>
        </w:numPr>
        <w:spacing w:after="240"/>
        <w:ind w:left="720" w:hanging="720"/>
        <w:rPr>
          <w:rFonts w:ascii="Arial" w:hAnsi="Arial" w:cs="Arial"/>
        </w:rPr>
      </w:pPr>
      <w:r w:rsidRPr="00C66C9F">
        <w:rPr>
          <w:rFonts w:ascii="Arial" w:hAnsi="Arial" w:cs="Arial"/>
        </w:rPr>
        <w:t xml:space="preserve">Because these funds have no defined maturity date, but are available for withdrawal after a notice period, their performance and continued suitability in meeting the </w:t>
      </w:r>
      <w:r>
        <w:rPr>
          <w:rFonts w:ascii="Arial" w:hAnsi="Arial" w:cs="Arial"/>
        </w:rPr>
        <w:t>PCC</w:t>
      </w:r>
      <w:r w:rsidRPr="00C66C9F">
        <w:rPr>
          <w:rFonts w:ascii="Arial" w:hAnsi="Arial" w:cs="Arial"/>
        </w:rPr>
        <w:t xml:space="preserve">’s medium-to long-term investment objectives are regularly reviewed. </w:t>
      </w:r>
    </w:p>
    <w:p w14:paraId="0A6BC920" w14:textId="43DE6F15" w:rsidR="00FB6920" w:rsidRPr="00657B22" w:rsidRDefault="00922B66" w:rsidP="007D4BF7">
      <w:pPr>
        <w:pStyle w:val="ListParagraph"/>
        <w:numPr>
          <w:ilvl w:val="1"/>
          <w:numId w:val="2"/>
        </w:numPr>
        <w:spacing w:after="240"/>
        <w:ind w:left="720" w:hanging="720"/>
        <w:rPr>
          <w:rFonts w:ascii="Arial" w:hAnsi="Arial" w:cs="Arial"/>
        </w:rPr>
      </w:pPr>
      <w:r w:rsidRPr="001A4478">
        <w:rPr>
          <w:rFonts w:ascii="Arial" w:hAnsi="Arial" w:cs="Arial"/>
        </w:rPr>
        <w:t>In April 2023 the Department for Levelling Up, Housing and Communities published the full outcome of the consultation on the extension of the statutory override on accounting for gains and losses on pooled investment funds</w:t>
      </w:r>
      <w:r w:rsidR="009C0089">
        <w:rPr>
          <w:rFonts w:ascii="Arial" w:hAnsi="Arial" w:cs="Arial"/>
        </w:rPr>
        <w:t xml:space="preserve"> through the in-year revenue </w:t>
      </w:r>
      <w:r w:rsidR="00D91A1D">
        <w:rPr>
          <w:rFonts w:ascii="Arial" w:hAnsi="Arial" w:cs="Arial"/>
        </w:rPr>
        <w:t>account</w:t>
      </w:r>
      <w:r w:rsidRPr="001A4478">
        <w:rPr>
          <w:rFonts w:ascii="Arial" w:hAnsi="Arial" w:cs="Arial"/>
        </w:rPr>
        <w:t xml:space="preserve">. The override has been extended for 2 years until 31 March </w:t>
      </w:r>
      <w:proofErr w:type="gramStart"/>
      <w:r w:rsidRPr="001A4478">
        <w:rPr>
          <w:rFonts w:ascii="Arial" w:hAnsi="Arial" w:cs="Arial"/>
        </w:rPr>
        <w:t>2025</w:t>
      </w:r>
      <w:proofErr w:type="gramEnd"/>
      <w:r w:rsidRPr="001A4478">
        <w:rPr>
          <w:rFonts w:ascii="Arial" w:hAnsi="Arial" w:cs="Arial"/>
        </w:rPr>
        <w:t xml:space="preserve"> but no other changes have been made; whether the override will be extended beyond the new date is unknown but commentary to the consultation outcome suggests not.  The </w:t>
      </w:r>
      <w:r w:rsidR="006C287A">
        <w:rPr>
          <w:rFonts w:ascii="Arial" w:hAnsi="Arial" w:cs="Arial"/>
        </w:rPr>
        <w:t>PCC</w:t>
      </w:r>
      <w:r w:rsidRPr="001A4478">
        <w:rPr>
          <w:rFonts w:ascii="Arial" w:hAnsi="Arial" w:cs="Arial"/>
        </w:rPr>
        <w:t xml:space="preserve"> will discuss with Arlingclose the implications for the investment strategy and what action may need to be taken</w:t>
      </w:r>
      <w:r w:rsidR="00FB6920" w:rsidRPr="00657B22">
        <w:rPr>
          <w:rFonts w:ascii="Arial" w:hAnsi="Arial" w:cs="Arial"/>
        </w:rPr>
        <w:t>.</w:t>
      </w:r>
    </w:p>
    <w:p w14:paraId="42FA08FF" w14:textId="752908C5" w:rsidR="00823953" w:rsidRPr="006514BD" w:rsidRDefault="00823953" w:rsidP="003C3808">
      <w:pPr>
        <w:keepNext/>
        <w:numPr>
          <w:ilvl w:val="0"/>
          <w:numId w:val="2"/>
        </w:numPr>
        <w:tabs>
          <w:tab w:val="num" w:pos="720"/>
        </w:tabs>
        <w:spacing w:after="240"/>
        <w:ind w:left="431" w:hanging="431"/>
        <w:outlineLvl w:val="0"/>
        <w:rPr>
          <w:rFonts w:ascii="Arial" w:hAnsi="Arial" w:cs="Arial"/>
          <w:b/>
        </w:rPr>
      </w:pPr>
      <w:r w:rsidRPr="006514BD">
        <w:rPr>
          <w:rFonts w:ascii="Arial" w:hAnsi="Arial" w:cs="Arial"/>
          <w:b/>
        </w:rPr>
        <w:t xml:space="preserve">Non-Treasury </w:t>
      </w:r>
      <w:r w:rsidR="007A4625" w:rsidRPr="006514BD">
        <w:rPr>
          <w:rFonts w:ascii="Arial" w:hAnsi="Arial" w:cs="Arial"/>
          <w:b/>
        </w:rPr>
        <w:t>Investments</w:t>
      </w:r>
    </w:p>
    <w:p w14:paraId="0C013B96" w14:textId="74220522" w:rsidR="006514BD" w:rsidRP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The definition of investments in CIPFA’s revised Treasury Management Code now covers all the financial assets of the PCC as well as other non-financial assets which the PCC holds primarily for financial return. Investments that do not meet the definition of treasury management investments (</w:t>
      </w:r>
      <w:proofErr w:type="gramStart"/>
      <w:r w:rsidRPr="006514BD">
        <w:rPr>
          <w:rFonts w:ascii="Arial" w:hAnsi="Arial" w:cs="Arial"/>
        </w:rPr>
        <w:t>i.e.</w:t>
      </w:r>
      <w:proofErr w:type="gramEnd"/>
      <w:r w:rsidRPr="006514BD">
        <w:rPr>
          <w:rFonts w:ascii="Arial" w:hAnsi="Arial" w:cs="Arial"/>
        </w:rPr>
        <w:t xml:space="preserve"> management of surplus cash) are categorised as either for service purposes (made explicitly to further service objectives) and or for commercial purposes (made primarily for financial return).</w:t>
      </w:r>
    </w:p>
    <w:p w14:paraId="26579C38" w14:textId="27AAF8EF" w:rsid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Investment Guidance issued by DLUHC also broadens the definition of investments to include all such assets held partially or wholly for financial return. </w:t>
      </w:r>
      <w:r w:rsidR="006A1909" w:rsidRPr="006A1909">
        <w:rPr>
          <w:rFonts w:ascii="Arial" w:hAnsi="Arial" w:cs="Arial"/>
        </w:rPr>
        <w:t xml:space="preserve">The Investment Guidance applies to all authorities defined as local authorities under the Local Government Act 2003, section 23, which includes </w:t>
      </w:r>
      <w:r w:rsidR="00BD62E4">
        <w:rPr>
          <w:rFonts w:ascii="Arial" w:hAnsi="Arial" w:cs="Arial"/>
        </w:rPr>
        <w:t>P</w:t>
      </w:r>
      <w:r w:rsidR="006A1909" w:rsidRPr="006A1909">
        <w:rPr>
          <w:rFonts w:ascii="Arial" w:hAnsi="Arial" w:cs="Arial"/>
        </w:rPr>
        <w:t xml:space="preserve">olice and </w:t>
      </w:r>
      <w:r w:rsidR="00BD62E4">
        <w:rPr>
          <w:rFonts w:ascii="Arial" w:hAnsi="Arial" w:cs="Arial"/>
        </w:rPr>
        <w:t>C</w:t>
      </w:r>
      <w:r w:rsidR="006A1909" w:rsidRPr="006A1909">
        <w:rPr>
          <w:rFonts w:ascii="Arial" w:hAnsi="Arial" w:cs="Arial"/>
        </w:rPr>
        <w:t>rime commissioners.</w:t>
      </w:r>
    </w:p>
    <w:p w14:paraId="7BE43422" w14:textId="37A620C3" w:rsidR="00A40E5A" w:rsidRDefault="00A40E5A" w:rsidP="006514BD">
      <w:pPr>
        <w:pStyle w:val="ListParagraph"/>
        <w:numPr>
          <w:ilvl w:val="1"/>
          <w:numId w:val="2"/>
        </w:numPr>
        <w:spacing w:after="240"/>
        <w:ind w:left="720" w:hanging="720"/>
        <w:rPr>
          <w:rFonts w:ascii="Arial" w:hAnsi="Arial" w:cs="Arial"/>
        </w:rPr>
      </w:pPr>
      <w:r>
        <w:rPr>
          <w:rFonts w:ascii="Arial" w:hAnsi="Arial" w:cs="Arial"/>
        </w:rPr>
        <w:t xml:space="preserve">This </w:t>
      </w:r>
      <w:r w:rsidR="001A4214" w:rsidRPr="00667FB0">
        <w:rPr>
          <w:rFonts w:ascii="Arial" w:hAnsi="Arial" w:cs="Arial"/>
        </w:rPr>
        <w:t>could include the direct purchase of land or property and any such loans and investments will be subject to the PCC’s normal approval processes for revenue and capital expenditure and need not comply with the treasury management strategy. The PCC does not have any existing non-treasury investments.</w:t>
      </w:r>
    </w:p>
    <w:p w14:paraId="346FD295" w14:textId="1FEAB1BB" w:rsidR="0031250C" w:rsidRPr="00667FB0" w:rsidRDefault="0031250C" w:rsidP="003C3808">
      <w:pPr>
        <w:keepNext/>
        <w:numPr>
          <w:ilvl w:val="0"/>
          <w:numId w:val="2"/>
        </w:numPr>
        <w:tabs>
          <w:tab w:val="num" w:pos="720"/>
        </w:tabs>
        <w:spacing w:after="240"/>
        <w:ind w:left="431" w:hanging="431"/>
        <w:outlineLvl w:val="0"/>
        <w:rPr>
          <w:rFonts w:ascii="Arial" w:hAnsi="Arial" w:cs="Arial"/>
          <w:b/>
        </w:rPr>
      </w:pPr>
      <w:r w:rsidRPr="00667FB0">
        <w:rPr>
          <w:rFonts w:ascii="Arial" w:hAnsi="Arial" w:cs="Arial"/>
          <w:b/>
        </w:rPr>
        <w:lastRenderedPageBreak/>
        <w:t xml:space="preserve">Compliance </w:t>
      </w:r>
      <w:r w:rsidR="00067763" w:rsidRPr="00667FB0">
        <w:rPr>
          <w:rFonts w:ascii="Arial" w:hAnsi="Arial" w:cs="Arial"/>
          <w:b/>
        </w:rPr>
        <w:t>Report</w:t>
      </w:r>
    </w:p>
    <w:p w14:paraId="2430EEAD" w14:textId="3BBA1546" w:rsidR="007C45E1" w:rsidRDefault="007407F1" w:rsidP="003C3808">
      <w:pPr>
        <w:pStyle w:val="ListParagraph"/>
        <w:numPr>
          <w:ilvl w:val="1"/>
          <w:numId w:val="2"/>
        </w:numPr>
        <w:spacing w:after="240"/>
        <w:ind w:left="720" w:hanging="720"/>
        <w:rPr>
          <w:rFonts w:ascii="Arial" w:hAnsi="Arial" w:cs="Arial"/>
        </w:rPr>
      </w:pPr>
      <w:r w:rsidRPr="00667FB0">
        <w:rPr>
          <w:rFonts w:ascii="Arial" w:hAnsi="Arial" w:cs="Arial"/>
        </w:rPr>
        <w:t xml:space="preserve">The </w:t>
      </w:r>
      <w:r w:rsidR="00547880" w:rsidRPr="00667FB0">
        <w:rPr>
          <w:rFonts w:ascii="Arial" w:hAnsi="Arial" w:cs="Arial"/>
        </w:rPr>
        <w:t>PCC</w:t>
      </w:r>
      <w:r w:rsidR="004F6834" w:rsidRPr="00667FB0">
        <w:rPr>
          <w:rFonts w:ascii="Arial" w:hAnsi="Arial" w:cs="Arial"/>
        </w:rPr>
        <w:t xml:space="preserve"> </w:t>
      </w:r>
      <w:r w:rsidR="008F010A">
        <w:rPr>
          <w:rFonts w:ascii="Arial" w:hAnsi="Arial" w:cs="Arial"/>
        </w:rPr>
        <w:t xml:space="preserve">Chief Finance Officer </w:t>
      </w:r>
      <w:r w:rsidR="00340D35">
        <w:rPr>
          <w:rFonts w:ascii="Arial" w:hAnsi="Arial" w:cs="Arial"/>
        </w:rPr>
        <w:t>(</w:t>
      </w:r>
      <w:r w:rsidR="00E64D09">
        <w:rPr>
          <w:rFonts w:ascii="Arial" w:hAnsi="Arial" w:cs="Arial"/>
        </w:rPr>
        <w:t>CFO</w:t>
      </w:r>
      <w:r w:rsidR="00340D35">
        <w:rPr>
          <w:rFonts w:ascii="Arial" w:hAnsi="Arial" w:cs="Arial"/>
        </w:rPr>
        <w:t>)</w:t>
      </w:r>
      <w:r w:rsidR="00E64D09">
        <w:rPr>
          <w:rFonts w:ascii="Arial" w:hAnsi="Arial" w:cs="Arial"/>
        </w:rPr>
        <w:t xml:space="preserve"> </w:t>
      </w:r>
      <w:r w:rsidR="00667B8B" w:rsidRPr="00667B8B">
        <w:rPr>
          <w:rFonts w:ascii="Arial" w:hAnsi="Arial" w:cs="Arial"/>
        </w:rPr>
        <w:t>reports that all treasury management activities undertaken during the quarter complied fully with the principles in the Treasury Management Code and the</w:t>
      </w:r>
      <w:r w:rsidR="00667B8B">
        <w:rPr>
          <w:rFonts w:ascii="Arial" w:hAnsi="Arial" w:cs="Arial"/>
        </w:rPr>
        <w:t xml:space="preserve"> PCC</w:t>
      </w:r>
      <w:r w:rsidR="00667B8B" w:rsidRPr="00667B8B">
        <w:rPr>
          <w:rFonts w:ascii="Arial" w:hAnsi="Arial" w:cs="Arial"/>
        </w:rPr>
        <w:t xml:space="preserve">’s approved Treasury Management Strategy. Compliance with specific investment limits is demonstrated in </w:t>
      </w:r>
      <w:r w:rsidR="00351A7C">
        <w:rPr>
          <w:rFonts w:ascii="Arial" w:hAnsi="Arial" w:cs="Arial"/>
        </w:rPr>
        <w:t>T</w:t>
      </w:r>
      <w:r w:rsidR="00667B8B" w:rsidRPr="00667B8B">
        <w:rPr>
          <w:rFonts w:ascii="Arial" w:hAnsi="Arial" w:cs="Arial"/>
        </w:rPr>
        <w:t xml:space="preserve">able </w:t>
      </w:r>
      <w:r w:rsidR="00AA1C90">
        <w:rPr>
          <w:rFonts w:ascii="Arial" w:hAnsi="Arial" w:cs="Arial"/>
        </w:rPr>
        <w:t>8</w:t>
      </w:r>
      <w:r w:rsidR="00067763" w:rsidRPr="00667FB0">
        <w:rPr>
          <w:rFonts w:ascii="Arial" w:hAnsi="Arial" w:cs="Arial"/>
        </w:rPr>
        <w:t>.</w:t>
      </w:r>
    </w:p>
    <w:tbl>
      <w:tblPr>
        <w:tblStyle w:val="TableGrid"/>
        <w:tblW w:w="0" w:type="auto"/>
        <w:jc w:val="center"/>
        <w:tblLook w:val="04A0" w:firstRow="1" w:lastRow="0" w:firstColumn="1" w:lastColumn="0" w:noHBand="0" w:noVBand="1"/>
      </w:tblPr>
      <w:tblGrid>
        <w:gridCol w:w="3280"/>
        <w:gridCol w:w="1460"/>
        <w:gridCol w:w="1483"/>
        <w:gridCol w:w="1310"/>
      </w:tblGrid>
      <w:tr w:rsidR="00C81229" w:rsidRPr="004E491C" w14:paraId="09BD921C" w14:textId="77777777" w:rsidTr="00C81229">
        <w:trPr>
          <w:trHeight w:val="855"/>
          <w:jc w:val="center"/>
        </w:trPr>
        <w:tc>
          <w:tcPr>
            <w:tcW w:w="3280" w:type="dxa"/>
            <w:hideMark/>
          </w:tcPr>
          <w:p w14:paraId="27E70EB1" w14:textId="58A424FE" w:rsidR="00C81229" w:rsidRPr="00351A7C" w:rsidRDefault="00C81229" w:rsidP="00351A7C">
            <w:pPr>
              <w:spacing w:after="240"/>
              <w:jc w:val="center"/>
              <w:rPr>
                <w:rFonts w:ascii="Arial" w:hAnsi="Arial" w:cs="Arial"/>
                <w:b/>
                <w:bCs/>
              </w:rPr>
            </w:pPr>
            <w:r w:rsidRPr="00351A7C">
              <w:rPr>
                <w:rFonts w:ascii="Arial" w:hAnsi="Arial" w:cs="Arial"/>
                <w:b/>
                <w:bCs/>
              </w:rPr>
              <w:t xml:space="preserve">Table </w:t>
            </w:r>
            <w:r>
              <w:rPr>
                <w:rFonts w:ascii="Arial" w:hAnsi="Arial" w:cs="Arial"/>
                <w:b/>
                <w:bCs/>
              </w:rPr>
              <w:t>8</w:t>
            </w:r>
            <w:r w:rsidRPr="00351A7C">
              <w:rPr>
                <w:rFonts w:ascii="Arial" w:hAnsi="Arial" w:cs="Arial"/>
                <w:b/>
                <w:bCs/>
              </w:rPr>
              <w:t>: Investment Limits</w:t>
            </w:r>
          </w:p>
        </w:tc>
        <w:tc>
          <w:tcPr>
            <w:tcW w:w="1460" w:type="dxa"/>
            <w:hideMark/>
          </w:tcPr>
          <w:p w14:paraId="3C368262" w14:textId="57116D58" w:rsidR="00C81229" w:rsidRDefault="00C81229" w:rsidP="00351A7C">
            <w:pPr>
              <w:spacing w:after="240"/>
              <w:jc w:val="center"/>
              <w:rPr>
                <w:rFonts w:ascii="Arial" w:hAnsi="Arial" w:cs="Arial"/>
                <w:b/>
                <w:bCs/>
              </w:rPr>
            </w:pPr>
            <w:r w:rsidRPr="00351A7C">
              <w:rPr>
                <w:rFonts w:ascii="Arial" w:hAnsi="Arial" w:cs="Arial"/>
                <w:b/>
                <w:bCs/>
              </w:rPr>
              <w:t>30/0</w:t>
            </w:r>
            <w:r>
              <w:rPr>
                <w:rFonts w:ascii="Arial" w:hAnsi="Arial" w:cs="Arial"/>
                <w:b/>
                <w:bCs/>
              </w:rPr>
              <w:t>9</w:t>
            </w:r>
            <w:r w:rsidRPr="00351A7C">
              <w:rPr>
                <w:rFonts w:ascii="Arial" w:hAnsi="Arial" w:cs="Arial"/>
                <w:b/>
                <w:bCs/>
              </w:rPr>
              <w:t>/23 Actual</w:t>
            </w:r>
          </w:p>
          <w:p w14:paraId="289A4035" w14:textId="41E9AA49" w:rsidR="00C81229" w:rsidRPr="00351A7C" w:rsidRDefault="00C81229" w:rsidP="00351A7C">
            <w:pPr>
              <w:spacing w:after="240"/>
              <w:jc w:val="center"/>
              <w:rPr>
                <w:rFonts w:ascii="Arial" w:hAnsi="Arial" w:cs="Arial"/>
                <w:b/>
                <w:bCs/>
              </w:rPr>
            </w:pPr>
            <w:r w:rsidRPr="00351A7C">
              <w:rPr>
                <w:rFonts w:ascii="Arial" w:hAnsi="Arial" w:cs="Arial"/>
                <w:b/>
                <w:bCs/>
              </w:rPr>
              <w:t xml:space="preserve"> £m</w:t>
            </w:r>
          </w:p>
        </w:tc>
        <w:tc>
          <w:tcPr>
            <w:tcW w:w="1483" w:type="dxa"/>
            <w:hideMark/>
          </w:tcPr>
          <w:p w14:paraId="409DE7E0" w14:textId="77777777" w:rsidR="00C81229" w:rsidRPr="00351A7C" w:rsidRDefault="00C81229" w:rsidP="00351A7C">
            <w:pPr>
              <w:spacing w:after="240"/>
              <w:jc w:val="center"/>
              <w:rPr>
                <w:rFonts w:ascii="Arial" w:hAnsi="Arial" w:cs="Arial"/>
                <w:b/>
                <w:bCs/>
              </w:rPr>
            </w:pPr>
            <w:r w:rsidRPr="00351A7C">
              <w:rPr>
                <w:rFonts w:ascii="Arial" w:hAnsi="Arial" w:cs="Arial"/>
                <w:b/>
                <w:bCs/>
              </w:rPr>
              <w:t>2023/24 Authorised Limit</w:t>
            </w:r>
          </w:p>
        </w:tc>
        <w:tc>
          <w:tcPr>
            <w:tcW w:w="1310" w:type="dxa"/>
            <w:hideMark/>
          </w:tcPr>
          <w:p w14:paraId="7235E0E6" w14:textId="77777777" w:rsidR="00C81229" w:rsidRDefault="00C81229" w:rsidP="00351A7C">
            <w:pPr>
              <w:spacing w:after="240"/>
              <w:jc w:val="center"/>
              <w:rPr>
                <w:rFonts w:ascii="Arial" w:hAnsi="Arial" w:cs="Arial"/>
                <w:b/>
                <w:bCs/>
              </w:rPr>
            </w:pPr>
          </w:p>
          <w:p w14:paraId="04D5662D" w14:textId="4E21653E" w:rsidR="00C81229" w:rsidRPr="00351A7C" w:rsidRDefault="00C81229" w:rsidP="00351A7C">
            <w:pPr>
              <w:spacing w:after="240"/>
              <w:jc w:val="center"/>
              <w:rPr>
                <w:rFonts w:ascii="Arial" w:hAnsi="Arial" w:cs="Arial"/>
                <w:b/>
                <w:bCs/>
              </w:rPr>
            </w:pPr>
            <w:r w:rsidRPr="00351A7C">
              <w:rPr>
                <w:rFonts w:ascii="Arial" w:hAnsi="Arial" w:cs="Arial"/>
                <w:b/>
                <w:bCs/>
              </w:rPr>
              <w:t>Complied</w:t>
            </w:r>
          </w:p>
        </w:tc>
      </w:tr>
      <w:tr w:rsidR="00CF42DB" w:rsidRPr="004E491C" w14:paraId="5626BF60" w14:textId="77777777" w:rsidTr="00AC1295">
        <w:trPr>
          <w:trHeight w:val="315"/>
          <w:jc w:val="center"/>
        </w:trPr>
        <w:tc>
          <w:tcPr>
            <w:tcW w:w="3280" w:type="dxa"/>
            <w:hideMark/>
          </w:tcPr>
          <w:p w14:paraId="4EA501D8" w14:textId="49B03C2A" w:rsidR="00CF42DB" w:rsidRPr="004E491C" w:rsidRDefault="00CF42DB" w:rsidP="00CF42DB">
            <w:pPr>
              <w:spacing w:after="240"/>
              <w:jc w:val="center"/>
              <w:rPr>
                <w:rFonts w:ascii="Arial" w:hAnsi="Arial" w:cs="Arial"/>
              </w:rPr>
            </w:pPr>
            <w:r>
              <w:rPr>
                <w:rFonts w:ascii="Arial" w:hAnsi="Arial" w:cs="Arial"/>
              </w:rPr>
              <w:t xml:space="preserve"> </w:t>
            </w:r>
            <w:r w:rsidRPr="004E491C">
              <w:rPr>
                <w:rFonts w:ascii="Arial" w:hAnsi="Arial" w:cs="Arial"/>
              </w:rPr>
              <w:t>The UK Government</w:t>
            </w:r>
          </w:p>
        </w:tc>
        <w:tc>
          <w:tcPr>
            <w:tcW w:w="1460" w:type="dxa"/>
            <w:vAlign w:val="center"/>
          </w:tcPr>
          <w:p w14:paraId="00B94E08" w14:textId="229C8B07" w:rsidR="00CF42DB" w:rsidRPr="004E491C" w:rsidRDefault="00CF42DB" w:rsidP="00CF42DB">
            <w:pPr>
              <w:spacing w:after="240"/>
              <w:jc w:val="center"/>
              <w:rPr>
                <w:rFonts w:ascii="Arial" w:hAnsi="Arial" w:cs="Arial"/>
              </w:rPr>
            </w:pPr>
            <w:r>
              <w:rPr>
                <w:rFonts w:ascii="Arial" w:hAnsi="Arial" w:cs="Arial"/>
                <w:color w:val="000000"/>
                <w:sz w:val="22"/>
                <w:szCs w:val="22"/>
              </w:rPr>
              <w:t>18.5</w:t>
            </w:r>
          </w:p>
        </w:tc>
        <w:tc>
          <w:tcPr>
            <w:tcW w:w="1483" w:type="dxa"/>
            <w:hideMark/>
          </w:tcPr>
          <w:p w14:paraId="5FF336D6" w14:textId="77777777" w:rsidR="00CF42DB" w:rsidRPr="004E491C" w:rsidRDefault="00CF42DB" w:rsidP="00CF42DB">
            <w:pPr>
              <w:spacing w:after="240"/>
              <w:jc w:val="center"/>
              <w:rPr>
                <w:rFonts w:ascii="Arial" w:hAnsi="Arial" w:cs="Arial"/>
              </w:rPr>
            </w:pPr>
            <w:r w:rsidRPr="004E491C">
              <w:rPr>
                <w:rFonts w:ascii="Arial" w:hAnsi="Arial" w:cs="Arial"/>
              </w:rPr>
              <w:t>n/a</w:t>
            </w:r>
          </w:p>
        </w:tc>
        <w:tc>
          <w:tcPr>
            <w:tcW w:w="1310" w:type="dxa"/>
            <w:hideMark/>
          </w:tcPr>
          <w:p w14:paraId="108B96D9"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6194D8A6" w14:textId="77777777" w:rsidTr="00AC1295">
        <w:trPr>
          <w:trHeight w:val="585"/>
          <w:jc w:val="center"/>
        </w:trPr>
        <w:tc>
          <w:tcPr>
            <w:tcW w:w="3280" w:type="dxa"/>
            <w:hideMark/>
          </w:tcPr>
          <w:p w14:paraId="278896B9" w14:textId="77777777" w:rsidR="00CF42DB" w:rsidRPr="004E491C" w:rsidRDefault="00CF42DB" w:rsidP="00CF42DB">
            <w:pPr>
              <w:spacing w:after="240"/>
              <w:jc w:val="center"/>
              <w:rPr>
                <w:rFonts w:ascii="Arial" w:hAnsi="Arial" w:cs="Arial"/>
              </w:rPr>
            </w:pPr>
            <w:r w:rsidRPr="004E491C">
              <w:rPr>
                <w:rFonts w:ascii="Arial" w:hAnsi="Arial" w:cs="Arial"/>
              </w:rPr>
              <w:t>Local authorities &amp; other government entities</w:t>
            </w:r>
          </w:p>
        </w:tc>
        <w:tc>
          <w:tcPr>
            <w:tcW w:w="1460" w:type="dxa"/>
            <w:vAlign w:val="center"/>
          </w:tcPr>
          <w:p w14:paraId="498B6BAD" w14:textId="6A8E44F0" w:rsidR="00CF42DB" w:rsidRPr="004E491C" w:rsidRDefault="00CF42DB" w:rsidP="00CF42DB">
            <w:pPr>
              <w:spacing w:after="240"/>
              <w:jc w:val="center"/>
              <w:rPr>
                <w:rFonts w:ascii="Arial" w:hAnsi="Arial" w:cs="Arial"/>
              </w:rPr>
            </w:pPr>
            <w:r>
              <w:rPr>
                <w:rFonts w:ascii="Arial" w:hAnsi="Arial" w:cs="Arial"/>
                <w:color w:val="000000"/>
                <w:sz w:val="22"/>
                <w:szCs w:val="22"/>
              </w:rPr>
              <w:t>45.5</w:t>
            </w:r>
          </w:p>
        </w:tc>
        <w:tc>
          <w:tcPr>
            <w:tcW w:w="1483" w:type="dxa"/>
            <w:hideMark/>
          </w:tcPr>
          <w:p w14:paraId="04AEB9D9" w14:textId="77777777" w:rsidR="00CF42DB" w:rsidRPr="004E491C" w:rsidRDefault="00CF42DB" w:rsidP="00CF42DB">
            <w:pPr>
              <w:spacing w:after="240"/>
              <w:jc w:val="center"/>
              <w:rPr>
                <w:rFonts w:ascii="Arial" w:hAnsi="Arial" w:cs="Arial"/>
              </w:rPr>
            </w:pPr>
            <w:r w:rsidRPr="004E491C">
              <w:rPr>
                <w:rFonts w:ascii="Arial" w:hAnsi="Arial" w:cs="Arial"/>
              </w:rPr>
              <w:t>Unlimited</w:t>
            </w:r>
          </w:p>
        </w:tc>
        <w:tc>
          <w:tcPr>
            <w:tcW w:w="1310" w:type="dxa"/>
            <w:hideMark/>
          </w:tcPr>
          <w:p w14:paraId="3E1C5FD2"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3F7AEFBA" w14:textId="77777777" w:rsidTr="00AC1295">
        <w:trPr>
          <w:trHeight w:val="315"/>
          <w:jc w:val="center"/>
        </w:trPr>
        <w:tc>
          <w:tcPr>
            <w:tcW w:w="3280" w:type="dxa"/>
            <w:hideMark/>
          </w:tcPr>
          <w:p w14:paraId="26483E95" w14:textId="77777777" w:rsidR="00CF42DB" w:rsidRPr="004E491C" w:rsidRDefault="00CF42DB" w:rsidP="00CF42DB">
            <w:pPr>
              <w:spacing w:after="240"/>
              <w:jc w:val="center"/>
              <w:rPr>
                <w:rFonts w:ascii="Arial" w:hAnsi="Arial" w:cs="Arial"/>
              </w:rPr>
            </w:pPr>
            <w:r w:rsidRPr="004E491C">
              <w:rPr>
                <w:rFonts w:ascii="Arial" w:hAnsi="Arial" w:cs="Arial"/>
              </w:rPr>
              <w:t>Secured investments *</w:t>
            </w:r>
          </w:p>
        </w:tc>
        <w:tc>
          <w:tcPr>
            <w:tcW w:w="1460" w:type="dxa"/>
            <w:vAlign w:val="center"/>
          </w:tcPr>
          <w:p w14:paraId="55CCE6C6" w14:textId="6EF78A45" w:rsidR="00CF42DB" w:rsidRPr="004E491C" w:rsidRDefault="00CF42DB" w:rsidP="00CF42DB">
            <w:pPr>
              <w:spacing w:after="240"/>
              <w:jc w:val="center"/>
              <w:rPr>
                <w:rFonts w:ascii="Arial" w:hAnsi="Arial" w:cs="Arial"/>
              </w:rPr>
            </w:pPr>
            <w:r>
              <w:rPr>
                <w:rFonts w:ascii="Arial" w:hAnsi="Arial" w:cs="Arial"/>
                <w:color w:val="000000"/>
                <w:sz w:val="22"/>
                <w:szCs w:val="22"/>
              </w:rPr>
              <w:t>8.6</w:t>
            </w:r>
          </w:p>
        </w:tc>
        <w:tc>
          <w:tcPr>
            <w:tcW w:w="1483" w:type="dxa"/>
            <w:hideMark/>
          </w:tcPr>
          <w:p w14:paraId="30BE1FFC" w14:textId="77777777" w:rsidR="00CF42DB" w:rsidRPr="004E491C" w:rsidRDefault="00CF42DB" w:rsidP="00CF42DB">
            <w:pPr>
              <w:spacing w:after="240"/>
              <w:jc w:val="center"/>
              <w:rPr>
                <w:rFonts w:ascii="Arial" w:hAnsi="Arial" w:cs="Arial"/>
              </w:rPr>
            </w:pPr>
            <w:r w:rsidRPr="004E491C">
              <w:rPr>
                <w:rFonts w:ascii="Arial" w:hAnsi="Arial" w:cs="Arial"/>
              </w:rPr>
              <w:t>Unlimited</w:t>
            </w:r>
          </w:p>
        </w:tc>
        <w:tc>
          <w:tcPr>
            <w:tcW w:w="1310" w:type="dxa"/>
            <w:hideMark/>
          </w:tcPr>
          <w:p w14:paraId="08DDC929"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222D2642" w14:textId="77777777" w:rsidTr="00AC1295">
        <w:trPr>
          <w:trHeight w:val="315"/>
          <w:jc w:val="center"/>
        </w:trPr>
        <w:tc>
          <w:tcPr>
            <w:tcW w:w="3280" w:type="dxa"/>
            <w:hideMark/>
          </w:tcPr>
          <w:p w14:paraId="6A4B977F" w14:textId="77777777" w:rsidR="00CF42DB" w:rsidRPr="004E491C" w:rsidRDefault="00CF42DB" w:rsidP="00CF42DB">
            <w:pPr>
              <w:spacing w:after="240"/>
              <w:jc w:val="center"/>
              <w:rPr>
                <w:rFonts w:ascii="Arial" w:hAnsi="Arial" w:cs="Arial"/>
              </w:rPr>
            </w:pPr>
            <w:r w:rsidRPr="004E491C">
              <w:rPr>
                <w:rFonts w:ascii="Arial" w:hAnsi="Arial" w:cs="Arial"/>
              </w:rPr>
              <w:t>Banks (unsecured) *</w:t>
            </w:r>
          </w:p>
        </w:tc>
        <w:tc>
          <w:tcPr>
            <w:tcW w:w="1460" w:type="dxa"/>
            <w:vAlign w:val="center"/>
          </w:tcPr>
          <w:p w14:paraId="21DB8823" w14:textId="2980662A" w:rsidR="00CF42DB" w:rsidRPr="004E491C" w:rsidRDefault="00CF42DB" w:rsidP="00CF42DB">
            <w:pPr>
              <w:spacing w:after="240"/>
              <w:jc w:val="center"/>
              <w:rPr>
                <w:rFonts w:ascii="Arial" w:hAnsi="Arial" w:cs="Arial"/>
              </w:rPr>
            </w:pPr>
            <w:r>
              <w:rPr>
                <w:rFonts w:ascii="Arial" w:hAnsi="Arial" w:cs="Arial"/>
                <w:color w:val="000000"/>
                <w:sz w:val="22"/>
                <w:szCs w:val="22"/>
              </w:rPr>
              <w:t>9.3</w:t>
            </w:r>
          </w:p>
        </w:tc>
        <w:tc>
          <w:tcPr>
            <w:tcW w:w="1483" w:type="dxa"/>
            <w:hideMark/>
          </w:tcPr>
          <w:p w14:paraId="7E025FBB" w14:textId="77777777" w:rsidR="00CF42DB" w:rsidRPr="004E491C" w:rsidRDefault="00CF42DB" w:rsidP="00CF42DB">
            <w:pPr>
              <w:spacing w:after="240"/>
              <w:jc w:val="center"/>
              <w:rPr>
                <w:rFonts w:ascii="Arial" w:hAnsi="Arial" w:cs="Arial"/>
              </w:rPr>
            </w:pPr>
            <w:r w:rsidRPr="004E491C">
              <w:rPr>
                <w:rFonts w:ascii="Arial" w:hAnsi="Arial" w:cs="Arial"/>
              </w:rPr>
              <w:t>Unlimited</w:t>
            </w:r>
          </w:p>
        </w:tc>
        <w:tc>
          <w:tcPr>
            <w:tcW w:w="1310" w:type="dxa"/>
            <w:hideMark/>
          </w:tcPr>
          <w:p w14:paraId="3C1F91E7"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7E852226" w14:textId="77777777" w:rsidTr="00AC1295">
        <w:trPr>
          <w:trHeight w:val="315"/>
          <w:jc w:val="center"/>
        </w:trPr>
        <w:tc>
          <w:tcPr>
            <w:tcW w:w="3280" w:type="dxa"/>
            <w:hideMark/>
          </w:tcPr>
          <w:p w14:paraId="39217590" w14:textId="77777777" w:rsidR="00CF42DB" w:rsidRPr="004E491C" w:rsidRDefault="00CF42DB" w:rsidP="00CF42DB">
            <w:pPr>
              <w:spacing w:after="240"/>
              <w:jc w:val="center"/>
              <w:rPr>
                <w:rFonts w:ascii="Arial" w:hAnsi="Arial" w:cs="Arial"/>
              </w:rPr>
            </w:pPr>
            <w:r w:rsidRPr="004E491C">
              <w:rPr>
                <w:rFonts w:ascii="Arial" w:hAnsi="Arial" w:cs="Arial"/>
              </w:rPr>
              <w:t>Building societies (unsecured) *</w:t>
            </w:r>
          </w:p>
        </w:tc>
        <w:tc>
          <w:tcPr>
            <w:tcW w:w="1460" w:type="dxa"/>
            <w:vAlign w:val="center"/>
          </w:tcPr>
          <w:p w14:paraId="6BA2C771" w14:textId="3DDC1EB8" w:rsidR="00CF42DB" w:rsidRPr="004E491C" w:rsidRDefault="00CF42DB" w:rsidP="00CF42DB">
            <w:pPr>
              <w:spacing w:after="240"/>
              <w:jc w:val="center"/>
              <w:rPr>
                <w:rFonts w:ascii="Arial" w:hAnsi="Arial" w:cs="Arial"/>
              </w:rPr>
            </w:pPr>
            <w:r>
              <w:rPr>
                <w:rFonts w:ascii="Arial" w:hAnsi="Arial" w:cs="Arial"/>
                <w:color w:val="000000"/>
                <w:sz w:val="22"/>
                <w:szCs w:val="22"/>
              </w:rPr>
              <w:t>0</w:t>
            </w:r>
          </w:p>
        </w:tc>
        <w:tc>
          <w:tcPr>
            <w:tcW w:w="1483" w:type="dxa"/>
            <w:hideMark/>
          </w:tcPr>
          <w:p w14:paraId="5ECA3276" w14:textId="77777777" w:rsidR="00CF42DB" w:rsidRPr="004E491C" w:rsidRDefault="00CF42DB" w:rsidP="00CF42DB">
            <w:pPr>
              <w:spacing w:after="240"/>
              <w:jc w:val="center"/>
              <w:rPr>
                <w:rFonts w:ascii="Arial" w:hAnsi="Arial" w:cs="Arial"/>
              </w:rPr>
            </w:pPr>
            <w:r w:rsidRPr="004E491C">
              <w:rPr>
                <w:rFonts w:ascii="Arial" w:hAnsi="Arial" w:cs="Arial"/>
              </w:rPr>
              <w:t>£16m</w:t>
            </w:r>
          </w:p>
        </w:tc>
        <w:tc>
          <w:tcPr>
            <w:tcW w:w="1310" w:type="dxa"/>
            <w:hideMark/>
          </w:tcPr>
          <w:p w14:paraId="0DFEAED0"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37EC68A0" w14:textId="77777777" w:rsidTr="00AC1295">
        <w:trPr>
          <w:trHeight w:val="585"/>
          <w:jc w:val="center"/>
        </w:trPr>
        <w:tc>
          <w:tcPr>
            <w:tcW w:w="3280" w:type="dxa"/>
            <w:hideMark/>
          </w:tcPr>
          <w:p w14:paraId="547BFBAC" w14:textId="77777777" w:rsidR="00CF42DB" w:rsidRPr="004E491C" w:rsidRDefault="00CF42DB" w:rsidP="00CF42DB">
            <w:pPr>
              <w:spacing w:after="240"/>
              <w:jc w:val="center"/>
              <w:rPr>
                <w:rFonts w:ascii="Arial" w:hAnsi="Arial" w:cs="Arial"/>
              </w:rPr>
            </w:pPr>
            <w:r w:rsidRPr="004E491C">
              <w:rPr>
                <w:rFonts w:ascii="Arial" w:hAnsi="Arial" w:cs="Arial"/>
              </w:rPr>
              <w:t>Registered providers (unsecured) *</w:t>
            </w:r>
          </w:p>
        </w:tc>
        <w:tc>
          <w:tcPr>
            <w:tcW w:w="1460" w:type="dxa"/>
            <w:vAlign w:val="center"/>
          </w:tcPr>
          <w:p w14:paraId="57A22826" w14:textId="40933AEE" w:rsidR="00CF42DB" w:rsidRPr="004E491C" w:rsidRDefault="00CF42DB" w:rsidP="00CF42DB">
            <w:pPr>
              <w:spacing w:after="240"/>
              <w:jc w:val="center"/>
              <w:rPr>
                <w:rFonts w:ascii="Arial" w:hAnsi="Arial" w:cs="Arial"/>
              </w:rPr>
            </w:pPr>
            <w:r>
              <w:rPr>
                <w:rFonts w:ascii="Arial" w:hAnsi="Arial" w:cs="Arial"/>
                <w:color w:val="000000"/>
                <w:sz w:val="22"/>
                <w:szCs w:val="22"/>
              </w:rPr>
              <w:t>0</w:t>
            </w:r>
          </w:p>
        </w:tc>
        <w:tc>
          <w:tcPr>
            <w:tcW w:w="1483" w:type="dxa"/>
            <w:hideMark/>
          </w:tcPr>
          <w:p w14:paraId="02EB2555" w14:textId="77777777" w:rsidR="00CF42DB" w:rsidRPr="004E491C" w:rsidRDefault="00CF42DB" w:rsidP="00CF42DB">
            <w:pPr>
              <w:spacing w:after="240"/>
              <w:jc w:val="center"/>
              <w:rPr>
                <w:rFonts w:ascii="Arial" w:hAnsi="Arial" w:cs="Arial"/>
              </w:rPr>
            </w:pPr>
            <w:r w:rsidRPr="004E491C">
              <w:rPr>
                <w:rFonts w:ascii="Arial" w:hAnsi="Arial" w:cs="Arial"/>
              </w:rPr>
              <w:t>£16m</w:t>
            </w:r>
          </w:p>
        </w:tc>
        <w:tc>
          <w:tcPr>
            <w:tcW w:w="1310" w:type="dxa"/>
            <w:hideMark/>
          </w:tcPr>
          <w:p w14:paraId="1203D418"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2261B586" w14:textId="77777777" w:rsidTr="00AC1295">
        <w:trPr>
          <w:trHeight w:val="315"/>
          <w:jc w:val="center"/>
        </w:trPr>
        <w:tc>
          <w:tcPr>
            <w:tcW w:w="3280" w:type="dxa"/>
            <w:hideMark/>
          </w:tcPr>
          <w:p w14:paraId="03768CAF" w14:textId="77777777" w:rsidR="00CF42DB" w:rsidRPr="004E491C" w:rsidRDefault="00CF42DB" w:rsidP="00CF42DB">
            <w:pPr>
              <w:spacing w:after="240"/>
              <w:jc w:val="center"/>
              <w:rPr>
                <w:rFonts w:ascii="Arial" w:hAnsi="Arial" w:cs="Arial"/>
              </w:rPr>
            </w:pPr>
            <w:r w:rsidRPr="004E491C">
              <w:rPr>
                <w:rFonts w:ascii="Arial" w:hAnsi="Arial" w:cs="Arial"/>
              </w:rPr>
              <w:t>Money market funds *</w:t>
            </w:r>
          </w:p>
        </w:tc>
        <w:tc>
          <w:tcPr>
            <w:tcW w:w="1460" w:type="dxa"/>
            <w:vAlign w:val="center"/>
          </w:tcPr>
          <w:p w14:paraId="6F46FB1C" w14:textId="6B489E3D" w:rsidR="00CF42DB" w:rsidRPr="004E491C" w:rsidRDefault="00CF42DB" w:rsidP="00CF42DB">
            <w:pPr>
              <w:spacing w:after="240"/>
              <w:jc w:val="center"/>
              <w:rPr>
                <w:rFonts w:ascii="Arial" w:hAnsi="Arial" w:cs="Arial"/>
              </w:rPr>
            </w:pPr>
            <w:r>
              <w:rPr>
                <w:rFonts w:ascii="Arial" w:hAnsi="Arial" w:cs="Arial"/>
                <w:color w:val="000000"/>
                <w:sz w:val="22"/>
                <w:szCs w:val="22"/>
              </w:rPr>
              <w:t>36.5</w:t>
            </w:r>
          </w:p>
        </w:tc>
        <w:tc>
          <w:tcPr>
            <w:tcW w:w="1483" w:type="dxa"/>
            <w:hideMark/>
          </w:tcPr>
          <w:p w14:paraId="111C5623" w14:textId="77777777" w:rsidR="00CF42DB" w:rsidRPr="004E491C" w:rsidRDefault="00CF42DB" w:rsidP="00CF42DB">
            <w:pPr>
              <w:spacing w:after="240"/>
              <w:jc w:val="center"/>
              <w:rPr>
                <w:rFonts w:ascii="Arial" w:hAnsi="Arial" w:cs="Arial"/>
              </w:rPr>
            </w:pPr>
            <w:r w:rsidRPr="004E491C">
              <w:rPr>
                <w:rFonts w:ascii="Arial" w:hAnsi="Arial" w:cs="Arial"/>
              </w:rPr>
              <w:t>Unlimited</w:t>
            </w:r>
          </w:p>
        </w:tc>
        <w:tc>
          <w:tcPr>
            <w:tcW w:w="1310" w:type="dxa"/>
            <w:hideMark/>
          </w:tcPr>
          <w:p w14:paraId="07214506"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23C5D543" w14:textId="77777777" w:rsidTr="00AC1295">
        <w:trPr>
          <w:trHeight w:val="315"/>
          <w:jc w:val="center"/>
        </w:trPr>
        <w:tc>
          <w:tcPr>
            <w:tcW w:w="3280" w:type="dxa"/>
            <w:hideMark/>
          </w:tcPr>
          <w:p w14:paraId="197D8DF4" w14:textId="77777777" w:rsidR="00CF42DB" w:rsidRPr="004E491C" w:rsidRDefault="00CF42DB" w:rsidP="00CF42DB">
            <w:pPr>
              <w:spacing w:after="240"/>
              <w:jc w:val="center"/>
              <w:rPr>
                <w:rFonts w:ascii="Arial" w:hAnsi="Arial" w:cs="Arial"/>
              </w:rPr>
            </w:pPr>
            <w:r w:rsidRPr="004E491C">
              <w:rPr>
                <w:rFonts w:ascii="Arial" w:hAnsi="Arial" w:cs="Arial"/>
              </w:rPr>
              <w:t>Strategic pooled funds</w:t>
            </w:r>
          </w:p>
        </w:tc>
        <w:tc>
          <w:tcPr>
            <w:tcW w:w="1460" w:type="dxa"/>
            <w:vAlign w:val="center"/>
          </w:tcPr>
          <w:p w14:paraId="361A3E49" w14:textId="5BEB8BEF" w:rsidR="00CF42DB" w:rsidRPr="004E491C" w:rsidRDefault="00CF42DB" w:rsidP="00CF42DB">
            <w:pPr>
              <w:spacing w:after="240"/>
              <w:jc w:val="center"/>
              <w:rPr>
                <w:rFonts w:ascii="Arial" w:hAnsi="Arial" w:cs="Arial"/>
              </w:rPr>
            </w:pPr>
            <w:r>
              <w:rPr>
                <w:rFonts w:ascii="Arial" w:hAnsi="Arial" w:cs="Arial"/>
                <w:color w:val="000000"/>
                <w:sz w:val="22"/>
                <w:szCs w:val="22"/>
              </w:rPr>
              <w:t>5</w:t>
            </w:r>
          </w:p>
        </w:tc>
        <w:tc>
          <w:tcPr>
            <w:tcW w:w="1483" w:type="dxa"/>
            <w:hideMark/>
          </w:tcPr>
          <w:p w14:paraId="27D4365D" w14:textId="77777777" w:rsidR="00CF42DB" w:rsidRPr="004E491C" w:rsidRDefault="00CF42DB" w:rsidP="00CF42DB">
            <w:pPr>
              <w:spacing w:after="240"/>
              <w:jc w:val="center"/>
              <w:rPr>
                <w:rFonts w:ascii="Arial" w:hAnsi="Arial" w:cs="Arial"/>
              </w:rPr>
            </w:pPr>
            <w:r w:rsidRPr="004E491C">
              <w:rPr>
                <w:rFonts w:ascii="Arial" w:hAnsi="Arial" w:cs="Arial"/>
              </w:rPr>
              <w:t>£39m</w:t>
            </w:r>
          </w:p>
        </w:tc>
        <w:tc>
          <w:tcPr>
            <w:tcW w:w="1310" w:type="dxa"/>
            <w:hideMark/>
          </w:tcPr>
          <w:p w14:paraId="13364370"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0C1A1BE1" w14:textId="77777777" w:rsidTr="00AC1295">
        <w:trPr>
          <w:trHeight w:val="315"/>
          <w:jc w:val="center"/>
        </w:trPr>
        <w:tc>
          <w:tcPr>
            <w:tcW w:w="3280" w:type="dxa"/>
            <w:hideMark/>
          </w:tcPr>
          <w:p w14:paraId="7793404E" w14:textId="77777777" w:rsidR="00CF42DB" w:rsidRPr="004E491C" w:rsidRDefault="00CF42DB" w:rsidP="00CF42DB">
            <w:pPr>
              <w:spacing w:after="240"/>
              <w:jc w:val="center"/>
              <w:rPr>
                <w:rFonts w:ascii="Arial" w:hAnsi="Arial" w:cs="Arial"/>
              </w:rPr>
            </w:pPr>
            <w:r w:rsidRPr="004E491C">
              <w:rPr>
                <w:rFonts w:ascii="Arial" w:hAnsi="Arial" w:cs="Arial"/>
              </w:rPr>
              <w:t>Real estate investment trusts</w:t>
            </w:r>
          </w:p>
        </w:tc>
        <w:tc>
          <w:tcPr>
            <w:tcW w:w="1460" w:type="dxa"/>
            <w:vAlign w:val="center"/>
          </w:tcPr>
          <w:p w14:paraId="75F9F12B" w14:textId="766440BD" w:rsidR="00CF42DB" w:rsidRPr="004E491C" w:rsidRDefault="00CF42DB" w:rsidP="00CF42DB">
            <w:pPr>
              <w:spacing w:after="240"/>
              <w:jc w:val="center"/>
              <w:rPr>
                <w:rFonts w:ascii="Arial" w:hAnsi="Arial" w:cs="Arial"/>
              </w:rPr>
            </w:pPr>
            <w:r>
              <w:rPr>
                <w:rFonts w:ascii="Arial" w:hAnsi="Arial" w:cs="Arial"/>
                <w:color w:val="000000"/>
                <w:sz w:val="22"/>
                <w:szCs w:val="22"/>
              </w:rPr>
              <w:t>0</w:t>
            </w:r>
          </w:p>
        </w:tc>
        <w:tc>
          <w:tcPr>
            <w:tcW w:w="1483" w:type="dxa"/>
            <w:hideMark/>
          </w:tcPr>
          <w:p w14:paraId="10A60831" w14:textId="77777777" w:rsidR="00CF42DB" w:rsidRPr="004E491C" w:rsidRDefault="00CF42DB" w:rsidP="00CF42DB">
            <w:pPr>
              <w:spacing w:after="240"/>
              <w:jc w:val="center"/>
              <w:rPr>
                <w:rFonts w:ascii="Arial" w:hAnsi="Arial" w:cs="Arial"/>
              </w:rPr>
            </w:pPr>
            <w:r w:rsidRPr="004E491C">
              <w:rPr>
                <w:rFonts w:ascii="Arial" w:hAnsi="Arial" w:cs="Arial"/>
              </w:rPr>
              <w:t>£16m</w:t>
            </w:r>
          </w:p>
        </w:tc>
        <w:tc>
          <w:tcPr>
            <w:tcW w:w="1310" w:type="dxa"/>
            <w:hideMark/>
          </w:tcPr>
          <w:p w14:paraId="4C950628"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r w:rsidR="00CF42DB" w:rsidRPr="004E491C" w14:paraId="7F2943D9" w14:textId="77777777" w:rsidTr="00AC1295">
        <w:trPr>
          <w:trHeight w:val="315"/>
          <w:jc w:val="center"/>
        </w:trPr>
        <w:tc>
          <w:tcPr>
            <w:tcW w:w="3280" w:type="dxa"/>
            <w:hideMark/>
          </w:tcPr>
          <w:p w14:paraId="60AC3711" w14:textId="77777777" w:rsidR="00CF42DB" w:rsidRPr="004E491C" w:rsidRDefault="00CF42DB" w:rsidP="00CF42DB">
            <w:pPr>
              <w:spacing w:after="240"/>
              <w:jc w:val="center"/>
              <w:rPr>
                <w:rFonts w:ascii="Arial" w:hAnsi="Arial" w:cs="Arial"/>
              </w:rPr>
            </w:pPr>
            <w:r w:rsidRPr="004E491C">
              <w:rPr>
                <w:rFonts w:ascii="Arial" w:hAnsi="Arial" w:cs="Arial"/>
              </w:rPr>
              <w:t>Other investments *</w:t>
            </w:r>
          </w:p>
        </w:tc>
        <w:tc>
          <w:tcPr>
            <w:tcW w:w="1460" w:type="dxa"/>
            <w:vAlign w:val="center"/>
          </w:tcPr>
          <w:p w14:paraId="4E847DA6" w14:textId="7F148898" w:rsidR="00CF42DB" w:rsidRPr="004E491C" w:rsidRDefault="00CF42DB" w:rsidP="00CF42DB">
            <w:pPr>
              <w:spacing w:after="240"/>
              <w:jc w:val="center"/>
              <w:rPr>
                <w:rFonts w:ascii="Arial" w:hAnsi="Arial" w:cs="Arial"/>
              </w:rPr>
            </w:pPr>
            <w:r>
              <w:rPr>
                <w:rFonts w:ascii="Arial" w:hAnsi="Arial" w:cs="Arial"/>
                <w:color w:val="000000"/>
                <w:sz w:val="22"/>
                <w:szCs w:val="22"/>
              </w:rPr>
              <w:t>0</w:t>
            </w:r>
          </w:p>
        </w:tc>
        <w:tc>
          <w:tcPr>
            <w:tcW w:w="1483" w:type="dxa"/>
            <w:hideMark/>
          </w:tcPr>
          <w:p w14:paraId="4BD52E28" w14:textId="77777777" w:rsidR="00CF42DB" w:rsidRPr="004E491C" w:rsidRDefault="00CF42DB" w:rsidP="00CF42DB">
            <w:pPr>
              <w:spacing w:after="240"/>
              <w:jc w:val="center"/>
              <w:rPr>
                <w:rFonts w:ascii="Arial" w:hAnsi="Arial" w:cs="Arial"/>
              </w:rPr>
            </w:pPr>
            <w:r w:rsidRPr="004E491C">
              <w:rPr>
                <w:rFonts w:ascii="Arial" w:hAnsi="Arial" w:cs="Arial"/>
              </w:rPr>
              <w:t>£16m</w:t>
            </w:r>
          </w:p>
        </w:tc>
        <w:tc>
          <w:tcPr>
            <w:tcW w:w="1310" w:type="dxa"/>
            <w:hideMark/>
          </w:tcPr>
          <w:p w14:paraId="4C58A11A" w14:textId="77777777" w:rsidR="00CF42DB" w:rsidRPr="00351A7C" w:rsidRDefault="00CF42DB" w:rsidP="00CF42DB">
            <w:pPr>
              <w:spacing w:after="240"/>
              <w:jc w:val="center"/>
              <w:rPr>
                <w:rFonts w:ascii="Wingdings" w:hAnsi="Wingdings" w:cs="Arial"/>
              </w:rPr>
            </w:pPr>
            <w:r w:rsidRPr="00351A7C">
              <w:rPr>
                <w:rFonts w:ascii="Wingdings" w:hAnsi="Wingdings" w:cs="Arial"/>
              </w:rPr>
              <w:t>ü</w:t>
            </w:r>
          </w:p>
        </w:tc>
      </w:tr>
    </w:tbl>
    <w:p w14:paraId="6B24F4F1" w14:textId="77777777" w:rsidR="00667B8B" w:rsidRPr="00667B8B" w:rsidRDefault="00667B8B" w:rsidP="00667B8B">
      <w:pPr>
        <w:spacing w:after="240"/>
        <w:rPr>
          <w:rFonts w:ascii="Arial" w:hAnsi="Arial" w:cs="Arial"/>
        </w:rPr>
      </w:pPr>
    </w:p>
    <w:p w14:paraId="40EE7A37" w14:textId="7FB1F9B7" w:rsidR="006A2DD0" w:rsidRPr="00667FB0" w:rsidRDefault="007C45E1" w:rsidP="003C3808">
      <w:pPr>
        <w:pStyle w:val="ListParagraph"/>
        <w:numPr>
          <w:ilvl w:val="1"/>
          <w:numId w:val="2"/>
        </w:numPr>
        <w:spacing w:after="240"/>
        <w:ind w:left="720" w:hanging="720"/>
        <w:rPr>
          <w:rFonts w:ascii="Arial" w:hAnsi="Arial" w:cs="Arial"/>
        </w:rPr>
      </w:pPr>
      <w:r w:rsidRPr="00667FB0">
        <w:rPr>
          <w:rFonts w:ascii="Arial" w:hAnsi="Arial" w:cs="Arial"/>
        </w:rPr>
        <w:t xml:space="preserve">Compliance with the authorised limit and operational boundary for external debt, is demonstrated in Table </w:t>
      </w:r>
      <w:r w:rsidR="00C81229">
        <w:rPr>
          <w:rFonts w:ascii="Arial" w:hAnsi="Arial" w:cs="Arial"/>
        </w:rPr>
        <w:t>9</w:t>
      </w:r>
      <w:r w:rsidR="00067763" w:rsidRPr="00667FB0">
        <w:rPr>
          <w:rFonts w:ascii="Arial" w:hAnsi="Arial" w:cs="Arial"/>
        </w:rPr>
        <w:t xml:space="preserve">. </w:t>
      </w: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276"/>
        <w:gridCol w:w="1559"/>
        <w:gridCol w:w="1796"/>
        <w:gridCol w:w="1556"/>
      </w:tblGrid>
      <w:tr w:rsidR="006D1CAC" w:rsidRPr="00FE62AE" w14:paraId="302263EF" w14:textId="77777777" w:rsidTr="006D1CAC">
        <w:trPr>
          <w:jc w:val="center"/>
        </w:trPr>
        <w:tc>
          <w:tcPr>
            <w:tcW w:w="2978" w:type="dxa"/>
            <w:tcBorders>
              <w:top w:val="single" w:sz="4" w:space="0" w:color="auto"/>
            </w:tcBorders>
            <w:shd w:val="clear" w:color="auto" w:fill="auto"/>
          </w:tcPr>
          <w:p w14:paraId="4B2C4336" w14:textId="77777777" w:rsidR="002E20F2" w:rsidRDefault="002E20F2" w:rsidP="006D1CAC">
            <w:pPr>
              <w:pStyle w:val="ListParagraph"/>
              <w:keepNext/>
              <w:keepLines/>
              <w:ind w:left="0"/>
              <w:jc w:val="center"/>
              <w:rPr>
                <w:rFonts w:ascii="Arial" w:hAnsi="Arial" w:cs="Arial"/>
                <w:b/>
                <w:bCs/>
              </w:rPr>
            </w:pPr>
          </w:p>
          <w:p w14:paraId="11586555" w14:textId="5353489D" w:rsidR="006D1CAC" w:rsidRPr="00FE62AE" w:rsidRDefault="006D1CAC" w:rsidP="006D1CAC">
            <w:pPr>
              <w:pStyle w:val="ListParagraph"/>
              <w:keepNext/>
              <w:keepLines/>
              <w:ind w:left="0"/>
              <w:jc w:val="center"/>
              <w:rPr>
                <w:rFonts w:ascii="Arial" w:hAnsi="Arial" w:cs="Arial"/>
                <w:b/>
                <w:bCs/>
              </w:rPr>
            </w:pPr>
            <w:r w:rsidRPr="00FE62AE">
              <w:rPr>
                <w:rFonts w:ascii="Arial" w:hAnsi="Arial" w:cs="Arial"/>
                <w:b/>
                <w:bCs/>
              </w:rPr>
              <w:t xml:space="preserve">Table </w:t>
            </w:r>
            <w:r w:rsidR="00C81229">
              <w:rPr>
                <w:rFonts w:ascii="Arial" w:hAnsi="Arial" w:cs="Arial"/>
                <w:b/>
                <w:bCs/>
              </w:rPr>
              <w:t>9</w:t>
            </w:r>
            <w:r w:rsidRPr="00FE62AE">
              <w:rPr>
                <w:rFonts w:ascii="Arial" w:hAnsi="Arial" w:cs="Arial"/>
                <w:b/>
                <w:bCs/>
              </w:rPr>
              <w:t>: Debt limits</w:t>
            </w:r>
          </w:p>
        </w:tc>
        <w:tc>
          <w:tcPr>
            <w:tcW w:w="1417" w:type="dxa"/>
            <w:tcBorders>
              <w:top w:val="single" w:sz="4" w:space="0" w:color="auto"/>
              <w:bottom w:val="single" w:sz="4" w:space="0" w:color="auto"/>
            </w:tcBorders>
            <w:shd w:val="clear" w:color="auto" w:fill="auto"/>
            <w:vAlign w:val="center"/>
          </w:tcPr>
          <w:p w14:paraId="5A579AD3" w14:textId="22F649E6" w:rsidR="006D1CAC" w:rsidRDefault="00AB2B19" w:rsidP="006D1CAC">
            <w:pPr>
              <w:pStyle w:val="ListParagraph"/>
              <w:keepNext/>
              <w:keepLines/>
              <w:ind w:left="0"/>
              <w:jc w:val="center"/>
              <w:rPr>
                <w:rFonts w:ascii="Arial" w:hAnsi="Arial" w:cs="Arial"/>
                <w:b/>
                <w:bCs/>
                <w:color w:val="000000"/>
                <w:sz w:val="22"/>
                <w:szCs w:val="22"/>
              </w:rPr>
            </w:pPr>
            <w:r>
              <w:rPr>
                <w:rFonts w:ascii="Arial" w:hAnsi="Arial" w:cs="Arial"/>
                <w:b/>
                <w:bCs/>
                <w:color w:val="000000"/>
                <w:sz w:val="22"/>
                <w:szCs w:val="22"/>
              </w:rPr>
              <w:t>H</w:t>
            </w:r>
            <w:r w:rsidR="006D1CAC" w:rsidRPr="006D1CAC">
              <w:rPr>
                <w:rFonts w:ascii="Arial" w:hAnsi="Arial" w:cs="Arial"/>
                <w:b/>
                <w:bCs/>
                <w:color w:val="000000"/>
                <w:sz w:val="22"/>
                <w:szCs w:val="22"/>
              </w:rPr>
              <w:t>1 2023/24 Maximum</w:t>
            </w:r>
          </w:p>
          <w:p w14:paraId="07341F09" w14:textId="004D9993" w:rsidR="006D1CAC" w:rsidRPr="006D1CAC" w:rsidRDefault="006D1CAC" w:rsidP="006D1CAC">
            <w:pPr>
              <w:pStyle w:val="ListParagraph"/>
              <w:keepNext/>
              <w:keepLines/>
              <w:ind w:left="0"/>
              <w:jc w:val="center"/>
              <w:rPr>
                <w:rFonts w:ascii="Arial" w:hAnsi="Arial" w:cs="Arial"/>
                <w:b/>
                <w:bCs/>
              </w:rPr>
            </w:pPr>
            <w:r>
              <w:rPr>
                <w:rFonts w:ascii="Arial" w:hAnsi="Arial" w:cs="Arial"/>
                <w:b/>
                <w:bCs/>
                <w:color w:val="000000"/>
                <w:sz w:val="22"/>
                <w:szCs w:val="22"/>
              </w:rPr>
              <w:t>£m</w:t>
            </w:r>
          </w:p>
        </w:tc>
        <w:tc>
          <w:tcPr>
            <w:tcW w:w="1276" w:type="dxa"/>
            <w:tcBorders>
              <w:top w:val="single" w:sz="4" w:space="0" w:color="auto"/>
            </w:tcBorders>
            <w:shd w:val="clear" w:color="auto" w:fill="auto"/>
            <w:vAlign w:val="center"/>
          </w:tcPr>
          <w:p w14:paraId="47F5C030" w14:textId="4D71D84B" w:rsidR="006D1CAC" w:rsidRDefault="006D1CAC" w:rsidP="006D1CAC">
            <w:pPr>
              <w:pStyle w:val="ListParagraph"/>
              <w:keepNext/>
              <w:keepLines/>
              <w:ind w:left="0"/>
              <w:jc w:val="center"/>
              <w:rPr>
                <w:rFonts w:ascii="Arial" w:hAnsi="Arial" w:cs="Arial"/>
                <w:b/>
                <w:bCs/>
                <w:color w:val="000000"/>
                <w:sz w:val="22"/>
                <w:szCs w:val="22"/>
              </w:rPr>
            </w:pPr>
            <w:r w:rsidRPr="006D1CAC">
              <w:rPr>
                <w:rFonts w:ascii="Arial" w:hAnsi="Arial" w:cs="Arial"/>
                <w:b/>
                <w:bCs/>
                <w:color w:val="000000"/>
                <w:sz w:val="22"/>
                <w:szCs w:val="22"/>
              </w:rPr>
              <w:t>30/0</w:t>
            </w:r>
            <w:r w:rsidR="00C81229">
              <w:rPr>
                <w:rFonts w:ascii="Arial" w:hAnsi="Arial" w:cs="Arial"/>
                <w:b/>
                <w:bCs/>
                <w:color w:val="000000"/>
                <w:sz w:val="22"/>
                <w:szCs w:val="22"/>
              </w:rPr>
              <w:t>9</w:t>
            </w:r>
            <w:r w:rsidRPr="006D1CAC">
              <w:rPr>
                <w:rFonts w:ascii="Arial" w:hAnsi="Arial" w:cs="Arial"/>
                <w:b/>
                <w:bCs/>
                <w:color w:val="000000"/>
                <w:sz w:val="22"/>
                <w:szCs w:val="22"/>
              </w:rPr>
              <w:t>/23 Actual</w:t>
            </w:r>
          </w:p>
          <w:p w14:paraId="759755BD" w14:textId="048A47EB" w:rsidR="006D1CAC" w:rsidRPr="006D1CAC" w:rsidRDefault="006D1CAC" w:rsidP="006D1CAC">
            <w:pPr>
              <w:pStyle w:val="ListParagraph"/>
              <w:keepNext/>
              <w:keepLines/>
              <w:ind w:left="0"/>
              <w:jc w:val="center"/>
              <w:rPr>
                <w:rFonts w:ascii="Arial" w:hAnsi="Arial" w:cs="Arial"/>
                <w:b/>
                <w:bCs/>
              </w:rPr>
            </w:pPr>
            <w:r>
              <w:rPr>
                <w:rFonts w:ascii="Arial" w:hAnsi="Arial" w:cs="Arial"/>
                <w:b/>
                <w:bCs/>
                <w:color w:val="000000"/>
                <w:sz w:val="22"/>
                <w:szCs w:val="22"/>
              </w:rPr>
              <w:t>£m</w:t>
            </w:r>
          </w:p>
        </w:tc>
        <w:tc>
          <w:tcPr>
            <w:tcW w:w="1559" w:type="dxa"/>
            <w:tcBorders>
              <w:top w:val="single" w:sz="4" w:space="0" w:color="auto"/>
            </w:tcBorders>
            <w:shd w:val="clear" w:color="auto" w:fill="auto"/>
            <w:vAlign w:val="center"/>
          </w:tcPr>
          <w:p w14:paraId="49C119B6" w14:textId="27E99713" w:rsidR="006D1CAC" w:rsidRPr="00E3293E" w:rsidRDefault="006D1CAC" w:rsidP="006D1CAC">
            <w:pPr>
              <w:pStyle w:val="ListParagraph"/>
              <w:keepNext/>
              <w:keepLines/>
              <w:ind w:left="0"/>
              <w:jc w:val="center"/>
              <w:rPr>
                <w:rFonts w:ascii="Arial" w:hAnsi="Arial" w:cs="Arial"/>
                <w:b/>
                <w:bCs/>
              </w:rPr>
            </w:pPr>
            <w:r w:rsidRPr="00E3293E">
              <w:rPr>
                <w:rFonts w:ascii="Arial" w:hAnsi="Arial" w:cs="Arial"/>
                <w:b/>
                <w:bCs/>
                <w:color w:val="000000"/>
                <w:sz w:val="22"/>
                <w:szCs w:val="22"/>
              </w:rPr>
              <w:t>2023/24 Operational Boundary £m</w:t>
            </w:r>
          </w:p>
        </w:tc>
        <w:tc>
          <w:tcPr>
            <w:tcW w:w="1796" w:type="dxa"/>
            <w:tcBorders>
              <w:top w:val="single" w:sz="4" w:space="0" w:color="auto"/>
            </w:tcBorders>
            <w:shd w:val="clear" w:color="auto" w:fill="auto"/>
            <w:vAlign w:val="center"/>
          </w:tcPr>
          <w:p w14:paraId="1004443F" w14:textId="37932A8D" w:rsidR="006D1CAC" w:rsidRPr="00E3293E" w:rsidRDefault="006D1CAC" w:rsidP="006D1CAC">
            <w:pPr>
              <w:pStyle w:val="ListParagraph"/>
              <w:keepNext/>
              <w:keepLines/>
              <w:ind w:left="0"/>
              <w:jc w:val="center"/>
              <w:rPr>
                <w:rFonts w:ascii="Arial" w:hAnsi="Arial" w:cs="Arial"/>
                <w:b/>
                <w:bCs/>
              </w:rPr>
            </w:pPr>
            <w:r w:rsidRPr="00E3293E">
              <w:rPr>
                <w:rFonts w:ascii="Arial" w:hAnsi="Arial" w:cs="Arial"/>
                <w:b/>
                <w:bCs/>
                <w:color w:val="000000"/>
                <w:sz w:val="22"/>
                <w:szCs w:val="22"/>
              </w:rPr>
              <w:t>2023/24 Authorised Limit</w:t>
            </w:r>
          </w:p>
        </w:tc>
        <w:tc>
          <w:tcPr>
            <w:tcW w:w="1556" w:type="dxa"/>
            <w:tcBorders>
              <w:top w:val="single" w:sz="4" w:space="0" w:color="auto"/>
            </w:tcBorders>
            <w:shd w:val="clear" w:color="auto" w:fill="auto"/>
          </w:tcPr>
          <w:p w14:paraId="32AEAB70" w14:textId="77777777" w:rsidR="006D1CAC" w:rsidRDefault="006D1CAC" w:rsidP="006D1CAC">
            <w:pPr>
              <w:pStyle w:val="ListParagraph"/>
              <w:keepNext/>
              <w:keepLines/>
              <w:tabs>
                <w:tab w:val="center" w:pos="670"/>
              </w:tabs>
              <w:ind w:left="0"/>
              <w:rPr>
                <w:rFonts w:ascii="Arial" w:hAnsi="Arial" w:cs="Arial"/>
                <w:b/>
                <w:bCs/>
              </w:rPr>
            </w:pPr>
          </w:p>
          <w:p w14:paraId="0EBAD24C" w14:textId="12E9E97A" w:rsidR="006D1CAC" w:rsidRPr="00FE62AE" w:rsidRDefault="006D1CAC" w:rsidP="006D1CAC">
            <w:pPr>
              <w:pStyle w:val="ListParagraph"/>
              <w:keepNext/>
              <w:keepLines/>
              <w:tabs>
                <w:tab w:val="center" w:pos="670"/>
              </w:tabs>
              <w:ind w:left="0"/>
              <w:rPr>
                <w:rFonts w:ascii="Arial" w:hAnsi="Arial" w:cs="Arial"/>
                <w:b/>
                <w:bCs/>
              </w:rPr>
            </w:pPr>
            <w:r>
              <w:rPr>
                <w:rFonts w:ascii="Arial" w:hAnsi="Arial" w:cs="Arial"/>
                <w:b/>
                <w:bCs/>
              </w:rPr>
              <w:tab/>
            </w:r>
            <w:r w:rsidRPr="00FE62AE">
              <w:rPr>
                <w:rFonts w:ascii="Arial" w:hAnsi="Arial" w:cs="Arial"/>
                <w:b/>
                <w:bCs/>
              </w:rPr>
              <w:t>Complied?</w:t>
            </w:r>
          </w:p>
        </w:tc>
      </w:tr>
      <w:tr w:rsidR="00AB2B19" w:rsidRPr="00BA4271" w14:paraId="055CCEAB" w14:textId="77777777" w:rsidTr="006D1CAC">
        <w:trPr>
          <w:jc w:val="center"/>
        </w:trPr>
        <w:tc>
          <w:tcPr>
            <w:tcW w:w="2978" w:type="dxa"/>
            <w:shd w:val="clear" w:color="auto" w:fill="auto"/>
          </w:tcPr>
          <w:p w14:paraId="51FD78C7" w14:textId="77777777" w:rsidR="00AB2B19" w:rsidRPr="00632F3A" w:rsidRDefault="00AB2B19" w:rsidP="00AB2B19">
            <w:pPr>
              <w:pStyle w:val="ListParagraph"/>
              <w:keepNext/>
              <w:keepLines/>
              <w:ind w:left="0"/>
              <w:jc w:val="center"/>
              <w:rPr>
                <w:rFonts w:ascii="Arial" w:hAnsi="Arial" w:cs="Arial"/>
              </w:rPr>
            </w:pPr>
            <w:r w:rsidRPr="00632F3A">
              <w:rPr>
                <w:rFonts w:ascii="Arial" w:hAnsi="Arial" w:cs="Arial"/>
              </w:rPr>
              <w:t>Total debt</w:t>
            </w:r>
          </w:p>
        </w:tc>
        <w:tc>
          <w:tcPr>
            <w:tcW w:w="1417" w:type="dxa"/>
            <w:shd w:val="clear" w:color="auto" w:fill="auto"/>
            <w:vAlign w:val="center"/>
          </w:tcPr>
          <w:p w14:paraId="040F4E67" w14:textId="283DCD84" w:rsidR="00AB2B19" w:rsidRPr="00253E3D" w:rsidRDefault="00AB2B19" w:rsidP="00AB2B19">
            <w:pPr>
              <w:pStyle w:val="ListParagraph"/>
              <w:keepNext/>
              <w:keepLines/>
              <w:ind w:left="0"/>
              <w:jc w:val="center"/>
              <w:rPr>
                <w:rFonts w:ascii="Arial" w:hAnsi="Arial" w:cs="Arial"/>
              </w:rPr>
            </w:pPr>
            <w:r>
              <w:rPr>
                <w:rFonts w:ascii="Arial" w:hAnsi="Arial" w:cs="Arial"/>
                <w:color w:val="000000"/>
                <w:sz w:val="22"/>
                <w:szCs w:val="22"/>
              </w:rPr>
              <w:t>30.7</w:t>
            </w:r>
          </w:p>
        </w:tc>
        <w:tc>
          <w:tcPr>
            <w:tcW w:w="1276" w:type="dxa"/>
            <w:shd w:val="clear" w:color="auto" w:fill="auto"/>
            <w:vAlign w:val="center"/>
          </w:tcPr>
          <w:p w14:paraId="5A3F6C4E" w14:textId="6601F8EC" w:rsidR="00AB2B19" w:rsidRPr="00253E3D" w:rsidRDefault="00AB2B19" w:rsidP="00AB2B19">
            <w:pPr>
              <w:pStyle w:val="ListParagraph"/>
              <w:keepNext/>
              <w:keepLines/>
              <w:ind w:left="0"/>
              <w:jc w:val="center"/>
              <w:rPr>
                <w:rFonts w:ascii="Arial" w:hAnsi="Arial" w:cs="Arial"/>
              </w:rPr>
            </w:pPr>
            <w:r>
              <w:rPr>
                <w:rFonts w:ascii="Arial" w:hAnsi="Arial" w:cs="Arial"/>
                <w:color w:val="000000"/>
                <w:sz w:val="22"/>
                <w:szCs w:val="22"/>
              </w:rPr>
              <w:t>19.7</w:t>
            </w:r>
          </w:p>
        </w:tc>
        <w:tc>
          <w:tcPr>
            <w:tcW w:w="1559" w:type="dxa"/>
            <w:shd w:val="clear" w:color="auto" w:fill="auto"/>
            <w:vAlign w:val="center"/>
          </w:tcPr>
          <w:p w14:paraId="4E2AD097" w14:textId="1801F1C3" w:rsidR="00AB2B19" w:rsidRPr="00632F3A" w:rsidRDefault="00AB2B19" w:rsidP="00AB2B19">
            <w:pPr>
              <w:pStyle w:val="ListParagraph"/>
              <w:keepNext/>
              <w:keepLines/>
              <w:ind w:left="0"/>
              <w:jc w:val="center"/>
              <w:rPr>
                <w:rFonts w:ascii="Arial" w:hAnsi="Arial" w:cs="Arial"/>
              </w:rPr>
            </w:pPr>
            <w:r>
              <w:rPr>
                <w:rFonts w:ascii="Arial" w:hAnsi="Arial" w:cs="Arial"/>
                <w:color w:val="000000"/>
                <w:sz w:val="22"/>
                <w:szCs w:val="22"/>
              </w:rPr>
              <w:t>70.50</w:t>
            </w:r>
          </w:p>
        </w:tc>
        <w:tc>
          <w:tcPr>
            <w:tcW w:w="1796" w:type="dxa"/>
            <w:shd w:val="clear" w:color="auto" w:fill="auto"/>
            <w:vAlign w:val="center"/>
          </w:tcPr>
          <w:p w14:paraId="5B910C0B" w14:textId="4E18F8B2" w:rsidR="00AB2B19" w:rsidRPr="00632F3A" w:rsidRDefault="00AB2B19" w:rsidP="00AB2B19">
            <w:pPr>
              <w:pStyle w:val="ListParagraph"/>
              <w:keepNext/>
              <w:keepLines/>
              <w:ind w:left="0"/>
              <w:jc w:val="center"/>
              <w:rPr>
                <w:rFonts w:ascii="Arial" w:hAnsi="Arial" w:cs="Arial"/>
              </w:rPr>
            </w:pPr>
            <w:r>
              <w:rPr>
                <w:rFonts w:ascii="Arial" w:hAnsi="Arial" w:cs="Arial"/>
                <w:color w:val="000000"/>
                <w:sz w:val="22"/>
                <w:szCs w:val="22"/>
              </w:rPr>
              <w:t>87.50</w:t>
            </w:r>
          </w:p>
        </w:tc>
        <w:tc>
          <w:tcPr>
            <w:tcW w:w="1556" w:type="dxa"/>
            <w:shd w:val="clear" w:color="auto" w:fill="auto"/>
            <w:vAlign w:val="center"/>
          </w:tcPr>
          <w:p w14:paraId="6687DE02" w14:textId="77777777" w:rsidR="00AB2B19" w:rsidRPr="00632F3A" w:rsidRDefault="00AB2B19" w:rsidP="00AB2B19">
            <w:pPr>
              <w:keepNext/>
              <w:keepLines/>
              <w:numPr>
                <w:ilvl w:val="0"/>
                <w:numId w:val="4"/>
              </w:numPr>
              <w:jc w:val="center"/>
              <w:rPr>
                <w:rFonts w:ascii="Arial" w:hAnsi="Arial" w:cs="Arial"/>
              </w:rPr>
            </w:pPr>
          </w:p>
        </w:tc>
      </w:tr>
    </w:tbl>
    <w:p w14:paraId="05F99E25" w14:textId="77777777" w:rsidR="009C64DB" w:rsidRPr="0058127F" w:rsidRDefault="009C64DB" w:rsidP="00657B22">
      <w:pPr>
        <w:pStyle w:val="ListParagraph"/>
        <w:spacing w:after="240"/>
        <w:rPr>
          <w:rFonts w:ascii="Arial" w:hAnsi="Arial" w:cs="Arial"/>
        </w:rPr>
      </w:pPr>
    </w:p>
    <w:p w14:paraId="292C0478" w14:textId="77777777" w:rsidR="005F19D8" w:rsidRPr="005C38BC" w:rsidRDefault="005F19D8" w:rsidP="003C3808">
      <w:pPr>
        <w:keepNext/>
        <w:numPr>
          <w:ilvl w:val="0"/>
          <w:numId w:val="2"/>
        </w:numPr>
        <w:tabs>
          <w:tab w:val="num" w:pos="720"/>
        </w:tabs>
        <w:spacing w:after="240"/>
        <w:ind w:left="431" w:hanging="431"/>
        <w:outlineLvl w:val="0"/>
        <w:rPr>
          <w:rFonts w:ascii="Arial" w:hAnsi="Arial" w:cs="Arial"/>
          <w:b/>
        </w:rPr>
      </w:pPr>
      <w:r w:rsidRPr="005C38BC">
        <w:rPr>
          <w:rFonts w:ascii="Arial" w:hAnsi="Arial" w:cs="Arial"/>
          <w:b/>
        </w:rPr>
        <w:lastRenderedPageBreak/>
        <w:t>Treasury Management Indicators</w:t>
      </w:r>
    </w:p>
    <w:p w14:paraId="410D72CE" w14:textId="475848A7" w:rsidR="005F19D8" w:rsidRDefault="00E1280E" w:rsidP="004A1A98">
      <w:pPr>
        <w:pStyle w:val="ListParagraph"/>
        <w:numPr>
          <w:ilvl w:val="1"/>
          <w:numId w:val="2"/>
        </w:numPr>
        <w:spacing w:after="240"/>
        <w:ind w:left="720" w:hanging="720"/>
        <w:rPr>
          <w:rFonts w:ascii="Arial" w:hAnsi="Arial" w:cs="Arial"/>
        </w:rPr>
      </w:pPr>
      <w:r w:rsidRPr="00E1280E">
        <w:rPr>
          <w:rFonts w:ascii="Arial" w:hAnsi="Arial" w:cs="Arial"/>
        </w:rPr>
        <w:t xml:space="preserve">As required by the 2021 CIPFA Treasury Management Code, the </w:t>
      </w:r>
      <w:r w:rsidR="00464FF7">
        <w:rPr>
          <w:rFonts w:ascii="Arial" w:hAnsi="Arial" w:cs="Arial"/>
        </w:rPr>
        <w:t>PCC</w:t>
      </w:r>
      <w:r w:rsidRPr="00E1280E">
        <w:rPr>
          <w:rFonts w:ascii="Arial" w:hAnsi="Arial" w:cs="Arial"/>
        </w:rPr>
        <w:t xml:space="preserve"> monitors and measures the following treasury management prudential indicators</w:t>
      </w:r>
      <w:r w:rsidR="005F19D8" w:rsidRPr="005C38BC">
        <w:rPr>
          <w:rFonts w:ascii="Arial" w:hAnsi="Arial" w:cs="Arial"/>
        </w:rPr>
        <w:t>.</w:t>
      </w:r>
    </w:p>
    <w:p w14:paraId="528131E6" w14:textId="6784DB6E" w:rsidR="00547880" w:rsidRPr="005C38BC" w:rsidRDefault="00E1280E" w:rsidP="00547880">
      <w:pPr>
        <w:pStyle w:val="ListParagraph"/>
        <w:spacing w:after="240"/>
        <w:rPr>
          <w:rFonts w:ascii="Arial" w:hAnsi="Arial" w:cs="Arial"/>
          <w:b/>
        </w:rPr>
      </w:pPr>
      <w:r>
        <w:rPr>
          <w:rFonts w:ascii="Arial" w:hAnsi="Arial" w:cs="Arial"/>
          <w:b/>
        </w:rPr>
        <w:t>Liability benchmark</w:t>
      </w:r>
    </w:p>
    <w:p w14:paraId="41642822" w14:textId="008FB56B" w:rsidR="005F19D8" w:rsidRDefault="009D5470" w:rsidP="003C3808">
      <w:pPr>
        <w:pStyle w:val="ListParagraph"/>
        <w:numPr>
          <w:ilvl w:val="1"/>
          <w:numId w:val="2"/>
        </w:numPr>
        <w:spacing w:after="240"/>
        <w:ind w:left="720" w:hanging="720"/>
        <w:rPr>
          <w:rFonts w:ascii="Arial" w:hAnsi="Arial" w:cs="Arial"/>
        </w:rPr>
      </w:pPr>
      <w:r w:rsidRPr="006166B0">
        <w:rPr>
          <w:rFonts w:ascii="Arial" w:hAnsi="Arial" w:cs="Arial"/>
        </w:rPr>
        <w:t xml:space="preserve">This indicator compares the </w:t>
      </w:r>
      <w:r w:rsidR="00464FF7">
        <w:rPr>
          <w:rFonts w:ascii="Arial" w:hAnsi="Arial" w:cs="Arial"/>
        </w:rPr>
        <w:t>PCC</w:t>
      </w:r>
      <w:r w:rsidRPr="006166B0">
        <w:rPr>
          <w:rFonts w:ascii="Arial" w:hAnsi="Arial" w:cs="Arial"/>
        </w:rPr>
        <w:t xml:space="preserve">’s actual existing borrowing against a liability benchmark that has been calculated to show the lowest risk level of borrowing. The liability benchmark is an important tool to help establish whether the </w:t>
      </w:r>
      <w:r w:rsidR="00464FF7">
        <w:rPr>
          <w:rFonts w:ascii="Arial" w:hAnsi="Arial" w:cs="Arial"/>
        </w:rPr>
        <w:t>PCC</w:t>
      </w:r>
      <w:r w:rsidRPr="006166B0">
        <w:rPr>
          <w:rFonts w:ascii="Arial" w:hAnsi="Arial" w:cs="Arial"/>
        </w:rPr>
        <w:t xml:space="preserve"> is likely to be a long-term borrower or long-term investor in the future, and so shape its strategic focus and decision making. It represents an estimate of the cumulative amount of external borrowing the </w:t>
      </w:r>
      <w:r w:rsidR="00791820">
        <w:rPr>
          <w:rFonts w:ascii="Arial" w:hAnsi="Arial" w:cs="Arial"/>
        </w:rPr>
        <w:t>PCC</w:t>
      </w:r>
      <w:r w:rsidRPr="006166B0">
        <w:rPr>
          <w:rFonts w:ascii="Arial" w:hAnsi="Arial" w:cs="Arial"/>
        </w:rPr>
        <w:t xml:space="preserve"> must hold to fund its current capital and revenue plans while keeping treasury investments at the minimum level required to manage day-to-day cash flow</w:t>
      </w:r>
      <w:r w:rsidR="009D46FD" w:rsidRPr="005C38BC">
        <w:rPr>
          <w:rFonts w:ascii="Arial" w:hAnsi="Arial" w:cs="Arial"/>
        </w:rPr>
        <w:t>.</w:t>
      </w:r>
    </w:p>
    <w:tbl>
      <w:tblPr>
        <w:tblW w:w="8819" w:type="dxa"/>
        <w:jc w:val="center"/>
        <w:tblLayout w:type="fixed"/>
        <w:tblLook w:val="04A0" w:firstRow="1" w:lastRow="0" w:firstColumn="1" w:lastColumn="0" w:noHBand="0" w:noVBand="1"/>
      </w:tblPr>
      <w:tblGrid>
        <w:gridCol w:w="1975"/>
        <w:gridCol w:w="1559"/>
        <w:gridCol w:w="1549"/>
        <w:gridCol w:w="1868"/>
        <w:gridCol w:w="1868"/>
      </w:tblGrid>
      <w:tr w:rsidR="009823CD" w14:paraId="49E83BA5" w14:textId="77777777" w:rsidTr="00791820">
        <w:trPr>
          <w:trHeight w:val="300"/>
          <w:jc w:val="center"/>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93184" w14:textId="375113CF" w:rsidR="009823CD" w:rsidRPr="001D0AC6" w:rsidRDefault="009823CD" w:rsidP="00523117">
            <w:pPr>
              <w:keepLines/>
              <w:widowControl w:val="0"/>
              <w:rPr>
                <w:rFonts w:ascii="Arial" w:hAnsi="Arial" w:cs="Arial"/>
                <w:b/>
              </w:rPr>
            </w:pPr>
            <w:r w:rsidRPr="001D0AC6">
              <w:rPr>
                <w:rFonts w:ascii="Arial" w:hAnsi="Arial" w:cs="Arial"/>
                <w:b/>
              </w:rPr>
              <w:t> </w:t>
            </w:r>
            <w:r w:rsidR="00DA5754">
              <w:rPr>
                <w:rFonts w:ascii="Arial" w:hAnsi="Arial" w:cs="Arial"/>
                <w:b/>
              </w:rPr>
              <w:t>Table 10: Liability benchmark</w:t>
            </w:r>
          </w:p>
        </w:tc>
        <w:tc>
          <w:tcPr>
            <w:tcW w:w="1559" w:type="dxa"/>
            <w:tcBorders>
              <w:top w:val="single" w:sz="8" w:space="0" w:color="auto"/>
              <w:left w:val="nil"/>
              <w:bottom w:val="nil"/>
              <w:right w:val="single" w:sz="8" w:space="0" w:color="auto"/>
            </w:tcBorders>
            <w:shd w:val="clear" w:color="auto" w:fill="auto"/>
            <w:vAlign w:val="center"/>
            <w:hideMark/>
          </w:tcPr>
          <w:p w14:paraId="1C8D7983"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31/03/2023</w:t>
            </w:r>
          </w:p>
        </w:tc>
        <w:tc>
          <w:tcPr>
            <w:tcW w:w="1549" w:type="dxa"/>
            <w:tcBorders>
              <w:top w:val="single" w:sz="8" w:space="0" w:color="auto"/>
              <w:left w:val="nil"/>
              <w:bottom w:val="nil"/>
              <w:right w:val="single" w:sz="8" w:space="0" w:color="auto"/>
            </w:tcBorders>
            <w:shd w:val="clear" w:color="auto" w:fill="auto"/>
            <w:vAlign w:val="center"/>
            <w:hideMark/>
          </w:tcPr>
          <w:p w14:paraId="7A7B5800"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31/03/2024</w:t>
            </w:r>
          </w:p>
        </w:tc>
        <w:tc>
          <w:tcPr>
            <w:tcW w:w="1868" w:type="dxa"/>
            <w:tcBorders>
              <w:top w:val="single" w:sz="8" w:space="0" w:color="auto"/>
              <w:left w:val="nil"/>
              <w:bottom w:val="nil"/>
              <w:right w:val="single" w:sz="8" w:space="0" w:color="auto"/>
            </w:tcBorders>
            <w:shd w:val="clear" w:color="auto" w:fill="auto"/>
            <w:vAlign w:val="center"/>
            <w:hideMark/>
          </w:tcPr>
          <w:p w14:paraId="68EBE7CA"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31/03/2025</w:t>
            </w:r>
          </w:p>
        </w:tc>
        <w:tc>
          <w:tcPr>
            <w:tcW w:w="1868" w:type="dxa"/>
            <w:tcBorders>
              <w:top w:val="single" w:sz="8" w:space="0" w:color="auto"/>
              <w:left w:val="nil"/>
              <w:bottom w:val="nil"/>
              <w:right w:val="single" w:sz="8" w:space="0" w:color="auto"/>
            </w:tcBorders>
            <w:shd w:val="clear" w:color="auto" w:fill="auto"/>
            <w:vAlign w:val="center"/>
            <w:hideMark/>
          </w:tcPr>
          <w:p w14:paraId="3D2830E3"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31/03/2026</w:t>
            </w:r>
          </w:p>
        </w:tc>
      </w:tr>
      <w:tr w:rsidR="009823CD" w14:paraId="42792767" w14:textId="77777777" w:rsidTr="00791820">
        <w:trPr>
          <w:trHeight w:val="315"/>
          <w:jc w:val="center"/>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451835" w14:textId="77777777" w:rsidR="009823CD" w:rsidRPr="001D0AC6" w:rsidRDefault="009823CD" w:rsidP="00523117">
            <w:pPr>
              <w:keepLines/>
              <w:widowControl w:val="0"/>
              <w:rPr>
                <w:rFonts w:ascii="Arial" w:hAnsi="Arial" w:cs="Arial"/>
                <w:b/>
              </w:rPr>
            </w:pPr>
          </w:p>
        </w:tc>
        <w:tc>
          <w:tcPr>
            <w:tcW w:w="1559" w:type="dxa"/>
            <w:tcBorders>
              <w:top w:val="nil"/>
              <w:left w:val="nil"/>
              <w:bottom w:val="single" w:sz="8" w:space="0" w:color="auto"/>
              <w:right w:val="single" w:sz="8" w:space="0" w:color="auto"/>
            </w:tcBorders>
            <w:shd w:val="clear" w:color="auto" w:fill="auto"/>
            <w:vAlign w:val="center"/>
            <w:hideMark/>
          </w:tcPr>
          <w:p w14:paraId="3B28769E" w14:textId="77777777" w:rsidR="00464FF7" w:rsidRDefault="009823CD" w:rsidP="00523117">
            <w:pPr>
              <w:keepLines/>
              <w:widowControl w:val="0"/>
              <w:jc w:val="center"/>
              <w:rPr>
                <w:rFonts w:ascii="Arial" w:hAnsi="Arial" w:cs="Arial"/>
                <w:b/>
              </w:rPr>
            </w:pPr>
            <w:r w:rsidRPr="001D0AC6">
              <w:rPr>
                <w:rFonts w:ascii="Arial" w:hAnsi="Arial" w:cs="Arial"/>
                <w:b/>
              </w:rPr>
              <w:t xml:space="preserve">Actual </w:t>
            </w:r>
          </w:p>
          <w:p w14:paraId="0EBE9F58" w14:textId="78B7B85B" w:rsidR="009823CD" w:rsidRPr="001D0AC6" w:rsidRDefault="009823CD" w:rsidP="00523117">
            <w:pPr>
              <w:keepLines/>
              <w:widowControl w:val="0"/>
              <w:jc w:val="center"/>
              <w:rPr>
                <w:rFonts w:ascii="Arial" w:hAnsi="Arial" w:cs="Arial"/>
                <w:b/>
              </w:rPr>
            </w:pPr>
            <w:r w:rsidRPr="001D0AC6">
              <w:rPr>
                <w:rFonts w:ascii="Arial" w:hAnsi="Arial" w:cs="Arial"/>
                <w:b/>
              </w:rPr>
              <w:t xml:space="preserve">£m </w:t>
            </w:r>
          </w:p>
        </w:tc>
        <w:tc>
          <w:tcPr>
            <w:tcW w:w="1549" w:type="dxa"/>
            <w:tcBorders>
              <w:top w:val="nil"/>
              <w:left w:val="nil"/>
              <w:bottom w:val="single" w:sz="8" w:space="0" w:color="auto"/>
              <w:right w:val="single" w:sz="8" w:space="0" w:color="auto"/>
            </w:tcBorders>
            <w:shd w:val="clear" w:color="auto" w:fill="auto"/>
            <w:vAlign w:val="center"/>
            <w:hideMark/>
          </w:tcPr>
          <w:p w14:paraId="41F3B0A3" w14:textId="77777777" w:rsidR="009823CD" w:rsidRPr="001D0AC6" w:rsidRDefault="009823CD" w:rsidP="00523117">
            <w:pPr>
              <w:keepLines/>
              <w:widowControl w:val="0"/>
              <w:jc w:val="center"/>
              <w:rPr>
                <w:rFonts w:ascii="Arial" w:hAnsi="Arial" w:cs="Arial"/>
                <w:b/>
              </w:rPr>
            </w:pPr>
            <w:r w:rsidRPr="001D0AC6">
              <w:rPr>
                <w:rFonts w:ascii="Arial" w:hAnsi="Arial" w:cs="Arial"/>
                <w:b/>
              </w:rPr>
              <w:t>Forecast £m</w:t>
            </w:r>
          </w:p>
        </w:tc>
        <w:tc>
          <w:tcPr>
            <w:tcW w:w="1868" w:type="dxa"/>
            <w:tcBorders>
              <w:top w:val="nil"/>
              <w:left w:val="nil"/>
              <w:bottom w:val="single" w:sz="8" w:space="0" w:color="auto"/>
              <w:right w:val="single" w:sz="8" w:space="0" w:color="auto"/>
            </w:tcBorders>
            <w:shd w:val="clear" w:color="auto" w:fill="auto"/>
            <w:vAlign w:val="center"/>
            <w:hideMark/>
          </w:tcPr>
          <w:p w14:paraId="38A4897A" w14:textId="77777777" w:rsidR="00464FF7" w:rsidRDefault="009823CD" w:rsidP="00523117">
            <w:pPr>
              <w:keepLines/>
              <w:widowControl w:val="0"/>
              <w:jc w:val="center"/>
              <w:rPr>
                <w:rFonts w:ascii="Arial" w:hAnsi="Arial" w:cs="Arial"/>
                <w:b/>
              </w:rPr>
            </w:pPr>
            <w:r w:rsidRPr="001D0AC6">
              <w:rPr>
                <w:rFonts w:ascii="Arial" w:hAnsi="Arial" w:cs="Arial"/>
                <w:b/>
              </w:rPr>
              <w:t>Forecast £</w:t>
            </w:r>
          </w:p>
          <w:p w14:paraId="3CCC2380" w14:textId="3E21FAEF" w:rsidR="009823CD" w:rsidRPr="001D0AC6" w:rsidRDefault="009823CD" w:rsidP="00523117">
            <w:pPr>
              <w:keepLines/>
              <w:widowControl w:val="0"/>
              <w:jc w:val="center"/>
              <w:rPr>
                <w:rFonts w:ascii="Arial" w:hAnsi="Arial" w:cs="Arial"/>
                <w:b/>
              </w:rPr>
            </w:pPr>
            <w:r w:rsidRPr="001D0AC6">
              <w:rPr>
                <w:rFonts w:ascii="Arial" w:hAnsi="Arial" w:cs="Arial"/>
                <w:b/>
              </w:rPr>
              <w:t>m</w:t>
            </w:r>
          </w:p>
        </w:tc>
        <w:tc>
          <w:tcPr>
            <w:tcW w:w="1868" w:type="dxa"/>
            <w:tcBorders>
              <w:top w:val="nil"/>
              <w:left w:val="nil"/>
              <w:bottom w:val="single" w:sz="8" w:space="0" w:color="auto"/>
              <w:right w:val="single" w:sz="8" w:space="0" w:color="auto"/>
            </w:tcBorders>
            <w:shd w:val="clear" w:color="auto" w:fill="auto"/>
            <w:vAlign w:val="center"/>
            <w:hideMark/>
          </w:tcPr>
          <w:p w14:paraId="745F5F33" w14:textId="77777777" w:rsidR="00464FF7" w:rsidRDefault="009823CD" w:rsidP="00523117">
            <w:pPr>
              <w:keepLines/>
              <w:widowControl w:val="0"/>
              <w:jc w:val="center"/>
              <w:rPr>
                <w:rFonts w:ascii="Arial" w:hAnsi="Arial" w:cs="Arial"/>
                <w:b/>
              </w:rPr>
            </w:pPr>
            <w:r w:rsidRPr="001D0AC6">
              <w:rPr>
                <w:rFonts w:ascii="Arial" w:hAnsi="Arial" w:cs="Arial"/>
                <w:b/>
              </w:rPr>
              <w:t>Forecast £</w:t>
            </w:r>
          </w:p>
          <w:p w14:paraId="7E7AA782" w14:textId="4C5BAF42" w:rsidR="009823CD" w:rsidRPr="001D0AC6" w:rsidRDefault="009823CD" w:rsidP="00523117">
            <w:pPr>
              <w:keepLines/>
              <w:widowControl w:val="0"/>
              <w:jc w:val="center"/>
              <w:rPr>
                <w:rFonts w:ascii="Arial" w:hAnsi="Arial" w:cs="Arial"/>
                <w:b/>
              </w:rPr>
            </w:pPr>
            <w:r w:rsidRPr="001D0AC6">
              <w:rPr>
                <w:rFonts w:ascii="Arial" w:hAnsi="Arial" w:cs="Arial"/>
                <w:b/>
              </w:rPr>
              <w:t>m</w:t>
            </w:r>
          </w:p>
        </w:tc>
      </w:tr>
      <w:tr w:rsidR="00DA5754" w14:paraId="7814EAFE"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CE979F4" w14:textId="1AFD9D6C" w:rsidR="00DA5754" w:rsidRPr="00003353" w:rsidRDefault="00DA5754" w:rsidP="00DA5754">
            <w:pPr>
              <w:keepLines/>
              <w:widowControl w:val="0"/>
              <w:rPr>
                <w:rFonts w:ascii="Arial" w:hAnsi="Arial" w:cs="Arial"/>
                <w:b/>
              </w:rPr>
            </w:pPr>
            <w:r w:rsidRPr="0088314B">
              <w:rPr>
                <w:rFonts w:ascii="Arial" w:hAnsi="Arial" w:cs="Arial"/>
                <w:b/>
                <w:bCs/>
              </w:rPr>
              <w:t xml:space="preserve">Loan </w:t>
            </w:r>
            <w:r w:rsidRPr="0088314B">
              <w:rPr>
                <w:rFonts w:ascii="Arial" w:hAnsi="Arial" w:cs="Arial"/>
                <w:b/>
              </w:rPr>
              <w:t>CFR</w:t>
            </w:r>
          </w:p>
        </w:tc>
        <w:tc>
          <w:tcPr>
            <w:tcW w:w="1559" w:type="dxa"/>
            <w:tcBorders>
              <w:top w:val="nil"/>
              <w:left w:val="nil"/>
              <w:bottom w:val="single" w:sz="8" w:space="0" w:color="auto"/>
              <w:right w:val="single" w:sz="8" w:space="0" w:color="auto"/>
            </w:tcBorders>
            <w:shd w:val="clear" w:color="auto" w:fill="auto"/>
            <w:vAlign w:val="center"/>
          </w:tcPr>
          <w:p w14:paraId="63F84FD1" w14:textId="1F8B6564" w:rsidR="00DA5754" w:rsidRPr="00003353" w:rsidRDefault="00DA5754" w:rsidP="00DA5754">
            <w:pPr>
              <w:keepLines/>
              <w:widowControl w:val="0"/>
              <w:jc w:val="right"/>
              <w:rPr>
                <w:rFonts w:ascii="Arial" w:hAnsi="Arial" w:cs="Arial"/>
                <w:b/>
              </w:rPr>
            </w:pPr>
            <w:r>
              <w:rPr>
                <w:rFonts w:ascii="Arial" w:hAnsi="Arial" w:cs="Arial"/>
                <w:color w:val="000000"/>
                <w:sz w:val="22"/>
                <w:szCs w:val="22"/>
              </w:rPr>
              <w:t>51.7</w:t>
            </w:r>
          </w:p>
        </w:tc>
        <w:tc>
          <w:tcPr>
            <w:tcW w:w="1549" w:type="dxa"/>
            <w:tcBorders>
              <w:top w:val="nil"/>
              <w:left w:val="nil"/>
              <w:bottom w:val="single" w:sz="8" w:space="0" w:color="auto"/>
              <w:right w:val="single" w:sz="8" w:space="0" w:color="auto"/>
            </w:tcBorders>
            <w:shd w:val="clear" w:color="auto" w:fill="auto"/>
            <w:vAlign w:val="center"/>
          </w:tcPr>
          <w:p w14:paraId="481AFE62" w14:textId="1CD246FF" w:rsidR="00DA5754" w:rsidRPr="00003353" w:rsidRDefault="00DA5754" w:rsidP="00DA5754">
            <w:pPr>
              <w:keepLines/>
              <w:widowControl w:val="0"/>
              <w:jc w:val="right"/>
              <w:rPr>
                <w:rFonts w:ascii="Arial" w:hAnsi="Arial" w:cs="Arial"/>
                <w:b/>
                <w:highlight w:val="yellow"/>
              </w:rPr>
            </w:pPr>
            <w:r>
              <w:rPr>
                <w:rFonts w:ascii="Arial" w:hAnsi="Arial" w:cs="Arial"/>
                <w:color w:val="000000"/>
                <w:sz w:val="22"/>
                <w:szCs w:val="22"/>
              </w:rPr>
              <w:t>50.1</w:t>
            </w:r>
          </w:p>
        </w:tc>
        <w:tc>
          <w:tcPr>
            <w:tcW w:w="1868" w:type="dxa"/>
            <w:tcBorders>
              <w:top w:val="nil"/>
              <w:left w:val="nil"/>
              <w:bottom w:val="single" w:sz="8" w:space="0" w:color="auto"/>
              <w:right w:val="single" w:sz="8" w:space="0" w:color="auto"/>
            </w:tcBorders>
            <w:shd w:val="clear" w:color="auto" w:fill="auto"/>
            <w:vAlign w:val="center"/>
          </w:tcPr>
          <w:p w14:paraId="4E9DE04D" w14:textId="26FBA0B7" w:rsidR="00DA5754" w:rsidRPr="00003353" w:rsidRDefault="00DA5754" w:rsidP="00DA5754">
            <w:pPr>
              <w:keepLines/>
              <w:widowControl w:val="0"/>
              <w:jc w:val="right"/>
              <w:rPr>
                <w:rFonts w:ascii="Arial" w:hAnsi="Arial" w:cs="Arial"/>
                <w:b/>
                <w:highlight w:val="yellow"/>
              </w:rPr>
            </w:pPr>
            <w:r>
              <w:rPr>
                <w:rFonts w:ascii="Arial" w:hAnsi="Arial" w:cs="Arial"/>
                <w:color w:val="000000"/>
                <w:sz w:val="22"/>
                <w:szCs w:val="22"/>
              </w:rPr>
              <w:t>48.4</w:t>
            </w:r>
          </w:p>
        </w:tc>
        <w:tc>
          <w:tcPr>
            <w:tcW w:w="1868" w:type="dxa"/>
            <w:tcBorders>
              <w:top w:val="nil"/>
              <w:left w:val="nil"/>
              <w:bottom w:val="single" w:sz="8" w:space="0" w:color="auto"/>
              <w:right w:val="single" w:sz="8" w:space="0" w:color="auto"/>
            </w:tcBorders>
            <w:shd w:val="clear" w:color="auto" w:fill="auto"/>
            <w:vAlign w:val="center"/>
          </w:tcPr>
          <w:p w14:paraId="19B2B6A1" w14:textId="2F03C0AF" w:rsidR="00DA5754" w:rsidRPr="00003353" w:rsidRDefault="00DA5754" w:rsidP="00DA5754">
            <w:pPr>
              <w:keepLines/>
              <w:widowControl w:val="0"/>
              <w:jc w:val="right"/>
              <w:rPr>
                <w:rFonts w:ascii="Arial" w:hAnsi="Arial" w:cs="Arial"/>
                <w:b/>
                <w:highlight w:val="yellow"/>
              </w:rPr>
            </w:pPr>
            <w:r>
              <w:rPr>
                <w:rFonts w:ascii="Arial" w:hAnsi="Arial" w:cs="Arial"/>
                <w:color w:val="000000"/>
                <w:sz w:val="22"/>
                <w:szCs w:val="22"/>
              </w:rPr>
              <w:t>46.7</w:t>
            </w:r>
          </w:p>
        </w:tc>
      </w:tr>
      <w:tr w:rsidR="00DA5754" w14:paraId="43E16285"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5880E6E" w14:textId="77777777" w:rsidR="00DA5754" w:rsidRPr="000C24C2" w:rsidRDefault="00DA5754" w:rsidP="00DA5754">
            <w:pPr>
              <w:keepLines/>
              <w:widowControl w:val="0"/>
              <w:rPr>
                <w:rFonts w:ascii="Arial" w:hAnsi="Arial" w:cs="Arial"/>
                <w:bCs/>
              </w:rPr>
            </w:pPr>
            <w:r w:rsidRPr="000C24C2">
              <w:rPr>
                <w:rFonts w:ascii="Arial" w:hAnsi="Arial" w:cs="Arial"/>
                <w:bCs/>
              </w:rPr>
              <w:t>Less: Balance sheet resources</w:t>
            </w:r>
          </w:p>
        </w:tc>
        <w:tc>
          <w:tcPr>
            <w:tcW w:w="1559" w:type="dxa"/>
            <w:tcBorders>
              <w:top w:val="nil"/>
              <w:left w:val="nil"/>
              <w:bottom w:val="single" w:sz="8" w:space="0" w:color="auto"/>
              <w:right w:val="single" w:sz="8" w:space="0" w:color="auto"/>
            </w:tcBorders>
            <w:shd w:val="clear" w:color="auto" w:fill="auto"/>
            <w:vAlign w:val="center"/>
          </w:tcPr>
          <w:p w14:paraId="5F9E6B0D" w14:textId="6AE76AC7"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(131.2)</w:t>
            </w:r>
          </w:p>
        </w:tc>
        <w:tc>
          <w:tcPr>
            <w:tcW w:w="1549" w:type="dxa"/>
            <w:tcBorders>
              <w:top w:val="nil"/>
              <w:left w:val="nil"/>
              <w:bottom w:val="single" w:sz="8" w:space="0" w:color="auto"/>
              <w:right w:val="single" w:sz="8" w:space="0" w:color="auto"/>
            </w:tcBorders>
            <w:shd w:val="clear" w:color="auto" w:fill="auto"/>
            <w:vAlign w:val="center"/>
          </w:tcPr>
          <w:p w14:paraId="5B7DAA70" w14:textId="6D683F4D"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(130.5)</w:t>
            </w:r>
          </w:p>
        </w:tc>
        <w:tc>
          <w:tcPr>
            <w:tcW w:w="1868" w:type="dxa"/>
            <w:tcBorders>
              <w:top w:val="nil"/>
              <w:left w:val="nil"/>
              <w:bottom w:val="single" w:sz="8" w:space="0" w:color="auto"/>
              <w:right w:val="single" w:sz="8" w:space="0" w:color="auto"/>
            </w:tcBorders>
            <w:shd w:val="clear" w:color="auto" w:fill="auto"/>
            <w:vAlign w:val="center"/>
          </w:tcPr>
          <w:p w14:paraId="7F0066EC" w14:textId="16731844"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(109.0)</w:t>
            </w:r>
          </w:p>
        </w:tc>
        <w:tc>
          <w:tcPr>
            <w:tcW w:w="1868" w:type="dxa"/>
            <w:tcBorders>
              <w:top w:val="nil"/>
              <w:left w:val="nil"/>
              <w:bottom w:val="single" w:sz="8" w:space="0" w:color="auto"/>
              <w:right w:val="single" w:sz="8" w:space="0" w:color="auto"/>
            </w:tcBorders>
            <w:shd w:val="clear" w:color="auto" w:fill="auto"/>
            <w:vAlign w:val="center"/>
          </w:tcPr>
          <w:p w14:paraId="4D795C93" w14:textId="28B184B0" w:rsidR="00DA5754" w:rsidRPr="001D0AC6" w:rsidRDefault="00DA5754" w:rsidP="00DA5754">
            <w:pPr>
              <w:keepLines/>
              <w:widowControl w:val="0"/>
              <w:jc w:val="right"/>
              <w:rPr>
                <w:rFonts w:ascii="Arial" w:hAnsi="Arial" w:cs="Arial"/>
                <w:bCs/>
              </w:rPr>
            </w:pPr>
            <w:r>
              <w:rPr>
                <w:rFonts w:ascii="Arial" w:hAnsi="Arial" w:cs="Arial"/>
                <w:color w:val="000000"/>
                <w:sz w:val="22"/>
                <w:szCs w:val="22"/>
              </w:rPr>
              <w:t>(84.2)</w:t>
            </w:r>
          </w:p>
        </w:tc>
      </w:tr>
      <w:tr w:rsidR="00DA5754" w:rsidRPr="000C24C2" w14:paraId="6FD11F2A"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88D7078" w14:textId="77777777" w:rsidR="00DA5754" w:rsidRPr="001D0AC6" w:rsidRDefault="00DA5754" w:rsidP="00DA5754">
            <w:pPr>
              <w:keepLines/>
              <w:widowControl w:val="0"/>
              <w:rPr>
                <w:rFonts w:ascii="Arial" w:hAnsi="Arial" w:cs="Arial"/>
                <w:b/>
              </w:rPr>
            </w:pPr>
            <w:r w:rsidRPr="001D0AC6">
              <w:rPr>
                <w:rFonts w:ascii="Arial" w:hAnsi="Arial" w:cs="Arial"/>
                <w:b/>
              </w:rPr>
              <w:t>Net loans requirement</w:t>
            </w:r>
          </w:p>
        </w:tc>
        <w:tc>
          <w:tcPr>
            <w:tcW w:w="1559" w:type="dxa"/>
            <w:tcBorders>
              <w:top w:val="nil"/>
              <w:left w:val="nil"/>
              <w:bottom w:val="single" w:sz="8" w:space="0" w:color="auto"/>
              <w:right w:val="single" w:sz="8" w:space="0" w:color="auto"/>
            </w:tcBorders>
            <w:shd w:val="clear" w:color="auto" w:fill="auto"/>
            <w:vAlign w:val="center"/>
          </w:tcPr>
          <w:p w14:paraId="25207181" w14:textId="649DA481"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(79.5)</w:t>
            </w:r>
          </w:p>
        </w:tc>
        <w:tc>
          <w:tcPr>
            <w:tcW w:w="1549" w:type="dxa"/>
            <w:tcBorders>
              <w:top w:val="nil"/>
              <w:left w:val="nil"/>
              <w:bottom w:val="single" w:sz="8" w:space="0" w:color="auto"/>
              <w:right w:val="single" w:sz="8" w:space="0" w:color="auto"/>
            </w:tcBorders>
            <w:shd w:val="clear" w:color="auto" w:fill="auto"/>
            <w:vAlign w:val="center"/>
          </w:tcPr>
          <w:p w14:paraId="68AF2765" w14:textId="6C6EEC1C"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(80.4)</w:t>
            </w:r>
          </w:p>
        </w:tc>
        <w:tc>
          <w:tcPr>
            <w:tcW w:w="1868" w:type="dxa"/>
            <w:tcBorders>
              <w:top w:val="nil"/>
              <w:left w:val="nil"/>
              <w:bottom w:val="single" w:sz="8" w:space="0" w:color="auto"/>
              <w:right w:val="single" w:sz="8" w:space="0" w:color="auto"/>
            </w:tcBorders>
            <w:shd w:val="clear" w:color="auto" w:fill="auto"/>
            <w:vAlign w:val="center"/>
          </w:tcPr>
          <w:p w14:paraId="22873D1D" w14:textId="07490690"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(60.6)</w:t>
            </w:r>
          </w:p>
        </w:tc>
        <w:tc>
          <w:tcPr>
            <w:tcW w:w="1868" w:type="dxa"/>
            <w:tcBorders>
              <w:top w:val="nil"/>
              <w:left w:val="nil"/>
              <w:bottom w:val="single" w:sz="8" w:space="0" w:color="auto"/>
              <w:right w:val="single" w:sz="8" w:space="0" w:color="auto"/>
            </w:tcBorders>
            <w:shd w:val="clear" w:color="auto" w:fill="auto"/>
            <w:vAlign w:val="center"/>
          </w:tcPr>
          <w:p w14:paraId="394038D5" w14:textId="50CAEF25"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(37.5)</w:t>
            </w:r>
          </w:p>
        </w:tc>
      </w:tr>
      <w:tr w:rsidR="00DA5754" w14:paraId="4D32C69A"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4A57BA7" w14:textId="77777777" w:rsidR="00DA5754" w:rsidRPr="000C24C2" w:rsidRDefault="00DA5754" w:rsidP="00DA5754">
            <w:pPr>
              <w:keepLines/>
              <w:widowControl w:val="0"/>
              <w:rPr>
                <w:rFonts w:ascii="Arial" w:hAnsi="Arial" w:cs="Arial"/>
                <w:bCs/>
              </w:rPr>
            </w:pPr>
            <w:r w:rsidRPr="000C24C2">
              <w:rPr>
                <w:rFonts w:ascii="Arial" w:hAnsi="Arial" w:cs="Arial"/>
                <w:bCs/>
              </w:rPr>
              <w:t>Plus: Liquidity allowance</w:t>
            </w:r>
          </w:p>
        </w:tc>
        <w:tc>
          <w:tcPr>
            <w:tcW w:w="1559" w:type="dxa"/>
            <w:tcBorders>
              <w:top w:val="nil"/>
              <w:left w:val="nil"/>
              <w:bottom w:val="single" w:sz="8" w:space="0" w:color="auto"/>
              <w:right w:val="single" w:sz="8" w:space="0" w:color="auto"/>
            </w:tcBorders>
            <w:shd w:val="clear" w:color="auto" w:fill="auto"/>
            <w:vAlign w:val="center"/>
          </w:tcPr>
          <w:p w14:paraId="1B859701" w14:textId="31B54D31"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10.0</w:t>
            </w:r>
          </w:p>
        </w:tc>
        <w:tc>
          <w:tcPr>
            <w:tcW w:w="1549" w:type="dxa"/>
            <w:tcBorders>
              <w:top w:val="nil"/>
              <w:left w:val="nil"/>
              <w:bottom w:val="single" w:sz="8" w:space="0" w:color="auto"/>
              <w:right w:val="single" w:sz="8" w:space="0" w:color="auto"/>
            </w:tcBorders>
            <w:shd w:val="clear" w:color="auto" w:fill="auto"/>
            <w:vAlign w:val="center"/>
          </w:tcPr>
          <w:p w14:paraId="6EFEB2F7" w14:textId="429242AB" w:rsidR="00DA5754" w:rsidRPr="001F3412" w:rsidRDefault="00DA5754" w:rsidP="00DA5754">
            <w:pPr>
              <w:keepLines/>
              <w:widowControl w:val="0"/>
              <w:jc w:val="right"/>
              <w:rPr>
                <w:rFonts w:ascii="Arial" w:hAnsi="Arial" w:cs="Arial"/>
              </w:rPr>
            </w:pPr>
            <w:r>
              <w:rPr>
                <w:rFonts w:ascii="Arial" w:hAnsi="Arial" w:cs="Arial"/>
                <w:color w:val="000000"/>
                <w:sz w:val="22"/>
                <w:szCs w:val="22"/>
              </w:rPr>
              <w:t>10.0</w:t>
            </w:r>
          </w:p>
        </w:tc>
        <w:tc>
          <w:tcPr>
            <w:tcW w:w="1868" w:type="dxa"/>
            <w:tcBorders>
              <w:top w:val="nil"/>
              <w:left w:val="nil"/>
              <w:bottom w:val="single" w:sz="8" w:space="0" w:color="auto"/>
              <w:right w:val="single" w:sz="8" w:space="0" w:color="auto"/>
            </w:tcBorders>
            <w:shd w:val="clear" w:color="auto" w:fill="auto"/>
            <w:vAlign w:val="center"/>
          </w:tcPr>
          <w:p w14:paraId="3C249103" w14:textId="2A52C5D2"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10.0</w:t>
            </w:r>
          </w:p>
        </w:tc>
        <w:tc>
          <w:tcPr>
            <w:tcW w:w="1868" w:type="dxa"/>
            <w:tcBorders>
              <w:top w:val="nil"/>
              <w:left w:val="nil"/>
              <w:bottom w:val="single" w:sz="8" w:space="0" w:color="auto"/>
              <w:right w:val="single" w:sz="8" w:space="0" w:color="auto"/>
            </w:tcBorders>
            <w:shd w:val="clear" w:color="auto" w:fill="auto"/>
            <w:vAlign w:val="center"/>
          </w:tcPr>
          <w:p w14:paraId="61DBED7D" w14:textId="5A8F844E" w:rsidR="00DA5754" w:rsidRPr="001D0AC6" w:rsidRDefault="00DA5754" w:rsidP="00DA5754">
            <w:pPr>
              <w:keepLines/>
              <w:widowControl w:val="0"/>
              <w:jc w:val="right"/>
              <w:rPr>
                <w:rFonts w:ascii="Arial" w:hAnsi="Arial" w:cs="Arial"/>
                <w:bCs/>
              </w:rPr>
            </w:pPr>
            <w:r>
              <w:rPr>
                <w:rFonts w:ascii="Arial" w:hAnsi="Arial" w:cs="Arial"/>
                <w:color w:val="000000"/>
                <w:sz w:val="22"/>
                <w:szCs w:val="22"/>
              </w:rPr>
              <w:t>10.0</w:t>
            </w:r>
          </w:p>
        </w:tc>
      </w:tr>
      <w:tr w:rsidR="00DA5754" w14:paraId="2BF1FEB2"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FF9D4E4" w14:textId="77777777" w:rsidR="00DA5754" w:rsidRPr="001D0AC6" w:rsidRDefault="00DA5754" w:rsidP="00DA5754">
            <w:pPr>
              <w:keepLines/>
              <w:widowControl w:val="0"/>
              <w:rPr>
                <w:rFonts w:ascii="Arial" w:hAnsi="Arial" w:cs="Arial"/>
                <w:b/>
              </w:rPr>
            </w:pPr>
            <w:r w:rsidRPr="001D0AC6">
              <w:rPr>
                <w:rFonts w:ascii="Arial" w:hAnsi="Arial" w:cs="Arial"/>
                <w:b/>
              </w:rPr>
              <w:t>Liability benchmark</w:t>
            </w:r>
          </w:p>
        </w:tc>
        <w:tc>
          <w:tcPr>
            <w:tcW w:w="1559" w:type="dxa"/>
            <w:tcBorders>
              <w:top w:val="nil"/>
              <w:left w:val="nil"/>
              <w:bottom w:val="single" w:sz="8" w:space="0" w:color="auto"/>
              <w:right w:val="single" w:sz="8" w:space="0" w:color="auto"/>
            </w:tcBorders>
            <w:shd w:val="clear" w:color="auto" w:fill="auto"/>
            <w:vAlign w:val="center"/>
          </w:tcPr>
          <w:p w14:paraId="1E690B97" w14:textId="2AA74EB1"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(69.5)</w:t>
            </w:r>
          </w:p>
        </w:tc>
        <w:tc>
          <w:tcPr>
            <w:tcW w:w="1549" w:type="dxa"/>
            <w:tcBorders>
              <w:top w:val="nil"/>
              <w:left w:val="nil"/>
              <w:bottom w:val="single" w:sz="8" w:space="0" w:color="auto"/>
              <w:right w:val="single" w:sz="8" w:space="0" w:color="auto"/>
            </w:tcBorders>
            <w:shd w:val="clear" w:color="auto" w:fill="auto"/>
            <w:vAlign w:val="center"/>
          </w:tcPr>
          <w:p w14:paraId="3EEE74C0" w14:textId="50F69732"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(70.4)</w:t>
            </w:r>
          </w:p>
        </w:tc>
        <w:tc>
          <w:tcPr>
            <w:tcW w:w="1868" w:type="dxa"/>
            <w:tcBorders>
              <w:top w:val="nil"/>
              <w:left w:val="nil"/>
              <w:bottom w:val="single" w:sz="8" w:space="0" w:color="auto"/>
              <w:right w:val="single" w:sz="8" w:space="0" w:color="auto"/>
            </w:tcBorders>
            <w:shd w:val="clear" w:color="auto" w:fill="auto"/>
            <w:vAlign w:val="center"/>
          </w:tcPr>
          <w:p w14:paraId="5D01BBDF" w14:textId="347B86CC"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(50.6)</w:t>
            </w:r>
          </w:p>
        </w:tc>
        <w:tc>
          <w:tcPr>
            <w:tcW w:w="1868" w:type="dxa"/>
            <w:tcBorders>
              <w:top w:val="nil"/>
              <w:left w:val="nil"/>
              <w:bottom w:val="single" w:sz="8" w:space="0" w:color="auto"/>
              <w:right w:val="single" w:sz="8" w:space="0" w:color="auto"/>
            </w:tcBorders>
            <w:shd w:val="clear" w:color="auto" w:fill="auto"/>
            <w:vAlign w:val="center"/>
          </w:tcPr>
          <w:p w14:paraId="269136DA" w14:textId="26C067B9"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(27.5)</w:t>
            </w:r>
          </w:p>
        </w:tc>
      </w:tr>
      <w:tr w:rsidR="00DA5754" w14:paraId="6674A061" w14:textId="77777777" w:rsidTr="00791820">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DC4C0A9" w14:textId="77777777" w:rsidR="00DA5754" w:rsidRPr="001D0AC6" w:rsidRDefault="00DA5754" w:rsidP="00DA5754">
            <w:pPr>
              <w:keepLines/>
              <w:widowControl w:val="0"/>
              <w:rPr>
                <w:rFonts w:ascii="Arial" w:hAnsi="Arial" w:cs="Arial"/>
                <w:b/>
              </w:rPr>
            </w:pPr>
            <w:r w:rsidRPr="001D0AC6">
              <w:rPr>
                <w:rFonts w:ascii="Arial" w:hAnsi="Arial" w:cs="Arial"/>
                <w:b/>
              </w:rPr>
              <w:t>Existing borrowing</w:t>
            </w:r>
          </w:p>
        </w:tc>
        <w:tc>
          <w:tcPr>
            <w:tcW w:w="1559" w:type="dxa"/>
            <w:tcBorders>
              <w:top w:val="nil"/>
              <w:left w:val="nil"/>
              <w:bottom w:val="single" w:sz="8" w:space="0" w:color="auto"/>
              <w:right w:val="single" w:sz="8" w:space="0" w:color="auto"/>
            </w:tcBorders>
            <w:shd w:val="clear" w:color="auto" w:fill="auto"/>
            <w:vAlign w:val="center"/>
          </w:tcPr>
          <w:p w14:paraId="002016F9" w14:textId="01420182"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29.9</w:t>
            </w:r>
          </w:p>
        </w:tc>
        <w:tc>
          <w:tcPr>
            <w:tcW w:w="1549" w:type="dxa"/>
            <w:tcBorders>
              <w:top w:val="nil"/>
              <w:left w:val="nil"/>
              <w:bottom w:val="single" w:sz="8" w:space="0" w:color="auto"/>
              <w:right w:val="single" w:sz="8" w:space="0" w:color="auto"/>
            </w:tcBorders>
            <w:shd w:val="clear" w:color="auto" w:fill="auto"/>
            <w:vAlign w:val="center"/>
          </w:tcPr>
          <w:p w14:paraId="6A1E006F" w14:textId="35922F2A"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19.4</w:t>
            </w:r>
          </w:p>
        </w:tc>
        <w:tc>
          <w:tcPr>
            <w:tcW w:w="1868" w:type="dxa"/>
            <w:tcBorders>
              <w:top w:val="nil"/>
              <w:left w:val="nil"/>
              <w:bottom w:val="single" w:sz="8" w:space="0" w:color="auto"/>
              <w:right w:val="single" w:sz="8" w:space="0" w:color="auto"/>
            </w:tcBorders>
            <w:shd w:val="clear" w:color="auto" w:fill="auto"/>
            <w:vAlign w:val="center"/>
          </w:tcPr>
          <w:p w14:paraId="1C038216" w14:textId="55A98C81"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19.0</w:t>
            </w:r>
          </w:p>
        </w:tc>
        <w:tc>
          <w:tcPr>
            <w:tcW w:w="1868" w:type="dxa"/>
            <w:tcBorders>
              <w:top w:val="nil"/>
              <w:left w:val="nil"/>
              <w:bottom w:val="single" w:sz="8" w:space="0" w:color="auto"/>
              <w:right w:val="single" w:sz="8" w:space="0" w:color="auto"/>
            </w:tcBorders>
            <w:shd w:val="clear" w:color="auto" w:fill="auto"/>
            <w:vAlign w:val="center"/>
          </w:tcPr>
          <w:p w14:paraId="4DA24D19" w14:textId="1FBFC636" w:rsidR="00DA5754" w:rsidRPr="000C24C2" w:rsidRDefault="00DA5754" w:rsidP="00DA5754">
            <w:pPr>
              <w:keepLines/>
              <w:widowControl w:val="0"/>
              <w:jc w:val="right"/>
              <w:rPr>
                <w:rFonts w:ascii="Arial" w:hAnsi="Arial" w:cs="Arial"/>
                <w:b/>
              </w:rPr>
            </w:pPr>
            <w:r>
              <w:rPr>
                <w:rFonts w:ascii="Arial" w:hAnsi="Arial" w:cs="Arial"/>
                <w:b/>
                <w:bCs/>
                <w:color w:val="000000"/>
                <w:sz w:val="22"/>
                <w:szCs w:val="22"/>
              </w:rPr>
              <w:t>19.0</w:t>
            </w:r>
          </w:p>
        </w:tc>
      </w:tr>
    </w:tbl>
    <w:p w14:paraId="7FF58463" w14:textId="77777777" w:rsidR="00504874" w:rsidRDefault="00504874" w:rsidP="009823CD">
      <w:pPr>
        <w:spacing w:after="240"/>
        <w:jc w:val="center"/>
        <w:rPr>
          <w:rFonts w:ascii="Arial" w:hAnsi="Arial" w:cs="Arial"/>
        </w:rPr>
      </w:pPr>
    </w:p>
    <w:p w14:paraId="5187666A" w14:textId="77777777" w:rsidR="00666A18" w:rsidRDefault="00666A18" w:rsidP="00465BE4">
      <w:pPr>
        <w:pStyle w:val="ListParagraph"/>
        <w:tabs>
          <w:tab w:val="left" w:pos="709"/>
          <w:tab w:val="left" w:pos="1980"/>
          <w:tab w:val="left" w:pos="2520"/>
        </w:tabs>
        <w:spacing w:after="400"/>
        <w:outlineLvl w:val="0"/>
        <w:rPr>
          <w:rFonts w:ascii="Arial" w:hAnsi="Arial" w:cs="Arial"/>
          <w:b/>
          <w:bCs/>
          <w:sz w:val="22"/>
          <w:szCs w:val="22"/>
        </w:rPr>
      </w:pPr>
      <w:r>
        <w:rPr>
          <w:rFonts w:ascii="Arial" w:hAnsi="Arial" w:cs="Arial"/>
          <w:b/>
          <w:bCs/>
          <w:sz w:val="22"/>
          <w:szCs w:val="22"/>
        </w:rPr>
        <w:br w:type="page"/>
      </w:r>
    </w:p>
    <w:p w14:paraId="24C5A969" w14:textId="0F51D5E5" w:rsidR="00465BE4" w:rsidRDefault="00465BE4" w:rsidP="00465BE4">
      <w:pPr>
        <w:pStyle w:val="ListParagraph"/>
        <w:tabs>
          <w:tab w:val="left" w:pos="709"/>
          <w:tab w:val="left" w:pos="1980"/>
          <w:tab w:val="left" w:pos="2520"/>
        </w:tabs>
        <w:spacing w:after="400"/>
        <w:outlineLvl w:val="0"/>
        <w:rPr>
          <w:rFonts w:ascii="Arial" w:hAnsi="Arial" w:cs="Arial"/>
          <w:noProof/>
        </w:rPr>
      </w:pPr>
      <w:r w:rsidRPr="00465BE4">
        <w:rPr>
          <w:rFonts w:ascii="Arial" w:hAnsi="Arial" w:cs="Arial"/>
          <w:b/>
          <w:bCs/>
          <w:sz w:val="22"/>
          <w:szCs w:val="22"/>
        </w:rPr>
        <w:lastRenderedPageBreak/>
        <w:t>Graph 1: Liability Benchmark – Hampshire Police &amp; Crime Commissioner</w:t>
      </w:r>
    </w:p>
    <w:p w14:paraId="378C252B" w14:textId="4FA5C00E" w:rsidR="009823CD" w:rsidRDefault="00523117" w:rsidP="003129C2">
      <w:pPr>
        <w:pStyle w:val="ListParagraph"/>
        <w:tabs>
          <w:tab w:val="left" w:pos="709"/>
          <w:tab w:val="left" w:pos="1980"/>
          <w:tab w:val="left" w:pos="2520"/>
        </w:tabs>
        <w:spacing w:after="400"/>
        <w:jc w:val="both"/>
        <w:outlineLvl w:val="0"/>
        <w:rPr>
          <w:rFonts w:ascii="Arial" w:hAnsi="Arial" w:cs="Arial"/>
        </w:rPr>
      </w:pPr>
      <w:r>
        <w:rPr>
          <w:rFonts w:ascii="Arial" w:hAnsi="Arial" w:cs="Arial"/>
          <w:noProof/>
        </w:rPr>
        <w:drawing>
          <wp:inline distT="0" distB="0" distL="0" distR="0" wp14:anchorId="60FC086C" wp14:editId="42D5A2A3">
            <wp:extent cx="4094773" cy="29718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8806" cy="2989242"/>
                    </a:xfrm>
                    <a:prstGeom prst="rect">
                      <a:avLst/>
                    </a:prstGeom>
                    <a:noFill/>
                  </pic:spPr>
                </pic:pic>
              </a:graphicData>
            </a:graphic>
          </wp:inline>
        </w:drawing>
      </w:r>
    </w:p>
    <w:p w14:paraId="60C3F2E8" w14:textId="242F8D62" w:rsidR="009823CD" w:rsidRDefault="00815A69" w:rsidP="003C3808">
      <w:pPr>
        <w:pStyle w:val="ListParagraph"/>
        <w:numPr>
          <w:ilvl w:val="1"/>
          <w:numId w:val="2"/>
        </w:numPr>
        <w:spacing w:after="240"/>
        <w:ind w:left="720" w:hanging="720"/>
        <w:rPr>
          <w:rFonts w:ascii="Arial" w:hAnsi="Arial" w:cs="Arial"/>
        </w:rPr>
      </w:pPr>
      <w:r>
        <w:rPr>
          <w:rFonts w:ascii="Arial" w:hAnsi="Arial" w:cs="Arial"/>
        </w:rPr>
        <w:t>The PCC is a net investor</w:t>
      </w:r>
      <w:r w:rsidR="000A26B5">
        <w:rPr>
          <w:rFonts w:ascii="Arial" w:hAnsi="Arial" w:cs="Arial"/>
        </w:rPr>
        <w:t>,</w:t>
      </w:r>
      <w:r>
        <w:rPr>
          <w:rFonts w:ascii="Arial" w:hAnsi="Arial" w:cs="Arial"/>
        </w:rPr>
        <w:t xml:space="preserve"> and as the above table and graph show,</w:t>
      </w:r>
      <w:r w:rsidR="007A5DE7">
        <w:rPr>
          <w:rFonts w:ascii="Arial" w:hAnsi="Arial" w:cs="Arial"/>
        </w:rPr>
        <w:t xml:space="preserve"> </w:t>
      </w:r>
      <w:r>
        <w:rPr>
          <w:rFonts w:ascii="Arial" w:hAnsi="Arial" w:cs="Arial"/>
        </w:rPr>
        <w:t xml:space="preserve">expects a negative liability benchmark across the forecast period (demonstrated by no visible liability benchmark </w:t>
      </w:r>
      <w:r w:rsidR="00FA2E73">
        <w:rPr>
          <w:rFonts w:ascii="Arial" w:hAnsi="Arial" w:cs="Arial"/>
        </w:rPr>
        <w:t xml:space="preserve">line </w:t>
      </w:r>
      <w:r w:rsidR="001739AA">
        <w:rPr>
          <w:rFonts w:ascii="Arial" w:hAnsi="Arial" w:cs="Arial"/>
        </w:rPr>
        <w:t>on the graph until into 2026)</w:t>
      </w:r>
      <w:r>
        <w:rPr>
          <w:rFonts w:ascii="Arial" w:hAnsi="Arial" w:cs="Arial"/>
        </w:rPr>
        <w:t>, meaning that there is no requirement to borrow</w:t>
      </w:r>
      <w:r w:rsidR="00AC3C37">
        <w:rPr>
          <w:rFonts w:ascii="Arial" w:hAnsi="Arial" w:cs="Arial"/>
        </w:rPr>
        <w:t xml:space="preserve"> for the </w:t>
      </w:r>
      <w:r w:rsidR="0048496C">
        <w:rPr>
          <w:rFonts w:ascii="Arial" w:hAnsi="Arial" w:cs="Arial"/>
        </w:rPr>
        <w:t>medium term</w:t>
      </w:r>
      <w:r w:rsidR="00AC3C37">
        <w:rPr>
          <w:rFonts w:ascii="Arial" w:hAnsi="Arial" w:cs="Arial"/>
        </w:rPr>
        <w:t xml:space="preserve">. </w:t>
      </w:r>
      <w:r w:rsidR="00066454">
        <w:rPr>
          <w:rStyle w:val="normaltextrun"/>
          <w:rFonts w:ascii="Arial" w:hAnsi="Arial" w:cs="Arial"/>
          <w:color w:val="000000"/>
          <w:shd w:val="clear" w:color="auto" w:fill="FFFFFF"/>
        </w:rPr>
        <w:t xml:space="preserve">The need to take out new external borrowing, should it arise, will be considered by the </w:t>
      </w:r>
      <w:r w:rsidR="00797ED5">
        <w:rPr>
          <w:rStyle w:val="normaltextrun"/>
          <w:rFonts w:ascii="Arial" w:hAnsi="Arial" w:cs="Arial"/>
          <w:color w:val="000000"/>
          <w:shd w:val="clear" w:color="auto" w:fill="FFFFFF"/>
        </w:rPr>
        <w:t xml:space="preserve">PCC CFO </w:t>
      </w:r>
      <w:r w:rsidR="00066454">
        <w:rPr>
          <w:rStyle w:val="normaltextrun"/>
          <w:rFonts w:ascii="Arial" w:hAnsi="Arial" w:cs="Arial"/>
          <w:color w:val="000000"/>
          <w:shd w:val="clear" w:color="auto" w:fill="FFFFFF"/>
        </w:rPr>
        <w:t>to ensure it is undertaken at the most appropriate time</w:t>
      </w:r>
      <w:r w:rsidR="00D82BF0">
        <w:rPr>
          <w:rStyle w:val="normaltextrun"/>
          <w:rFonts w:ascii="Arial" w:hAnsi="Arial" w:cs="Arial"/>
          <w:color w:val="000000"/>
          <w:shd w:val="clear" w:color="auto" w:fill="FFFFFF"/>
        </w:rPr>
        <w:t>, if it delivers its full capital programme as plan</w:t>
      </w:r>
      <w:r w:rsidR="000A26B5">
        <w:rPr>
          <w:rStyle w:val="normaltextrun"/>
          <w:rFonts w:ascii="Arial" w:hAnsi="Arial" w:cs="Arial"/>
          <w:color w:val="000000"/>
          <w:shd w:val="clear" w:color="auto" w:fill="FFFFFF"/>
        </w:rPr>
        <w:t>n</w:t>
      </w:r>
      <w:r w:rsidR="00D82BF0">
        <w:rPr>
          <w:rStyle w:val="normaltextrun"/>
          <w:rFonts w:ascii="Arial" w:hAnsi="Arial" w:cs="Arial"/>
          <w:color w:val="000000"/>
          <w:shd w:val="clear" w:color="auto" w:fill="FFFFFF"/>
        </w:rPr>
        <w:t>ed</w:t>
      </w:r>
      <w:r w:rsidR="00066454">
        <w:rPr>
          <w:rStyle w:val="normaltextrun"/>
          <w:rFonts w:ascii="Arial" w:hAnsi="Arial" w:cs="Arial"/>
          <w:color w:val="000000"/>
          <w:shd w:val="clear" w:color="auto" w:fill="FFFFFF"/>
        </w:rPr>
        <w:t>.</w:t>
      </w:r>
    </w:p>
    <w:p w14:paraId="24588086" w14:textId="3FB55A73" w:rsidR="00365448" w:rsidRPr="005C38BC" w:rsidRDefault="00365448" w:rsidP="00365448">
      <w:pPr>
        <w:pStyle w:val="ListParagraph"/>
        <w:spacing w:after="240"/>
        <w:rPr>
          <w:rFonts w:ascii="Arial" w:hAnsi="Arial" w:cs="Arial"/>
          <w:b/>
        </w:rPr>
      </w:pPr>
      <w:r w:rsidRPr="005C38BC">
        <w:rPr>
          <w:rFonts w:ascii="Arial" w:hAnsi="Arial" w:cs="Arial"/>
          <w:b/>
        </w:rPr>
        <w:t xml:space="preserve">Maturity </w:t>
      </w:r>
      <w:r w:rsidR="004F69A4" w:rsidRPr="005C38BC">
        <w:rPr>
          <w:rFonts w:ascii="Arial" w:hAnsi="Arial" w:cs="Arial"/>
          <w:b/>
        </w:rPr>
        <w:t>s</w:t>
      </w:r>
      <w:r w:rsidRPr="005C38BC">
        <w:rPr>
          <w:rFonts w:ascii="Arial" w:hAnsi="Arial" w:cs="Arial"/>
          <w:b/>
        </w:rPr>
        <w:t xml:space="preserve">tructure of </w:t>
      </w:r>
      <w:r w:rsidR="004F69A4" w:rsidRPr="005C38BC">
        <w:rPr>
          <w:rFonts w:ascii="Arial" w:hAnsi="Arial" w:cs="Arial"/>
          <w:b/>
        </w:rPr>
        <w:t>b</w:t>
      </w:r>
      <w:r w:rsidRPr="005C38BC">
        <w:rPr>
          <w:rFonts w:ascii="Arial" w:hAnsi="Arial" w:cs="Arial"/>
          <w:b/>
        </w:rPr>
        <w:t>orrowing</w:t>
      </w:r>
    </w:p>
    <w:p w14:paraId="7247539E" w14:textId="5F219780"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This indicator is set to control the </w:t>
      </w:r>
      <w:r w:rsidR="00365448" w:rsidRPr="005C38BC">
        <w:rPr>
          <w:rFonts w:ascii="Arial" w:hAnsi="Arial" w:cs="Arial"/>
        </w:rPr>
        <w:t>PCC</w:t>
      </w:r>
      <w:r w:rsidRPr="005C38BC">
        <w:rPr>
          <w:rFonts w:ascii="Arial" w:hAnsi="Arial" w:cs="Arial"/>
        </w:rPr>
        <w:t xml:space="preserve">’s exposure to refinancing risk. The upper and lower limits </w:t>
      </w:r>
      <w:r w:rsidR="00514991" w:rsidRPr="005C38BC">
        <w:rPr>
          <w:rFonts w:ascii="Arial" w:hAnsi="Arial" w:cs="Arial"/>
        </w:rPr>
        <w:t xml:space="preserve">show </w:t>
      </w:r>
      <w:r w:rsidRPr="005C38BC">
        <w:rPr>
          <w:rFonts w:ascii="Arial" w:hAnsi="Arial" w:cs="Arial"/>
        </w:rPr>
        <w:t>the</w:t>
      </w:r>
      <w:r w:rsidR="00514991" w:rsidRPr="005C38BC">
        <w:rPr>
          <w:rFonts w:ascii="Arial" w:hAnsi="Arial" w:cs="Arial"/>
        </w:rPr>
        <w:t xml:space="preserve"> maximum and minimum</w:t>
      </w:r>
      <w:r w:rsidRPr="005C38BC">
        <w:rPr>
          <w:rFonts w:ascii="Arial" w:hAnsi="Arial" w:cs="Arial"/>
        </w:rPr>
        <w:t xml:space="preserve"> maturity </w:t>
      </w:r>
      <w:r w:rsidR="00385D2D" w:rsidRPr="005C38BC">
        <w:rPr>
          <w:rFonts w:ascii="Arial" w:hAnsi="Arial" w:cs="Arial"/>
        </w:rPr>
        <w:t>exposure to</w:t>
      </w:r>
      <w:r w:rsidRPr="005C38BC">
        <w:rPr>
          <w:rFonts w:ascii="Arial" w:hAnsi="Arial" w:cs="Arial"/>
        </w:rPr>
        <w:t xml:space="preserve"> fixed rate borrowing</w:t>
      </w:r>
      <w:r w:rsidR="00385D2D" w:rsidRPr="005C38BC">
        <w:rPr>
          <w:rFonts w:ascii="Arial" w:hAnsi="Arial" w:cs="Arial"/>
        </w:rPr>
        <w:t xml:space="preserve"> as agreed in the Treasury Management Strategy Statement.</w:t>
      </w:r>
    </w:p>
    <w:tbl>
      <w:tblPr>
        <w:tblW w:w="9450" w:type="dxa"/>
        <w:tblLook w:val="04A0" w:firstRow="1" w:lastRow="0" w:firstColumn="1" w:lastColumn="0" w:noHBand="0" w:noVBand="1"/>
      </w:tblPr>
      <w:tblGrid>
        <w:gridCol w:w="3782"/>
        <w:gridCol w:w="1417"/>
        <w:gridCol w:w="1417"/>
        <w:gridCol w:w="1417"/>
        <w:gridCol w:w="1417"/>
      </w:tblGrid>
      <w:tr w:rsidR="001634BE" w:rsidRPr="00F97363" w14:paraId="6A45DCAC" w14:textId="77777777" w:rsidTr="004F69A4">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1387B347" w14:textId="60A1CF16" w:rsidR="001634BE" w:rsidRPr="00F97363" w:rsidRDefault="004F69A4" w:rsidP="00F64FC2">
            <w:pPr>
              <w:keepNext/>
              <w:keepLines/>
              <w:widowControl w:val="0"/>
              <w:rPr>
                <w:rFonts w:ascii="Arial" w:hAnsi="Arial" w:cs="Arial"/>
                <w:b/>
              </w:rPr>
            </w:pPr>
            <w:r w:rsidRPr="00F97363">
              <w:rPr>
                <w:rFonts w:ascii="Arial" w:hAnsi="Arial" w:cs="Arial"/>
                <w:b/>
              </w:rPr>
              <w:t>Table 1</w:t>
            </w:r>
            <w:r w:rsidR="007A5DE7">
              <w:rPr>
                <w:rFonts w:ascii="Arial" w:hAnsi="Arial" w:cs="Arial"/>
                <w:b/>
              </w:rPr>
              <w:t>1</w:t>
            </w:r>
            <w:r w:rsidRPr="00F97363">
              <w:rPr>
                <w:rFonts w:ascii="Arial" w:hAnsi="Arial" w:cs="Arial"/>
                <w:b/>
              </w:rPr>
              <w:t>: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57F570B3" w14:textId="609219F1" w:rsidR="001634BE" w:rsidRPr="00F97363" w:rsidRDefault="001634BE" w:rsidP="00F64FC2">
            <w:pPr>
              <w:keepNext/>
              <w:keepLines/>
              <w:widowControl w:val="0"/>
              <w:jc w:val="center"/>
              <w:rPr>
                <w:rFonts w:ascii="Arial" w:hAnsi="Arial" w:cs="Arial"/>
                <w:b/>
              </w:rPr>
            </w:pPr>
            <w:r w:rsidRPr="00F97363">
              <w:rPr>
                <w:rFonts w:ascii="Arial" w:hAnsi="Arial" w:cs="Arial"/>
                <w:b/>
              </w:rPr>
              <w:t>3</w:t>
            </w:r>
            <w:r w:rsidR="00D15208">
              <w:rPr>
                <w:rFonts w:ascii="Arial" w:hAnsi="Arial" w:cs="Arial"/>
                <w:b/>
              </w:rPr>
              <w:t>0</w:t>
            </w:r>
            <w:r w:rsidRPr="00F97363">
              <w:rPr>
                <w:rFonts w:ascii="Arial" w:hAnsi="Arial" w:cs="Arial"/>
                <w:b/>
              </w:rPr>
              <w:t>/0</w:t>
            </w:r>
            <w:r w:rsidR="00797ED5">
              <w:rPr>
                <w:rFonts w:ascii="Arial" w:hAnsi="Arial" w:cs="Arial"/>
                <w:b/>
              </w:rPr>
              <w:t>9</w:t>
            </w:r>
            <w:r w:rsidRPr="00F97363">
              <w:rPr>
                <w:rFonts w:ascii="Arial" w:hAnsi="Arial" w:cs="Arial"/>
                <w:b/>
              </w:rPr>
              <w:t>/</w:t>
            </w:r>
            <w:r w:rsidR="00BA2521" w:rsidRPr="00F97363">
              <w:rPr>
                <w:rFonts w:ascii="Arial" w:hAnsi="Arial" w:cs="Arial"/>
                <w:b/>
              </w:rPr>
              <w:t>2</w:t>
            </w:r>
            <w:r w:rsidR="00A169DF">
              <w:rPr>
                <w:rFonts w:ascii="Arial" w:hAnsi="Arial" w:cs="Arial"/>
                <w:b/>
              </w:rPr>
              <w:t>3</w:t>
            </w:r>
            <w:r w:rsidRPr="00F97363">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DF16EEC"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32394327"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59D20CE7" w14:textId="77777777" w:rsidR="001634BE" w:rsidRPr="00F97363" w:rsidRDefault="001634BE" w:rsidP="00F64FC2">
            <w:pPr>
              <w:keepNext/>
              <w:keepLines/>
              <w:widowControl w:val="0"/>
              <w:jc w:val="right"/>
              <w:rPr>
                <w:rFonts w:ascii="Arial" w:hAnsi="Arial" w:cs="Arial"/>
                <w:b/>
              </w:rPr>
            </w:pPr>
            <w:r w:rsidRPr="00F97363">
              <w:rPr>
                <w:rFonts w:ascii="Arial" w:hAnsi="Arial" w:cs="Arial"/>
                <w:b/>
              </w:rPr>
              <w:t>Complied</w:t>
            </w:r>
          </w:p>
        </w:tc>
      </w:tr>
      <w:tr w:rsidR="00797ED5" w:rsidRPr="00F97363" w14:paraId="1B21A893"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52F9BC3" w14:textId="77777777" w:rsidR="00797ED5" w:rsidRPr="00F97363" w:rsidRDefault="00797ED5" w:rsidP="00797ED5">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5E77432E" w14:textId="5A757DD2" w:rsidR="00797ED5" w:rsidRPr="00D15208" w:rsidRDefault="00797ED5" w:rsidP="00797ED5">
            <w:pPr>
              <w:keepNext/>
              <w:keepLines/>
              <w:widowControl w:val="0"/>
              <w:jc w:val="center"/>
              <w:rPr>
                <w:rFonts w:ascii="Arial" w:hAnsi="Arial" w:cs="Arial"/>
              </w:rPr>
            </w:pPr>
            <w:r>
              <w:rPr>
                <w:rFonts w:ascii="Arial" w:hAnsi="Arial" w:cs="Arial"/>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93685" w14:textId="76DF6907" w:rsidR="00797ED5" w:rsidRPr="00D15208" w:rsidRDefault="00797ED5" w:rsidP="00797ED5">
            <w:pPr>
              <w:keepNext/>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98D5AFE" w14:textId="21AF8180" w:rsidR="00797ED5" w:rsidRPr="00D15208" w:rsidRDefault="00797ED5" w:rsidP="00797ED5">
            <w:pPr>
              <w:keepNext/>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E89179" w14:textId="77777777" w:rsidR="00797ED5" w:rsidRPr="00F97363" w:rsidRDefault="00797ED5" w:rsidP="00797ED5">
            <w:pPr>
              <w:keepNext/>
              <w:keepLines/>
              <w:widowControl w:val="0"/>
              <w:numPr>
                <w:ilvl w:val="0"/>
                <w:numId w:val="4"/>
              </w:numPr>
              <w:jc w:val="center"/>
              <w:rPr>
                <w:rFonts w:ascii="Arial" w:hAnsi="Arial" w:cs="Arial"/>
              </w:rPr>
            </w:pPr>
          </w:p>
        </w:tc>
      </w:tr>
      <w:tr w:rsidR="00797ED5" w:rsidRPr="00F97363" w14:paraId="0298A41D"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754CCC2B" w14:textId="77777777" w:rsidR="00797ED5" w:rsidRPr="00F97363" w:rsidRDefault="00797ED5" w:rsidP="00797ED5">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1E417360" w14:textId="180D2E10" w:rsidR="00797ED5" w:rsidRPr="00D15208" w:rsidRDefault="00797ED5" w:rsidP="00797ED5">
            <w:pPr>
              <w:keepLines/>
              <w:widowControl w:val="0"/>
              <w:jc w:val="center"/>
              <w:rPr>
                <w:rFonts w:ascii="Arial" w:hAnsi="Arial" w:cs="Arial"/>
              </w:rPr>
            </w:pPr>
            <w:r>
              <w:rPr>
                <w:rFonts w:ascii="Arial" w:hAnsi="Arial" w:cs="Arial"/>
                <w:color w:val="000000"/>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3F720" w14:textId="4137A2E9" w:rsidR="00797ED5" w:rsidRPr="00D15208" w:rsidRDefault="00797ED5" w:rsidP="00797ED5">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D5C6AE1" w14:textId="34CBEFE5" w:rsidR="00797ED5" w:rsidRPr="00D15208" w:rsidRDefault="00797ED5" w:rsidP="00797ED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3D7D14ED" w14:textId="77777777" w:rsidR="00797ED5" w:rsidRPr="00F97363" w:rsidRDefault="00797ED5" w:rsidP="00797ED5">
            <w:pPr>
              <w:keepNext/>
              <w:keepLines/>
              <w:widowControl w:val="0"/>
              <w:numPr>
                <w:ilvl w:val="0"/>
                <w:numId w:val="4"/>
              </w:numPr>
              <w:jc w:val="center"/>
              <w:rPr>
                <w:rFonts w:ascii="Arial" w:hAnsi="Arial" w:cs="Arial"/>
              </w:rPr>
            </w:pPr>
          </w:p>
        </w:tc>
      </w:tr>
      <w:tr w:rsidR="00797ED5" w:rsidRPr="00F97363" w14:paraId="37DBCB6A"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34DCA21C" w14:textId="77777777" w:rsidR="00797ED5" w:rsidRPr="00F97363" w:rsidRDefault="00797ED5" w:rsidP="00797ED5">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0F43E125" w14:textId="1FFA54A1" w:rsidR="00797ED5" w:rsidRPr="00D15208" w:rsidRDefault="00797ED5" w:rsidP="00797ED5">
            <w:pPr>
              <w:keepLines/>
              <w:widowControl w:val="0"/>
              <w:jc w:val="center"/>
              <w:rPr>
                <w:rFonts w:ascii="Arial" w:hAnsi="Arial" w:cs="Arial"/>
              </w:rPr>
            </w:pPr>
            <w:r>
              <w:rPr>
                <w:rFonts w:ascii="Arial" w:hAnsi="Arial" w:cs="Arial"/>
                <w:color w:val="000000"/>
                <w:sz w:val="22"/>
                <w:szCs w:val="22"/>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1122C" w14:textId="748FA73F" w:rsidR="00797ED5" w:rsidRPr="00D15208" w:rsidRDefault="00797ED5" w:rsidP="00797ED5">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1C2F1A3" w14:textId="7282B691" w:rsidR="00797ED5" w:rsidRPr="00D15208" w:rsidRDefault="00797ED5" w:rsidP="00797ED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BCB0E9" w14:textId="77777777" w:rsidR="00797ED5" w:rsidRPr="00F97363" w:rsidRDefault="00797ED5" w:rsidP="00797ED5">
            <w:pPr>
              <w:keepNext/>
              <w:keepLines/>
              <w:widowControl w:val="0"/>
              <w:numPr>
                <w:ilvl w:val="0"/>
                <w:numId w:val="4"/>
              </w:numPr>
              <w:jc w:val="center"/>
              <w:rPr>
                <w:rFonts w:ascii="Arial" w:hAnsi="Arial" w:cs="Arial"/>
              </w:rPr>
            </w:pPr>
          </w:p>
        </w:tc>
      </w:tr>
      <w:tr w:rsidR="00797ED5" w:rsidRPr="00F97363" w14:paraId="5626179E"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6176326" w14:textId="77777777" w:rsidR="00797ED5" w:rsidRPr="00F97363" w:rsidRDefault="00797ED5" w:rsidP="00797ED5">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4A4360C7" w14:textId="0A376515" w:rsidR="00797ED5" w:rsidRPr="00D15208" w:rsidRDefault="00797ED5" w:rsidP="00797ED5">
            <w:pPr>
              <w:keepLines/>
              <w:widowControl w:val="0"/>
              <w:jc w:val="center"/>
              <w:rPr>
                <w:rFonts w:ascii="Arial" w:hAnsi="Arial" w:cs="Arial"/>
              </w:rPr>
            </w:pPr>
            <w:r>
              <w:rPr>
                <w:rFonts w:ascii="Arial" w:hAnsi="Arial" w:cs="Arial"/>
                <w:color w:val="000000"/>
                <w:sz w:val="22"/>
                <w:szCs w:val="22"/>
              </w:rPr>
              <w:t>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48012" w14:textId="6030A058" w:rsidR="00797ED5" w:rsidRPr="00D15208" w:rsidRDefault="00797ED5" w:rsidP="00797ED5">
            <w:pPr>
              <w:keepLines/>
              <w:widowControl w:val="0"/>
              <w:jc w:val="center"/>
              <w:rPr>
                <w:rFonts w:ascii="Arial" w:hAnsi="Arial" w:cs="Arial"/>
              </w:rPr>
            </w:pPr>
            <w:r w:rsidRPr="00D15208">
              <w:rPr>
                <w:rFonts w:ascii="Arial" w:hAnsi="Arial" w:cs="Arial"/>
                <w:color w:val="00000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A11FAD7" w14:textId="1E728E4B" w:rsidR="00797ED5" w:rsidRPr="00D15208" w:rsidRDefault="00797ED5" w:rsidP="00797ED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D1152D" w14:textId="77777777" w:rsidR="00797ED5" w:rsidRPr="00F97363" w:rsidRDefault="00797ED5" w:rsidP="00797ED5">
            <w:pPr>
              <w:keepNext/>
              <w:keepLines/>
              <w:widowControl w:val="0"/>
              <w:numPr>
                <w:ilvl w:val="0"/>
                <w:numId w:val="4"/>
              </w:numPr>
              <w:jc w:val="center"/>
              <w:rPr>
                <w:rFonts w:ascii="Arial" w:hAnsi="Arial" w:cs="Arial"/>
              </w:rPr>
            </w:pPr>
          </w:p>
        </w:tc>
      </w:tr>
      <w:tr w:rsidR="00797ED5" w:rsidRPr="00BA4271" w14:paraId="2FE37057"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1935A8F" w14:textId="5ABE121D" w:rsidR="00797ED5" w:rsidRPr="00F97363" w:rsidRDefault="00797ED5" w:rsidP="00797ED5">
            <w:pPr>
              <w:keepLines/>
              <w:widowControl w:val="0"/>
              <w:rPr>
                <w:rFonts w:ascii="Arial" w:hAnsi="Arial" w:cs="Arial"/>
                <w:bCs/>
              </w:rPr>
            </w:pPr>
            <w:r>
              <w:rPr>
                <w:rFonts w:ascii="Arial" w:hAnsi="Arial" w:cs="Arial"/>
                <w:bCs/>
              </w:rPr>
              <w:t>10</w:t>
            </w:r>
            <w:r w:rsidRPr="00F97363">
              <w:rPr>
                <w:rFonts w:ascii="Arial" w:hAnsi="Arial" w:cs="Arial"/>
                <w:bCs/>
              </w:rPr>
              <w:t xml:space="preserve">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5D05D047" w14:textId="101ADF5B" w:rsidR="00797ED5" w:rsidRPr="00D15208" w:rsidRDefault="00797ED5" w:rsidP="00797ED5">
            <w:pPr>
              <w:keepLines/>
              <w:widowControl w:val="0"/>
              <w:jc w:val="center"/>
              <w:rPr>
                <w:rFonts w:ascii="Arial" w:hAnsi="Arial" w:cs="Arial"/>
              </w:rPr>
            </w:pPr>
            <w:r>
              <w:rPr>
                <w:rFonts w:ascii="Arial" w:hAnsi="Arial" w:cs="Arial"/>
                <w:color w:val="000000"/>
                <w:sz w:val="22"/>
                <w:szCs w:val="22"/>
              </w:rPr>
              <w:t>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413B4" w14:textId="060E1ED2" w:rsidR="00797ED5" w:rsidRPr="00D15208" w:rsidRDefault="00797ED5" w:rsidP="00797ED5">
            <w:pPr>
              <w:keepLines/>
              <w:widowControl w:val="0"/>
              <w:jc w:val="center"/>
              <w:rPr>
                <w:rFonts w:ascii="Arial" w:hAnsi="Arial" w:cs="Arial"/>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444A70C" w14:textId="199F492F" w:rsidR="00797ED5" w:rsidRPr="00D15208" w:rsidRDefault="00797ED5" w:rsidP="00797ED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C95C37" w14:textId="77777777" w:rsidR="00797ED5" w:rsidRPr="00F97363" w:rsidRDefault="00797ED5" w:rsidP="00797ED5">
            <w:pPr>
              <w:keepNext/>
              <w:keepLines/>
              <w:widowControl w:val="0"/>
              <w:numPr>
                <w:ilvl w:val="0"/>
                <w:numId w:val="4"/>
              </w:numPr>
              <w:jc w:val="center"/>
              <w:rPr>
                <w:rFonts w:ascii="Arial" w:hAnsi="Arial" w:cs="Arial"/>
              </w:rPr>
            </w:pPr>
          </w:p>
        </w:tc>
      </w:tr>
    </w:tbl>
    <w:p w14:paraId="380FC388" w14:textId="77777777" w:rsidR="00813AEF" w:rsidRPr="0084001F" w:rsidRDefault="00813AEF" w:rsidP="0084001F">
      <w:pPr>
        <w:spacing w:after="240"/>
        <w:rPr>
          <w:rFonts w:ascii="Arial" w:hAnsi="Arial" w:cs="Arial"/>
          <w:b/>
        </w:rPr>
      </w:pPr>
    </w:p>
    <w:p w14:paraId="443F77BE" w14:textId="77777777" w:rsidR="00C3369E" w:rsidRDefault="00C3369E" w:rsidP="00365448">
      <w:pPr>
        <w:pStyle w:val="ListParagraph"/>
        <w:spacing w:after="240"/>
        <w:rPr>
          <w:rFonts w:ascii="Arial" w:hAnsi="Arial" w:cs="Arial"/>
          <w:b/>
        </w:rPr>
      </w:pPr>
      <w:r>
        <w:rPr>
          <w:rFonts w:ascii="Arial" w:hAnsi="Arial" w:cs="Arial"/>
          <w:b/>
        </w:rPr>
        <w:br w:type="page"/>
      </w:r>
    </w:p>
    <w:p w14:paraId="5BF38B2F" w14:textId="1CF6D469" w:rsidR="00365448" w:rsidRPr="005C38BC" w:rsidRDefault="001A35CB" w:rsidP="00365448">
      <w:pPr>
        <w:pStyle w:val="ListParagraph"/>
        <w:spacing w:after="240"/>
        <w:rPr>
          <w:rFonts w:ascii="Arial" w:hAnsi="Arial" w:cs="Arial"/>
          <w:b/>
        </w:rPr>
      </w:pPr>
      <w:r>
        <w:rPr>
          <w:rFonts w:ascii="Arial" w:hAnsi="Arial" w:cs="Arial"/>
          <w:b/>
        </w:rPr>
        <w:lastRenderedPageBreak/>
        <w:t>Long term Treasury Management investments</w:t>
      </w:r>
    </w:p>
    <w:p w14:paraId="292F69FC" w14:textId="3FCD678F" w:rsidR="005F19D8"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The purpose of this indicator is to control the </w:t>
      </w:r>
      <w:r w:rsidR="00365448" w:rsidRPr="005C38BC">
        <w:rPr>
          <w:rFonts w:ascii="Arial" w:hAnsi="Arial" w:cs="Arial"/>
        </w:rPr>
        <w:t>PCC</w:t>
      </w:r>
      <w:r w:rsidRPr="005C38BC">
        <w:rPr>
          <w:rFonts w:ascii="Arial" w:hAnsi="Arial" w:cs="Arial"/>
        </w:rPr>
        <w:t>’s exposure to the risk of incurring losses by seeking early repayment of its investments.</w:t>
      </w:r>
      <w:r w:rsidR="00AD07AA" w:rsidRPr="005C38BC">
        <w:rPr>
          <w:rFonts w:ascii="Arial" w:hAnsi="Arial" w:cs="Arial"/>
        </w:rPr>
        <w:t xml:space="preserve">  The limits on the long-term principal sum invested to final maturities beyond the period end were:</w:t>
      </w:r>
    </w:p>
    <w:tbl>
      <w:tblPr>
        <w:tblW w:w="9086" w:type="dxa"/>
        <w:tblLayout w:type="fixed"/>
        <w:tblLook w:val="04A0" w:firstRow="1" w:lastRow="0" w:firstColumn="1" w:lastColumn="0" w:noHBand="0" w:noVBand="1"/>
      </w:tblPr>
      <w:tblGrid>
        <w:gridCol w:w="4835"/>
        <w:gridCol w:w="1417"/>
        <w:gridCol w:w="1417"/>
        <w:gridCol w:w="1417"/>
      </w:tblGrid>
      <w:tr w:rsidR="003D6F79" w:rsidRPr="00F97363" w14:paraId="317664A7" w14:textId="77777777" w:rsidTr="008C49F8">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0F11B065" w14:textId="77777777" w:rsidR="003D6F79" w:rsidRPr="00F97363" w:rsidRDefault="003D6F79" w:rsidP="008C49F8">
            <w:pPr>
              <w:rPr>
                <w:rFonts w:ascii="Arial" w:hAnsi="Arial" w:cs="Arial"/>
                <w:b/>
              </w:rPr>
            </w:pPr>
            <w:r w:rsidRPr="00F97363">
              <w:rPr>
                <w:rFonts w:ascii="Arial" w:hAnsi="Arial" w:cs="Arial"/>
                <w:b/>
              </w:rPr>
              <w:t>Table 1</w:t>
            </w:r>
            <w:r>
              <w:rPr>
                <w:rFonts w:ascii="Arial" w:hAnsi="Arial" w:cs="Arial"/>
                <w:b/>
              </w:rPr>
              <w:t>2</w:t>
            </w:r>
            <w:r w:rsidRPr="00F97363">
              <w:rPr>
                <w:rFonts w:ascii="Arial" w:hAnsi="Arial" w:cs="Arial"/>
                <w:b/>
              </w:rPr>
              <w:t xml:space="preserve">: </w:t>
            </w:r>
            <w:r>
              <w:rPr>
                <w:rFonts w:ascii="Arial" w:hAnsi="Arial" w:cs="Arial"/>
                <w:b/>
              </w:rPr>
              <w:t>Long term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8C113" w14:textId="77777777" w:rsidR="003D6F79" w:rsidRPr="0085577D" w:rsidRDefault="003D6F79" w:rsidP="008C49F8">
            <w:pPr>
              <w:jc w:val="center"/>
              <w:rPr>
                <w:rFonts w:ascii="Arial" w:hAnsi="Arial" w:cs="Arial"/>
                <w:b/>
                <w:bCs/>
              </w:rPr>
            </w:pPr>
            <w:r w:rsidRPr="0085577D">
              <w:rPr>
                <w:rFonts w:ascii="Arial" w:hAnsi="Arial" w:cs="Arial"/>
                <w:b/>
                <w:bCs/>
                <w:color w:val="000000"/>
              </w:rPr>
              <w:t>2023/24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03BA16" w14:textId="77777777" w:rsidR="003D6F79" w:rsidRPr="0085577D" w:rsidRDefault="003D6F79" w:rsidP="008C49F8">
            <w:pPr>
              <w:jc w:val="center"/>
              <w:rPr>
                <w:rFonts w:ascii="Arial" w:hAnsi="Arial" w:cs="Arial"/>
                <w:b/>
                <w:bCs/>
              </w:rPr>
            </w:pPr>
            <w:r w:rsidRPr="0085577D">
              <w:rPr>
                <w:rFonts w:ascii="Arial" w:hAnsi="Arial" w:cs="Arial"/>
                <w:b/>
                <w:bCs/>
                <w:color w:val="000000"/>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06C312" w14:textId="77777777" w:rsidR="003D6F79" w:rsidRPr="0085577D" w:rsidRDefault="003D6F79" w:rsidP="008C49F8">
            <w:pPr>
              <w:jc w:val="center"/>
              <w:rPr>
                <w:rFonts w:ascii="Arial" w:hAnsi="Arial" w:cs="Arial"/>
                <w:b/>
                <w:bCs/>
              </w:rPr>
            </w:pPr>
            <w:r w:rsidRPr="0085577D">
              <w:rPr>
                <w:rFonts w:ascii="Arial" w:hAnsi="Arial" w:cs="Arial"/>
                <w:b/>
                <w:bCs/>
                <w:color w:val="000000"/>
              </w:rPr>
              <w:t>2025/26</w:t>
            </w:r>
          </w:p>
        </w:tc>
      </w:tr>
      <w:tr w:rsidR="003D6F79" w:rsidRPr="00F97363" w14:paraId="14AC832A" w14:textId="77777777" w:rsidTr="008C49F8">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26002FB7" w14:textId="77777777" w:rsidR="003D6F79" w:rsidRPr="00F97363" w:rsidRDefault="003D6F79" w:rsidP="008C49F8">
            <w:pPr>
              <w:rPr>
                <w:rFonts w:ascii="Arial" w:hAnsi="Arial" w:cs="Arial"/>
                <w:bCs/>
              </w:rPr>
            </w:pPr>
            <w:r w:rsidRPr="00F9736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33392C" w14:textId="27323886" w:rsidR="003D6F79" w:rsidRPr="0085577D" w:rsidRDefault="003D6F79" w:rsidP="008C49F8">
            <w:pPr>
              <w:jc w:val="center"/>
              <w:rPr>
                <w:rFonts w:ascii="Arial" w:hAnsi="Arial" w:cs="Arial"/>
                <w:bCs/>
              </w:rPr>
            </w:pPr>
            <w:r w:rsidRPr="0085577D">
              <w:rPr>
                <w:rFonts w:ascii="Arial" w:hAnsi="Arial" w:cs="Arial"/>
                <w:color w:val="000000"/>
              </w:rPr>
              <w:t>£2</w:t>
            </w:r>
            <w:r w:rsidR="00CC3434">
              <w:rPr>
                <w:rFonts w:ascii="Arial" w:hAnsi="Arial" w:cs="Arial"/>
                <w:color w:val="000000"/>
              </w:rPr>
              <w:t>9</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2547F0" w14:textId="1375B4CB" w:rsidR="003D6F79" w:rsidRPr="0085577D" w:rsidRDefault="003D6F79" w:rsidP="008C49F8">
            <w:pPr>
              <w:jc w:val="center"/>
              <w:rPr>
                <w:rFonts w:ascii="Arial" w:hAnsi="Arial" w:cs="Arial"/>
                <w:bCs/>
              </w:rPr>
            </w:pPr>
            <w:r w:rsidRPr="0085577D">
              <w:rPr>
                <w:rFonts w:ascii="Arial" w:hAnsi="Arial" w:cs="Arial"/>
                <w:color w:val="000000"/>
              </w:rPr>
              <w:t>£</w:t>
            </w:r>
            <w:r w:rsidR="00CC3434">
              <w:rPr>
                <w:rFonts w:ascii="Arial" w:hAnsi="Arial" w:cs="Arial"/>
                <w:color w:val="000000"/>
              </w:rPr>
              <w:t>19</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45C53D" w14:textId="61340ED4" w:rsidR="003D6F79" w:rsidRPr="0085577D" w:rsidRDefault="003D6F79" w:rsidP="008C49F8">
            <w:pPr>
              <w:jc w:val="center"/>
              <w:rPr>
                <w:rFonts w:ascii="Arial" w:hAnsi="Arial" w:cs="Arial"/>
                <w:bCs/>
              </w:rPr>
            </w:pPr>
            <w:r w:rsidRPr="0085577D">
              <w:rPr>
                <w:rFonts w:ascii="Arial" w:hAnsi="Arial" w:cs="Arial"/>
                <w:color w:val="000000"/>
              </w:rPr>
              <w:t>£</w:t>
            </w:r>
            <w:r w:rsidR="00CC3434">
              <w:rPr>
                <w:rFonts w:ascii="Arial" w:hAnsi="Arial" w:cs="Arial"/>
                <w:color w:val="000000"/>
              </w:rPr>
              <w:t>10</w:t>
            </w:r>
            <w:r w:rsidRPr="0085577D">
              <w:rPr>
                <w:rFonts w:ascii="Arial" w:hAnsi="Arial" w:cs="Arial"/>
                <w:color w:val="000000"/>
              </w:rPr>
              <w:t>m</w:t>
            </w:r>
          </w:p>
        </w:tc>
      </w:tr>
      <w:tr w:rsidR="003D6F79" w:rsidRPr="00F97363" w14:paraId="3D030CCA" w14:textId="77777777" w:rsidTr="008C49F8">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930991B" w14:textId="77777777" w:rsidR="003D6F79" w:rsidRPr="00F97363" w:rsidRDefault="003D6F79" w:rsidP="008C49F8">
            <w:pPr>
              <w:rPr>
                <w:rFonts w:ascii="Arial" w:hAnsi="Arial" w:cs="Arial"/>
                <w:bCs/>
              </w:rPr>
            </w:pPr>
            <w:r w:rsidRPr="00F9736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6E7927" w14:textId="77777777" w:rsidR="003D6F79" w:rsidRPr="0085577D" w:rsidRDefault="003D6F79" w:rsidP="008C49F8">
            <w:pPr>
              <w:jc w:val="center"/>
              <w:rPr>
                <w:rFonts w:ascii="Arial" w:hAnsi="Arial" w:cs="Arial"/>
                <w:bCs/>
              </w:rPr>
            </w:pPr>
            <w:r w:rsidRPr="0085577D">
              <w:rPr>
                <w:rFonts w:ascii="Arial" w:hAnsi="Arial" w:cs="Arial"/>
                <w:color w:val="000000"/>
              </w:rPr>
              <w:t>£40m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2A8690" w14:textId="77777777" w:rsidR="003D6F79" w:rsidRPr="0085577D" w:rsidRDefault="003D6F79" w:rsidP="008C49F8">
            <w:pPr>
              <w:jc w:val="center"/>
              <w:rPr>
                <w:rFonts w:ascii="Arial" w:hAnsi="Arial" w:cs="Arial"/>
                <w:bCs/>
              </w:rPr>
            </w:pPr>
            <w:r w:rsidRPr="0085577D">
              <w:rPr>
                <w:rFonts w:ascii="Arial" w:hAnsi="Arial" w:cs="Arial"/>
                <w:color w:val="000000"/>
              </w:rPr>
              <w:t>£40m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792166" w14:textId="77777777" w:rsidR="003D6F79" w:rsidRPr="0085577D" w:rsidRDefault="003D6F79" w:rsidP="008C49F8">
            <w:pPr>
              <w:jc w:val="center"/>
              <w:rPr>
                <w:rFonts w:ascii="Arial" w:hAnsi="Arial" w:cs="Arial"/>
                <w:bCs/>
              </w:rPr>
            </w:pPr>
            <w:r w:rsidRPr="0085577D">
              <w:rPr>
                <w:rFonts w:ascii="Arial" w:hAnsi="Arial" w:cs="Arial"/>
                <w:color w:val="000000"/>
              </w:rPr>
              <w:t>£40m</w:t>
            </w:r>
          </w:p>
        </w:tc>
      </w:tr>
      <w:tr w:rsidR="003D6F79" w:rsidRPr="00BA4271" w14:paraId="5978E2BC" w14:textId="77777777" w:rsidTr="008C49F8">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90E66D8" w14:textId="77777777" w:rsidR="003D6F79" w:rsidRPr="00F97363" w:rsidRDefault="003D6F79" w:rsidP="008C49F8">
            <w:pPr>
              <w:rPr>
                <w:rFonts w:ascii="Arial" w:hAnsi="Arial" w:cs="Arial"/>
                <w:bCs/>
              </w:rPr>
            </w:pPr>
            <w:r w:rsidRPr="00F9736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8C2E8D" w14:textId="77777777" w:rsidR="003D6F79" w:rsidRPr="00F97363" w:rsidRDefault="003D6F79" w:rsidP="008C49F8">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E2DF5E" w14:textId="77777777" w:rsidR="003D6F79" w:rsidRPr="00F97363" w:rsidRDefault="003D6F79" w:rsidP="008C49F8">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9FF4A2" w14:textId="77777777" w:rsidR="003D6F79" w:rsidRPr="00F97363" w:rsidRDefault="003D6F79" w:rsidP="008C49F8">
            <w:pPr>
              <w:keepNext/>
              <w:keepLines/>
              <w:widowControl w:val="0"/>
              <w:numPr>
                <w:ilvl w:val="0"/>
                <w:numId w:val="3"/>
              </w:numPr>
              <w:jc w:val="center"/>
              <w:rPr>
                <w:rFonts w:ascii="Arial" w:hAnsi="Arial" w:cs="Arial"/>
              </w:rPr>
            </w:pPr>
          </w:p>
        </w:tc>
      </w:tr>
    </w:tbl>
    <w:p w14:paraId="0E815078" w14:textId="77777777" w:rsidR="003D6F79" w:rsidRDefault="003D6F79" w:rsidP="003D6F79">
      <w:pPr>
        <w:pStyle w:val="ListParagraph"/>
        <w:spacing w:after="240"/>
        <w:rPr>
          <w:rFonts w:ascii="Arial" w:hAnsi="Arial" w:cs="Arial"/>
        </w:rPr>
      </w:pPr>
    </w:p>
    <w:p w14:paraId="486F69DB" w14:textId="0D0DE4AF" w:rsidR="005F1D6C" w:rsidRPr="005C38BC" w:rsidRDefault="00977333" w:rsidP="005F1D6C">
      <w:pPr>
        <w:pStyle w:val="ListParagraph"/>
        <w:spacing w:after="240"/>
        <w:rPr>
          <w:rFonts w:ascii="Arial" w:hAnsi="Arial" w:cs="Arial"/>
          <w:b/>
        </w:rPr>
      </w:pPr>
      <w:r>
        <w:rPr>
          <w:rFonts w:ascii="Arial" w:hAnsi="Arial" w:cs="Arial"/>
          <w:b/>
        </w:rPr>
        <w:t>Interest rate exposures</w:t>
      </w:r>
    </w:p>
    <w:p w14:paraId="1054C01D" w14:textId="5101F35D" w:rsidR="003D6F79" w:rsidRDefault="00053107" w:rsidP="003C3808">
      <w:pPr>
        <w:pStyle w:val="ListParagraph"/>
        <w:numPr>
          <w:ilvl w:val="1"/>
          <w:numId w:val="2"/>
        </w:numPr>
        <w:spacing w:after="240"/>
        <w:ind w:left="720" w:hanging="720"/>
        <w:rPr>
          <w:rFonts w:ascii="Arial" w:hAnsi="Arial" w:cs="Arial"/>
        </w:rPr>
      </w:pPr>
      <w:r w:rsidRPr="00891ADD">
        <w:rPr>
          <w:rFonts w:ascii="Arial" w:hAnsi="Arial" w:cs="Arial"/>
        </w:rPr>
        <w:t xml:space="preserve">The following indicator shows the sensitivity of the </w:t>
      </w:r>
      <w:r>
        <w:rPr>
          <w:rFonts w:ascii="Arial" w:hAnsi="Arial" w:cs="Arial"/>
        </w:rPr>
        <w:t>PCC</w:t>
      </w:r>
      <w:r w:rsidRPr="00891ADD">
        <w:rPr>
          <w:rFonts w:ascii="Arial" w:hAnsi="Arial" w:cs="Arial"/>
        </w:rPr>
        <w:t>’s current investments and borrowing to a change in interest rates</w:t>
      </w:r>
      <w:r>
        <w:rPr>
          <w:rFonts w:ascii="Arial" w:hAnsi="Arial" w:cs="Arial"/>
        </w:rPr>
        <w:t>:</w:t>
      </w:r>
    </w:p>
    <w:tbl>
      <w:tblP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1418"/>
        <w:gridCol w:w="2551"/>
      </w:tblGrid>
      <w:tr w:rsidR="005F1D6C" w:rsidRPr="00A12C0F" w14:paraId="338828BA" w14:textId="77777777" w:rsidTr="008C49F8">
        <w:trPr>
          <w:trHeight w:val="30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D8ABF6C" w14:textId="77777777" w:rsidR="005F1D6C" w:rsidRPr="00A12C0F" w:rsidRDefault="005F1D6C" w:rsidP="008C49F8">
            <w:pPr>
              <w:rPr>
                <w:b/>
                <w:bCs/>
              </w:rPr>
            </w:pPr>
            <w:r w:rsidRPr="00A12C0F">
              <w:rPr>
                <w:rFonts w:ascii="Arial" w:hAnsi="Arial" w:cs="Arial"/>
                <w:b/>
                <w:bCs/>
              </w:rPr>
              <w:t> </w:t>
            </w:r>
            <w:r w:rsidRPr="00A12C0F">
              <w:rPr>
                <w:rFonts w:ascii="Arial" w:eastAsia="Calibri" w:hAnsi="Arial" w:cs="Arial"/>
                <w:b/>
                <w:bCs/>
                <w:sz w:val="22"/>
              </w:rPr>
              <w:t>Table 1</w:t>
            </w:r>
            <w:r>
              <w:rPr>
                <w:rFonts w:ascii="Arial" w:eastAsia="Calibri" w:hAnsi="Arial" w:cs="Arial"/>
                <w:b/>
                <w:bCs/>
                <w:sz w:val="22"/>
              </w:rPr>
              <w:t>3</w:t>
            </w:r>
            <w:r w:rsidRPr="00A12C0F">
              <w:rPr>
                <w:rFonts w:ascii="Arial" w:eastAsia="Calibri" w:hAnsi="Arial" w:cs="Arial"/>
                <w:b/>
                <w:bCs/>
                <w:sz w:val="22"/>
              </w:rPr>
              <w:t>: Interest rate risk indicator</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DE7B22" w14:textId="77777777" w:rsidR="005F1D6C" w:rsidRPr="00A12C0F" w:rsidRDefault="005F1D6C" w:rsidP="008C49F8">
            <w:pPr>
              <w:jc w:val="center"/>
              <w:rPr>
                <w:rFonts w:ascii="Arial" w:hAnsi="Arial" w:cs="Arial"/>
                <w:b/>
              </w:rPr>
            </w:pPr>
            <w:r w:rsidRPr="00A12C0F">
              <w:rPr>
                <w:rFonts w:ascii="Arial" w:hAnsi="Arial" w:cs="Arial"/>
                <w:b/>
              </w:rPr>
              <w:t>30/09/23</w:t>
            </w:r>
          </w:p>
          <w:p w14:paraId="4826AC94" w14:textId="77777777" w:rsidR="005F1D6C" w:rsidRPr="00A12C0F" w:rsidRDefault="005F1D6C" w:rsidP="008C49F8">
            <w:pPr>
              <w:jc w:val="center"/>
              <w:rPr>
                <w:rFonts w:ascii="Arial" w:hAnsi="Arial" w:cs="Arial"/>
                <w:b/>
              </w:rPr>
            </w:pPr>
            <w:r w:rsidRPr="00A12C0F">
              <w:rPr>
                <w:rFonts w:ascii="Arial" w:hAnsi="Arial" w:cs="Arial"/>
                <w:b/>
              </w:rPr>
              <w:t>Actual</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B792D2" w14:textId="77777777" w:rsidR="005F1D6C" w:rsidRPr="00A12C0F" w:rsidRDefault="005F1D6C" w:rsidP="008C49F8">
            <w:pPr>
              <w:jc w:val="center"/>
              <w:rPr>
                <w:rFonts w:ascii="Arial" w:hAnsi="Arial" w:cs="Arial"/>
                <w:b/>
              </w:rPr>
            </w:pPr>
            <w:r w:rsidRPr="00A12C0F">
              <w:rPr>
                <w:rFonts w:ascii="Arial" w:hAnsi="Arial" w:cs="Arial"/>
                <w:b/>
              </w:rPr>
              <w:t>Impact of +/-1% interest rate change</w:t>
            </w:r>
          </w:p>
        </w:tc>
      </w:tr>
      <w:tr w:rsidR="005F1D6C" w:rsidRPr="00A12C0F" w14:paraId="7957AD81" w14:textId="77777777" w:rsidTr="008C49F8">
        <w:trPr>
          <w:trHeight w:val="330"/>
          <w:jc w:val="center"/>
        </w:trPr>
        <w:tc>
          <w:tcPr>
            <w:tcW w:w="4536" w:type="dxa"/>
            <w:tcBorders>
              <w:top w:val="single" w:sz="4" w:space="0" w:color="auto"/>
              <w:left w:val="single" w:sz="6" w:space="0" w:color="auto"/>
              <w:bottom w:val="single" w:sz="6" w:space="0" w:color="auto"/>
              <w:right w:val="single" w:sz="6" w:space="0" w:color="auto"/>
            </w:tcBorders>
            <w:shd w:val="clear" w:color="auto" w:fill="auto"/>
            <w:vAlign w:val="center"/>
          </w:tcPr>
          <w:p w14:paraId="098F4862" w14:textId="77777777" w:rsidR="005F1D6C" w:rsidRPr="00A12C0F" w:rsidRDefault="005F1D6C" w:rsidP="008C49F8">
            <w:pPr>
              <w:rPr>
                <w:rFonts w:ascii="Arial" w:hAnsi="Arial" w:cs="Arial"/>
                <w:bCs/>
              </w:rPr>
            </w:pPr>
            <w:r w:rsidRPr="00A12C0F">
              <w:rPr>
                <w:rFonts w:ascii="Arial" w:hAnsi="Arial" w:cs="Arial"/>
                <w:bCs/>
              </w:rPr>
              <w:t>Sums subject to variable interest rates:</w:t>
            </w:r>
          </w:p>
        </w:tc>
        <w:tc>
          <w:tcPr>
            <w:tcW w:w="1418" w:type="dxa"/>
            <w:tcBorders>
              <w:top w:val="single" w:sz="4" w:space="0" w:color="auto"/>
              <w:left w:val="single" w:sz="6" w:space="0" w:color="auto"/>
              <w:bottom w:val="single" w:sz="6" w:space="0" w:color="auto"/>
              <w:right w:val="single" w:sz="6" w:space="0" w:color="auto"/>
            </w:tcBorders>
            <w:shd w:val="clear" w:color="auto" w:fill="auto"/>
            <w:vAlign w:val="center"/>
          </w:tcPr>
          <w:p w14:paraId="58D87ECA" w14:textId="77777777" w:rsidR="005F1D6C" w:rsidRPr="00A12C0F" w:rsidRDefault="005F1D6C" w:rsidP="008C49F8">
            <w:pPr>
              <w:rPr>
                <w:rFonts w:ascii="Arial" w:hAnsi="Arial" w:cs="Arial"/>
                <w:bCs/>
              </w:rPr>
            </w:pPr>
            <w:r w:rsidRPr="00A12C0F">
              <w:rPr>
                <w:rFonts w:ascii="Arial" w:hAnsi="Arial" w:cs="Arial"/>
                <w:bCs/>
              </w:rPr>
              <w:t> </w:t>
            </w:r>
          </w:p>
        </w:tc>
        <w:tc>
          <w:tcPr>
            <w:tcW w:w="2551" w:type="dxa"/>
            <w:tcBorders>
              <w:top w:val="single" w:sz="4" w:space="0" w:color="auto"/>
              <w:left w:val="single" w:sz="6" w:space="0" w:color="auto"/>
              <w:bottom w:val="single" w:sz="6" w:space="0" w:color="auto"/>
              <w:right w:val="single" w:sz="6" w:space="0" w:color="auto"/>
            </w:tcBorders>
            <w:shd w:val="clear" w:color="auto" w:fill="auto"/>
            <w:vAlign w:val="center"/>
          </w:tcPr>
          <w:p w14:paraId="0484E527" w14:textId="77777777" w:rsidR="005F1D6C" w:rsidRPr="00A12C0F" w:rsidRDefault="005F1D6C" w:rsidP="008C49F8">
            <w:pPr>
              <w:rPr>
                <w:rFonts w:ascii="Arial" w:hAnsi="Arial" w:cs="Arial"/>
                <w:bCs/>
              </w:rPr>
            </w:pPr>
            <w:r w:rsidRPr="00A12C0F">
              <w:rPr>
                <w:rFonts w:ascii="Arial" w:hAnsi="Arial" w:cs="Arial"/>
                <w:bCs/>
              </w:rPr>
              <w:t> </w:t>
            </w:r>
          </w:p>
        </w:tc>
      </w:tr>
      <w:tr w:rsidR="005F1D6C" w:rsidRPr="00A12C0F" w14:paraId="2211C3DF" w14:textId="77777777" w:rsidTr="008C49F8">
        <w:trPr>
          <w:trHeight w:val="330"/>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33A831BD" w14:textId="77777777" w:rsidR="005F1D6C" w:rsidRPr="00A12C0F" w:rsidRDefault="005F1D6C" w:rsidP="008C49F8">
            <w:pPr>
              <w:rPr>
                <w:bCs/>
              </w:rPr>
            </w:pPr>
            <w:r w:rsidRPr="00A12C0F">
              <w:rPr>
                <w:rFonts w:ascii="Arial" w:hAnsi="Arial" w:cs="Arial"/>
                <w:bCs/>
              </w:rPr>
              <w:t>Investments</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688ED82" w14:textId="05CC5BB7" w:rsidR="005F1D6C" w:rsidRPr="00A12C0F" w:rsidRDefault="005F1D6C" w:rsidP="008C49F8">
            <w:pPr>
              <w:jc w:val="center"/>
              <w:rPr>
                <w:bCs/>
              </w:rPr>
            </w:pPr>
            <w:r w:rsidRPr="00A12C0F">
              <w:rPr>
                <w:rFonts w:ascii="Arial" w:hAnsi="Arial" w:cs="Arial"/>
                <w:bCs/>
              </w:rPr>
              <w:t>£</w:t>
            </w:r>
            <w:r w:rsidR="00112343">
              <w:rPr>
                <w:rFonts w:ascii="Arial" w:hAnsi="Arial" w:cs="Arial"/>
                <w:bCs/>
              </w:rPr>
              <w:t>46</w:t>
            </w:r>
            <w:r w:rsidRPr="00A12C0F">
              <w:rPr>
                <w:rFonts w:ascii="Arial" w:hAnsi="Arial" w:cs="Arial"/>
                <w:bCs/>
              </w:rPr>
              <w:t>.</w:t>
            </w:r>
            <w:r>
              <w:rPr>
                <w:rFonts w:ascii="Arial" w:hAnsi="Arial" w:cs="Arial"/>
                <w:bCs/>
              </w:rPr>
              <w:t>8</w:t>
            </w:r>
            <w:r w:rsidRPr="00A12C0F">
              <w:rPr>
                <w:rFonts w:ascii="Arial" w:hAnsi="Arial" w:cs="Arial"/>
                <w:bCs/>
              </w:rPr>
              <w:t>m</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E0C89DD" w14:textId="3D0D20AD" w:rsidR="005F1D6C" w:rsidRPr="00A12C0F" w:rsidRDefault="005F1D6C" w:rsidP="008C49F8">
            <w:pPr>
              <w:jc w:val="center"/>
              <w:rPr>
                <w:bCs/>
              </w:rPr>
            </w:pPr>
            <w:r w:rsidRPr="00A12C0F">
              <w:rPr>
                <w:rFonts w:ascii="Arial" w:hAnsi="Arial" w:cs="Arial"/>
                <w:bCs/>
              </w:rPr>
              <w:t>+/- £0.</w:t>
            </w:r>
            <w:r w:rsidR="00112343">
              <w:rPr>
                <w:rFonts w:ascii="Arial" w:hAnsi="Arial" w:cs="Arial"/>
                <w:bCs/>
              </w:rPr>
              <w:t>5</w:t>
            </w:r>
            <w:r w:rsidRPr="00A12C0F">
              <w:rPr>
                <w:rFonts w:ascii="Arial" w:hAnsi="Arial" w:cs="Arial"/>
                <w:bCs/>
              </w:rPr>
              <w:t>m</w:t>
            </w:r>
          </w:p>
        </w:tc>
      </w:tr>
      <w:tr w:rsidR="005F1D6C" w:rsidRPr="00A12C0F" w14:paraId="1C734D09" w14:textId="77777777" w:rsidTr="008C49F8">
        <w:trPr>
          <w:trHeight w:val="330"/>
          <w:jc w:val="center"/>
        </w:trPr>
        <w:tc>
          <w:tcPr>
            <w:tcW w:w="4536" w:type="dxa"/>
            <w:tcBorders>
              <w:top w:val="single" w:sz="6" w:space="0" w:color="auto"/>
              <w:left w:val="single" w:sz="6" w:space="0" w:color="auto"/>
              <w:bottom w:val="single" w:sz="6" w:space="0" w:color="auto"/>
              <w:right w:val="single" w:sz="6" w:space="0" w:color="auto"/>
            </w:tcBorders>
            <w:shd w:val="clear" w:color="auto" w:fill="auto"/>
            <w:vAlign w:val="center"/>
          </w:tcPr>
          <w:p w14:paraId="1E93FAA9" w14:textId="77777777" w:rsidR="005F1D6C" w:rsidRPr="00A12C0F" w:rsidRDefault="005F1D6C" w:rsidP="008C49F8">
            <w:pPr>
              <w:rPr>
                <w:rFonts w:ascii="Arial" w:hAnsi="Arial" w:cs="Arial"/>
                <w:bCs/>
              </w:rPr>
            </w:pPr>
            <w:r w:rsidRPr="00A12C0F">
              <w:rPr>
                <w:rFonts w:ascii="Arial" w:hAnsi="Arial" w:cs="Arial"/>
                <w:bCs/>
              </w:rPr>
              <w:t>Borrowing</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E03E529" w14:textId="77777777" w:rsidR="005F1D6C" w:rsidRPr="00A12C0F" w:rsidRDefault="005F1D6C" w:rsidP="008C49F8">
            <w:pPr>
              <w:jc w:val="center"/>
              <w:rPr>
                <w:rFonts w:ascii="Arial" w:hAnsi="Arial" w:cs="Arial"/>
                <w:bCs/>
              </w:rPr>
            </w:pPr>
            <w:r w:rsidRPr="00A12C0F">
              <w:rPr>
                <w:rFonts w:ascii="Arial" w:hAnsi="Arial" w:cs="Arial"/>
                <w:bCs/>
              </w:rPr>
              <w:t>£0.0m</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667B1F79" w14:textId="77777777" w:rsidR="005F1D6C" w:rsidRPr="00A12C0F" w:rsidRDefault="005F1D6C" w:rsidP="008C49F8">
            <w:pPr>
              <w:jc w:val="center"/>
              <w:rPr>
                <w:rFonts w:ascii="Arial" w:hAnsi="Arial" w:cs="Arial"/>
                <w:bCs/>
              </w:rPr>
            </w:pPr>
            <w:r w:rsidRPr="00A12C0F">
              <w:rPr>
                <w:rFonts w:ascii="Arial" w:hAnsi="Arial" w:cs="Arial"/>
                <w:bCs/>
              </w:rPr>
              <w:t>+/- £0.0m</w:t>
            </w:r>
          </w:p>
        </w:tc>
      </w:tr>
    </w:tbl>
    <w:p w14:paraId="4611DAC2" w14:textId="32AB8325" w:rsidR="00F41044" w:rsidRPr="00A21282" w:rsidRDefault="00F41044" w:rsidP="00A21282">
      <w:pPr>
        <w:spacing w:after="240"/>
        <w:rPr>
          <w:rFonts w:ascii="Arial" w:hAnsi="Arial" w:cs="Arial"/>
        </w:rPr>
      </w:pPr>
    </w:p>
    <w:sectPr w:rsidR="00F41044" w:rsidRPr="00A21282" w:rsidSect="00365448">
      <w:headerReference w:type="default" r:id="rId13"/>
      <w:head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7C69" w14:textId="77777777" w:rsidR="007749A3" w:rsidRDefault="007749A3">
      <w:r>
        <w:separator/>
      </w:r>
    </w:p>
  </w:endnote>
  <w:endnote w:type="continuationSeparator" w:id="0">
    <w:p w14:paraId="55416A76" w14:textId="77777777" w:rsidR="007749A3" w:rsidRDefault="007749A3">
      <w:r>
        <w:continuationSeparator/>
      </w:r>
    </w:p>
  </w:endnote>
  <w:endnote w:type="continuationNotice" w:id="1">
    <w:p w14:paraId="4F892DDD" w14:textId="77777777" w:rsidR="007749A3" w:rsidRDefault="00774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C19B7" w14:textId="77777777" w:rsidR="007749A3" w:rsidRDefault="007749A3">
      <w:r>
        <w:separator/>
      </w:r>
    </w:p>
  </w:footnote>
  <w:footnote w:type="continuationSeparator" w:id="0">
    <w:p w14:paraId="67C16034" w14:textId="77777777" w:rsidR="007749A3" w:rsidRDefault="007749A3">
      <w:r>
        <w:continuationSeparator/>
      </w:r>
    </w:p>
  </w:footnote>
  <w:footnote w:type="continuationNotice" w:id="1">
    <w:p w14:paraId="5DE85DC4" w14:textId="77777777" w:rsidR="007749A3" w:rsidRDefault="00774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CE69" w14:textId="5CB9FA7F" w:rsidR="00B336D6" w:rsidRDefault="00F553D2" w:rsidP="00AA0BC8">
    <w:pPr>
      <w:pStyle w:val="Header"/>
      <w:ind w:left="360"/>
      <w:jc w:val="right"/>
    </w:pPr>
    <w:r>
      <w:rPr>
        <w:noProof/>
      </w:rPr>
      <w:drawing>
        <wp:inline distT="0" distB="0" distL="0" distR="0" wp14:anchorId="039A045D" wp14:editId="35B7E9A2">
          <wp:extent cx="1518285" cy="762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62000"/>
                  </a:xfrm>
                  <a:prstGeom prst="rect">
                    <a:avLst/>
                  </a:prstGeom>
                  <a:noFill/>
                </pic:spPr>
              </pic:pic>
            </a:graphicData>
          </a:graphic>
        </wp:inline>
      </w:drawing>
    </w:r>
  </w:p>
  <w:p w14:paraId="7FEC7E7F" w14:textId="7FC653DC" w:rsidR="00B336D6" w:rsidRPr="00382A4E" w:rsidRDefault="00B336D6"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53C2" w14:textId="7F1006DA" w:rsidR="00B336D6" w:rsidRDefault="000F5BB8" w:rsidP="0051299B">
    <w:pPr>
      <w:pStyle w:val="Header"/>
      <w:ind w:left="360"/>
      <w:jc w:val="right"/>
      <w:rPr>
        <w:rFonts w:ascii="Arial" w:hAnsi="Arial" w:cs="Arial"/>
      </w:rPr>
    </w:pPr>
    <w:r>
      <w:rPr>
        <w:noProof/>
      </w:rPr>
      <w:drawing>
        <wp:inline distT="0" distB="0" distL="0" distR="0" wp14:anchorId="5527190A" wp14:editId="17ED20CD">
          <wp:extent cx="2800350" cy="787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87400"/>
                  </a:xfrm>
                  <a:prstGeom prst="rect">
                    <a:avLst/>
                  </a:prstGeom>
                  <a:noFill/>
                  <a:ln>
                    <a:noFill/>
                  </a:ln>
                </pic:spPr>
              </pic:pic>
            </a:graphicData>
          </a:graphic>
        </wp:inline>
      </w:drawing>
    </w:r>
  </w:p>
  <w:p w14:paraId="01852A79" w14:textId="77777777" w:rsidR="00B336D6" w:rsidRDefault="00B336D6" w:rsidP="0051299B">
    <w:pPr>
      <w:pStyle w:val="Header"/>
      <w:ind w:left="360"/>
      <w:jc w:val="center"/>
      <w:rPr>
        <w:rFonts w:ascii="Arial" w:hAnsi="Arial" w:cs="Arial"/>
      </w:rPr>
    </w:pPr>
  </w:p>
  <w:p w14:paraId="6CBB1422" w14:textId="77777777" w:rsidR="00B336D6" w:rsidRDefault="00B336D6"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B336D6" w:rsidRDefault="00B336D6"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B336D6" w:rsidRPr="00382A4E" w:rsidRDefault="00B336D6"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93F98"/>
    <w:multiLevelType w:val="hybridMultilevel"/>
    <w:tmpl w:val="CE74D760"/>
    <w:lvl w:ilvl="0" w:tplc="8A26586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06D99"/>
    <w:multiLevelType w:val="hybridMultilevel"/>
    <w:tmpl w:val="D9B4547E"/>
    <w:lvl w:ilvl="0" w:tplc="3D36A7FC">
      <w:numFmt w:val="bullet"/>
      <w:lvlText w:val="-"/>
      <w:lvlJc w:val="left"/>
      <w:pPr>
        <w:ind w:left="-174" w:hanging="360"/>
      </w:pPr>
      <w:rPr>
        <w:rFonts w:ascii="Trebuchet MS" w:eastAsia="Times New Roman" w:hAnsi="Trebuchet MS" w:cs="Times New Roman" w:hint="default"/>
      </w:rPr>
    </w:lvl>
    <w:lvl w:ilvl="1" w:tplc="08090003" w:tentative="1">
      <w:start w:val="1"/>
      <w:numFmt w:val="bullet"/>
      <w:lvlText w:val="o"/>
      <w:lvlJc w:val="left"/>
      <w:pPr>
        <w:ind w:left="546" w:hanging="360"/>
      </w:pPr>
      <w:rPr>
        <w:rFonts w:ascii="Courier New" w:hAnsi="Courier New" w:cs="Courier New" w:hint="default"/>
      </w:rPr>
    </w:lvl>
    <w:lvl w:ilvl="2" w:tplc="08090005" w:tentative="1">
      <w:start w:val="1"/>
      <w:numFmt w:val="bullet"/>
      <w:lvlText w:val=""/>
      <w:lvlJc w:val="left"/>
      <w:pPr>
        <w:ind w:left="1266" w:hanging="360"/>
      </w:pPr>
      <w:rPr>
        <w:rFonts w:ascii="Wingdings" w:hAnsi="Wingdings" w:hint="default"/>
      </w:rPr>
    </w:lvl>
    <w:lvl w:ilvl="3" w:tplc="08090001" w:tentative="1">
      <w:start w:val="1"/>
      <w:numFmt w:val="bullet"/>
      <w:lvlText w:val=""/>
      <w:lvlJc w:val="left"/>
      <w:pPr>
        <w:ind w:left="1986" w:hanging="360"/>
      </w:pPr>
      <w:rPr>
        <w:rFonts w:ascii="Symbol" w:hAnsi="Symbol" w:hint="default"/>
      </w:rPr>
    </w:lvl>
    <w:lvl w:ilvl="4" w:tplc="08090003" w:tentative="1">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6" w15:restartNumberingAfterBreak="0">
    <w:nsid w:val="392446CB"/>
    <w:multiLevelType w:val="multilevel"/>
    <w:tmpl w:val="9F343A46"/>
    <w:lvl w:ilvl="0">
      <w:start w:val="1"/>
      <w:numFmt w:val="decimal"/>
      <w:lvlText w:val="%1."/>
      <w:lvlJc w:val="left"/>
      <w:pPr>
        <w:ind w:left="720" w:hanging="720"/>
      </w:pPr>
      <w:rPr>
        <w:rFonts w:ascii="Arial" w:hAnsi="Arial" w:cs="Arial" w:hint="default"/>
        <w:b w:val="0"/>
        <w:bCs/>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804E5C"/>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3F3E80"/>
    <w:multiLevelType w:val="hybridMultilevel"/>
    <w:tmpl w:val="67D8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341654">
    <w:abstractNumId w:val="4"/>
  </w:num>
  <w:num w:numId="2" w16cid:durableId="1799107848">
    <w:abstractNumId w:val="8"/>
  </w:num>
  <w:num w:numId="3" w16cid:durableId="900601888">
    <w:abstractNumId w:val="7"/>
  </w:num>
  <w:num w:numId="4" w16cid:durableId="1607273881">
    <w:abstractNumId w:val="7"/>
  </w:num>
  <w:num w:numId="5" w16cid:durableId="585110149">
    <w:abstractNumId w:val="0"/>
  </w:num>
  <w:num w:numId="6" w16cid:durableId="297034510">
    <w:abstractNumId w:val="3"/>
  </w:num>
  <w:num w:numId="7" w16cid:durableId="1245601279">
    <w:abstractNumId w:val="1"/>
  </w:num>
  <w:num w:numId="8" w16cid:durableId="1633056379">
    <w:abstractNumId w:val="9"/>
  </w:num>
  <w:num w:numId="9" w16cid:durableId="1679769718">
    <w:abstractNumId w:val="2"/>
  </w:num>
  <w:num w:numId="10" w16cid:durableId="1608391779">
    <w:abstractNumId w:val="5"/>
  </w:num>
  <w:num w:numId="11" w16cid:durableId="168069943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0C"/>
    <w:rsid w:val="00000C34"/>
    <w:rsid w:val="000012BF"/>
    <w:rsid w:val="00001AAD"/>
    <w:rsid w:val="00003353"/>
    <w:rsid w:val="00003E24"/>
    <w:rsid w:val="00003EA0"/>
    <w:rsid w:val="00003ED7"/>
    <w:rsid w:val="00003FC5"/>
    <w:rsid w:val="000040CD"/>
    <w:rsid w:val="00004136"/>
    <w:rsid w:val="000046E2"/>
    <w:rsid w:val="000053E2"/>
    <w:rsid w:val="00005517"/>
    <w:rsid w:val="00005660"/>
    <w:rsid w:val="00005E19"/>
    <w:rsid w:val="00006165"/>
    <w:rsid w:val="00006BD7"/>
    <w:rsid w:val="00007301"/>
    <w:rsid w:val="00007AA2"/>
    <w:rsid w:val="00007E62"/>
    <w:rsid w:val="000105AF"/>
    <w:rsid w:val="0001064E"/>
    <w:rsid w:val="000108F3"/>
    <w:rsid w:val="00011951"/>
    <w:rsid w:val="0001331B"/>
    <w:rsid w:val="00013ABB"/>
    <w:rsid w:val="00013BAF"/>
    <w:rsid w:val="00013D13"/>
    <w:rsid w:val="00014022"/>
    <w:rsid w:val="00014703"/>
    <w:rsid w:val="000148B5"/>
    <w:rsid w:val="00014B4B"/>
    <w:rsid w:val="00014F0D"/>
    <w:rsid w:val="00015059"/>
    <w:rsid w:val="00015953"/>
    <w:rsid w:val="00015B32"/>
    <w:rsid w:val="00015F36"/>
    <w:rsid w:val="000170D8"/>
    <w:rsid w:val="00017398"/>
    <w:rsid w:val="000213A0"/>
    <w:rsid w:val="00022722"/>
    <w:rsid w:val="000232FE"/>
    <w:rsid w:val="00023423"/>
    <w:rsid w:val="00024916"/>
    <w:rsid w:val="000249F5"/>
    <w:rsid w:val="00024AC7"/>
    <w:rsid w:val="00024DF4"/>
    <w:rsid w:val="00025364"/>
    <w:rsid w:val="00025DF5"/>
    <w:rsid w:val="00026C9E"/>
    <w:rsid w:val="00026EBD"/>
    <w:rsid w:val="00027510"/>
    <w:rsid w:val="00027768"/>
    <w:rsid w:val="0002789D"/>
    <w:rsid w:val="00027E51"/>
    <w:rsid w:val="00031FDD"/>
    <w:rsid w:val="0003290B"/>
    <w:rsid w:val="00032DF6"/>
    <w:rsid w:val="00033393"/>
    <w:rsid w:val="00034A31"/>
    <w:rsid w:val="00034B50"/>
    <w:rsid w:val="0003555B"/>
    <w:rsid w:val="00035D17"/>
    <w:rsid w:val="00035E3F"/>
    <w:rsid w:val="00036181"/>
    <w:rsid w:val="0003753A"/>
    <w:rsid w:val="00037F69"/>
    <w:rsid w:val="0004183B"/>
    <w:rsid w:val="00041A67"/>
    <w:rsid w:val="000423FA"/>
    <w:rsid w:val="0004272B"/>
    <w:rsid w:val="00042E30"/>
    <w:rsid w:val="00042FE1"/>
    <w:rsid w:val="00043816"/>
    <w:rsid w:val="00043A25"/>
    <w:rsid w:val="00043BF5"/>
    <w:rsid w:val="000441DF"/>
    <w:rsid w:val="000446C2"/>
    <w:rsid w:val="000461D1"/>
    <w:rsid w:val="000462E7"/>
    <w:rsid w:val="0004733F"/>
    <w:rsid w:val="0004746F"/>
    <w:rsid w:val="00047770"/>
    <w:rsid w:val="00047A0B"/>
    <w:rsid w:val="00047AF1"/>
    <w:rsid w:val="00047CDB"/>
    <w:rsid w:val="00047E7D"/>
    <w:rsid w:val="00050C91"/>
    <w:rsid w:val="00050E27"/>
    <w:rsid w:val="00051F56"/>
    <w:rsid w:val="00051F65"/>
    <w:rsid w:val="00052222"/>
    <w:rsid w:val="00052552"/>
    <w:rsid w:val="000525A4"/>
    <w:rsid w:val="00052758"/>
    <w:rsid w:val="000528AA"/>
    <w:rsid w:val="0005293C"/>
    <w:rsid w:val="00052EFD"/>
    <w:rsid w:val="00053097"/>
    <w:rsid w:val="00053107"/>
    <w:rsid w:val="0005315E"/>
    <w:rsid w:val="000533C4"/>
    <w:rsid w:val="0005365D"/>
    <w:rsid w:val="000538CC"/>
    <w:rsid w:val="000543DC"/>
    <w:rsid w:val="0005471A"/>
    <w:rsid w:val="000550EF"/>
    <w:rsid w:val="00055142"/>
    <w:rsid w:val="00055FE3"/>
    <w:rsid w:val="00056450"/>
    <w:rsid w:val="0005645D"/>
    <w:rsid w:val="0005665D"/>
    <w:rsid w:val="00056778"/>
    <w:rsid w:val="00056D9C"/>
    <w:rsid w:val="00057C64"/>
    <w:rsid w:val="00057D9A"/>
    <w:rsid w:val="00060720"/>
    <w:rsid w:val="000608B1"/>
    <w:rsid w:val="00062780"/>
    <w:rsid w:val="00062959"/>
    <w:rsid w:val="000630CC"/>
    <w:rsid w:val="00063CE3"/>
    <w:rsid w:val="00064F5A"/>
    <w:rsid w:val="00065027"/>
    <w:rsid w:val="0006597C"/>
    <w:rsid w:val="00066312"/>
    <w:rsid w:val="00066454"/>
    <w:rsid w:val="0006696B"/>
    <w:rsid w:val="00066D4B"/>
    <w:rsid w:val="00066DFB"/>
    <w:rsid w:val="000670C1"/>
    <w:rsid w:val="000676FA"/>
    <w:rsid w:val="0006772D"/>
    <w:rsid w:val="00067763"/>
    <w:rsid w:val="00067884"/>
    <w:rsid w:val="00067DC1"/>
    <w:rsid w:val="00067EA6"/>
    <w:rsid w:val="000708D8"/>
    <w:rsid w:val="00070D9F"/>
    <w:rsid w:val="00071401"/>
    <w:rsid w:val="00071513"/>
    <w:rsid w:val="00071E26"/>
    <w:rsid w:val="000731C4"/>
    <w:rsid w:val="00074374"/>
    <w:rsid w:val="00074D66"/>
    <w:rsid w:val="00074DB9"/>
    <w:rsid w:val="00080508"/>
    <w:rsid w:val="0008073E"/>
    <w:rsid w:val="000810A6"/>
    <w:rsid w:val="0008168E"/>
    <w:rsid w:val="00081D9C"/>
    <w:rsid w:val="00083249"/>
    <w:rsid w:val="00083826"/>
    <w:rsid w:val="00084837"/>
    <w:rsid w:val="00084865"/>
    <w:rsid w:val="000852EF"/>
    <w:rsid w:val="00086085"/>
    <w:rsid w:val="0008644C"/>
    <w:rsid w:val="00086CF9"/>
    <w:rsid w:val="00086DFA"/>
    <w:rsid w:val="00086F9E"/>
    <w:rsid w:val="000873C5"/>
    <w:rsid w:val="00090706"/>
    <w:rsid w:val="00090A81"/>
    <w:rsid w:val="000914A8"/>
    <w:rsid w:val="00092533"/>
    <w:rsid w:val="00092C57"/>
    <w:rsid w:val="000931C3"/>
    <w:rsid w:val="0009577C"/>
    <w:rsid w:val="00095CAC"/>
    <w:rsid w:val="0009617C"/>
    <w:rsid w:val="000961B7"/>
    <w:rsid w:val="000969C9"/>
    <w:rsid w:val="000A007B"/>
    <w:rsid w:val="000A134C"/>
    <w:rsid w:val="000A1BCC"/>
    <w:rsid w:val="000A1D2E"/>
    <w:rsid w:val="000A2213"/>
    <w:rsid w:val="000A26B5"/>
    <w:rsid w:val="000A2D04"/>
    <w:rsid w:val="000A2F88"/>
    <w:rsid w:val="000A3405"/>
    <w:rsid w:val="000A34E3"/>
    <w:rsid w:val="000A3A39"/>
    <w:rsid w:val="000A42A6"/>
    <w:rsid w:val="000A4678"/>
    <w:rsid w:val="000A4959"/>
    <w:rsid w:val="000A4EB0"/>
    <w:rsid w:val="000A5563"/>
    <w:rsid w:val="000A5718"/>
    <w:rsid w:val="000A6D81"/>
    <w:rsid w:val="000A7F06"/>
    <w:rsid w:val="000A7F14"/>
    <w:rsid w:val="000A7FAC"/>
    <w:rsid w:val="000B02C5"/>
    <w:rsid w:val="000B10A1"/>
    <w:rsid w:val="000B198E"/>
    <w:rsid w:val="000B1C66"/>
    <w:rsid w:val="000B292E"/>
    <w:rsid w:val="000B35FE"/>
    <w:rsid w:val="000B3B33"/>
    <w:rsid w:val="000B47F3"/>
    <w:rsid w:val="000B6A54"/>
    <w:rsid w:val="000B6FC0"/>
    <w:rsid w:val="000C0DDA"/>
    <w:rsid w:val="000C18EB"/>
    <w:rsid w:val="000C2A6F"/>
    <w:rsid w:val="000C3EB8"/>
    <w:rsid w:val="000C4398"/>
    <w:rsid w:val="000C4EB5"/>
    <w:rsid w:val="000C5533"/>
    <w:rsid w:val="000C5713"/>
    <w:rsid w:val="000C695B"/>
    <w:rsid w:val="000C715F"/>
    <w:rsid w:val="000C7379"/>
    <w:rsid w:val="000C7F08"/>
    <w:rsid w:val="000D1F1F"/>
    <w:rsid w:val="000D20F5"/>
    <w:rsid w:val="000D2479"/>
    <w:rsid w:val="000D3BF7"/>
    <w:rsid w:val="000D5019"/>
    <w:rsid w:val="000D5121"/>
    <w:rsid w:val="000D662C"/>
    <w:rsid w:val="000D7217"/>
    <w:rsid w:val="000E0F9D"/>
    <w:rsid w:val="000E18FC"/>
    <w:rsid w:val="000E19CB"/>
    <w:rsid w:val="000E27CB"/>
    <w:rsid w:val="000E2E12"/>
    <w:rsid w:val="000E2E37"/>
    <w:rsid w:val="000E2F3C"/>
    <w:rsid w:val="000E30E1"/>
    <w:rsid w:val="000E362F"/>
    <w:rsid w:val="000E3EEB"/>
    <w:rsid w:val="000E4B71"/>
    <w:rsid w:val="000E4BE2"/>
    <w:rsid w:val="000E5204"/>
    <w:rsid w:val="000E5EB4"/>
    <w:rsid w:val="000E6710"/>
    <w:rsid w:val="000E6E0C"/>
    <w:rsid w:val="000E6E49"/>
    <w:rsid w:val="000E6FAB"/>
    <w:rsid w:val="000E70F3"/>
    <w:rsid w:val="000E7BC2"/>
    <w:rsid w:val="000E7E38"/>
    <w:rsid w:val="000F01F5"/>
    <w:rsid w:val="000F1AC7"/>
    <w:rsid w:val="000F1C2C"/>
    <w:rsid w:val="000F20A9"/>
    <w:rsid w:val="000F26F0"/>
    <w:rsid w:val="000F29A8"/>
    <w:rsid w:val="000F29C3"/>
    <w:rsid w:val="000F3805"/>
    <w:rsid w:val="000F476E"/>
    <w:rsid w:val="000F4C13"/>
    <w:rsid w:val="000F5811"/>
    <w:rsid w:val="000F5BB8"/>
    <w:rsid w:val="000F65EA"/>
    <w:rsid w:val="000F75EC"/>
    <w:rsid w:val="000F7DFC"/>
    <w:rsid w:val="00101175"/>
    <w:rsid w:val="00101648"/>
    <w:rsid w:val="00101A8D"/>
    <w:rsid w:val="00102F57"/>
    <w:rsid w:val="00103190"/>
    <w:rsid w:val="00103CAA"/>
    <w:rsid w:val="00103E74"/>
    <w:rsid w:val="00104283"/>
    <w:rsid w:val="00104982"/>
    <w:rsid w:val="00104BC3"/>
    <w:rsid w:val="00104D10"/>
    <w:rsid w:val="00104EEF"/>
    <w:rsid w:val="0010570C"/>
    <w:rsid w:val="00106360"/>
    <w:rsid w:val="0010655F"/>
    <w:rsid w:val="00106FC1"/>
    <w:rsid w:val="00107A60"/>
    <w:rsid w:val="001101ED"/>
    <w:rsid w:val="001102F6"/>
    <w:rsid w:val="00110901"/>
    <w:rsid w:val="00110BB6"/>
    <w:rsid w:val="0011100B"/>
    <w:rsid w:val="00111801"/>
    <w:rsid w:val="00111FAD"/>
    <w:rsid w:val="00112343"/>
    <w:rsid w:val="001127C1"/>
    <w:rsid w:val="00112D58"/>
    <w:rsid w:val="0011311A"/>
    <w:rsid w:val="00113DE0"/>
    <w:rsid w:val="001147FA"/>
    <w:rsid w:val="00114DFF"/>
    <w:rsid w:val="00115893"/>
    <w:rsid w:val="00115CB9"/>
    <w:rsid w:val="001166C6"/>
    <w:rsid w:val="00120744"/>
    <w:rsid w:val="00120AD0"/>
    <w:rsid w:val="00120E42"/>
    <w:rsid w:val="00121ABA"/>
    <w:rsid w:val="0012209D"/>
    <w:rsid w:val="001222A1"/>
    <w:rsid w:val="0012252D"/>
    <w:rsid w:val="0012254D"/>
    <w:rsid w:val="001228AE"/>
    <w:rsid w:val="00122DCF"/>
    <w:rsid w:val="001238E5"/>
    <w:rsid w:val="00123955"/>
    <w:rsid w:val="00123BE4"/>
    <w:rsid w:val="00123F7C"/>
    <w:rsid w:val="00124524"/>
    <w:rsid w:val="00124FB9"/>
    <w:rsid w:val="00125466"/>
    <w:rsid w:val="00127092"/>
    <w:rsid w:val="00127ABC"/>
    <w:rsid w:val="00130E0F"/>
    <w:rsid w:val="001313E7"/>
    <w:rsid w:val="001324C4"/>
    <w:rsid w:val="00132DA3"/>
    <w:rsid w:val="00133105"/>
    <w:rsid w:val="00133499"/>
    <w:rsid w:val="001335F1"/>
    <w:rsid w:val="001341A9"/>
    <w:rsid w:val="001346A7"/>
    <w:rsid w:val="00134E28"/>
    <w:rsid w:val="00134FBE"/>
    <w:rsid w:val="0013537A"/>
    <w:rsid w:val="001354E0"/>
    <w:rsid w:val="0013567E"/>
    <w:rsid w:val="0013577F"/>
    <w:rsid w:val="00136AB8"/>
    <w:rsid w:val="001375CE"/>
    <w:rsid w:val="001376F5"/>
    <w:rsid w:val="00137D69"/>
    <w:rsid w:val="00140D97"/>
    <w:rsid w:val="00141385"/>
    <w:rsid w:val="0014141F"/>
    <w:rsid w:val="001416EC"/>
    <w:rsid w:val="00141B85"/>
    <w:rsid w:val="00141D46"/>
    <w:rsid w:val="0014285D"/>
    <w:rsid w:val="00142897"/>
    <w:rsid w:val="00142B74"/>
    <w:rsid w:val="0014300F"/>
    <w:rsid w:val="00145754"/>
    <w:rsid w:val="001458F7"/>
    <w:rsid w:val="0014638B"/>
    <w:rsid w:val="00146588"/>
    <w:rsid w:val="001468C0"/>
    <w:rsid w:val="00146EC7"/>
    <w:rsid w:val="00147C76"/>
    <w:rsid w:val="00150300"/>
    <w:rsid w:val="001511EB"/>
    <w:rsid w:val="001512BA"/>
    <w:rsid w:val="001527E7"/>
    <w:rsid w:val="00153377"/>
    <w:rsid w:val="00153A6B"/>
    <w:rsid w:val="00153E59"/>
    <w:rsid w:val="001544D3"/>
    <w:rsid w:val="001546C7"/>
    <w:rsid w:val="00155B77"/>
    <w:rsid w:val="00155FC6"/>
    <w:rsid w:val="001563F9"/>
    <w:rsid w:val="001566C8"/>
    <w:rsid w:val="001567FC"/>
    <w:rsid w:val="001569FB"/>
    <w:rsid w:val="00157E63"/>
    <w:rsid w:val="00160C5B"/>
    <w:rsid w:val="00161292"/>
    <w:rsid w:val="0016148E"/>
    <w:rsid w:val="0016199B"/>
    <w:rsid w:val="00161DD1"/>
    <w:rsid w:val="0016200B"/>
    <w:rsid w:val="001634BE"/>
    <w:rsid w:val="00163F84"/>
    <w:rsid w:val="001656A6"/>
    <w:rsid w:val="00165D19"/>
    <w:rsid w:val="0016654A"/>
    <w:rsid w:val="00166802"/>
    <w:rsid w:val="00166C91"/>
    <w:rsid w:val="0016704B"/>
    <w:rsid w:val="00167542"/>
    <w:rsid w:val="00170003"/>
    <w:rsid w:val="0017056B"/>
    <w:rsid w:val="0017163D"/>
    <w:rsid w:val="0017196C"/>
    <w:rsid w:val="0017220D"/>
    <w:rsid w:val="001722F5"/>
    <w:rsid w:val="0017251A"/>
    <w:rsid w:val="00172870"/>
    <w:rsid w:val="001734B2"/>
    <w:rsid w:val="001739AA"/>
    <w:rsid w:val="00173BEF"/>
    <w:rsid w:val="001742F3"/>
    <w:rsid w:val="001748C1"/>
    <w:rsid w:val="00174EF9"/>
    <w:rsid w:val="00176F6A"/>
    <w:rsid w:val="001777CE"/>
    <w:rsid w:val="00177A4A"/>
    <w:rsid w:val="00177F6C"/>
    <w:rsid w:val="001803C9"/>
    <w:rsid w:val="00181B10"/>
    <w:rsid w:val="001826DF"/>
    <w:rsid w:val="00182748"/>
    <w:rsid w:val="001827A9"/>
    <w:rsid w:val="00182B84"/>
    <w:rsid w:val="00182E1F"/>
    <w:rsid w:val="00183950"/>
    <w:rsid w:val="00184283"/>
    <w:rsid w:val="0018463D"/>
    <w:rsid w:val="00184826"/>
    <w:rsid w:val="0018509B"/>
    <w:rsid w:val="00186027"/>
    <w:rsid w:val="00186501"/>
    <w:rsid w:val="00186566"/>
    <w:rsid w:val="00186A5E"/>
    <w:rsid w:val="00187BCD"/>
    <w:rsid w:val="00190B98"/>
    <w:rsid w:val="001919B5"/>
    <w:rsid w:val="001919F1"/>
    <w:rsid w:val="001921CB"/>
    <w:rsid w:val="00192A37"/>
    <w:rsid w:val="001931BA"/>
    <w:rsid w:val="0019327C"/>
    <w:rsid w:val="0019400F"/>
    <w:rsid w:val="001947D4"/>
    <w:rsid w:val="00194E0E"/>
    <w:rsid w:val="0019505C"/>
    <w:rsid w:val="001959A7"/>
    <w:rsid w:val="00195A5E"/>
    <w:rsid w:val="001961B5"/>
    <w:rsid w:val="00197150"/>
    <w:rsid w:val="001976A3"/>
    <w:rsid w:val="001A04A9"/>
    <w:rsid w:val="001A09D8"/>
    <w:rsid w:val="001A11CC"/>
    <w:rsid w:val="001A1493"/>
    <w:rsid w:val="001A14E6"/>
    <w:rsid w:val="001A2DE3"/>
    <w:rsid w:val="001A2E1E"/>
    <w:rsid w:val="001A35CB"/>
    <w:rsid w:val="001A39FD"/>
    <w:rsid w:val="001A3FB4"/>
    <w:rsid w:val="001A4214"/>
    <w:rsid w:val="001A4572"/>
    <w:rsid w:val="001A4E20"/>
    <w:rsid w:val="001A5167"/>
    <w:rsid w:val="001A51C6"/>
    <w:rsid w:val="001A5581"/>
    <w:rsid w:val="001A62F9"/>
    <w:rsid w:val="001A72E6"/>
    <w:rsid w:val="001A7A6F"/>
    <w:rsid w:val="001B0663"/>
    <w:rsid w:val="001B0C05"/>
    <w:rsid w:val="001B0F48"/>
    <w:rsid w:val="001B130F"/>
    <w:rsid w:val="001B1835"/>
    <w:rsid w:val="001B2565"/>
    <w:rsid w:val="001B312F"/>
    <w:rsid w:val="001B3134"/>
    <w:rsid w:val="001B37B9"/>
    <w:rsid w:val="001B3BF6"/>
    <w:rsid w:val="001B4043"/>
    <w:rsid w:val="001B4081"/>
    <w:rsid w:val="001B4C97"/>
    <w:rsid w:val="001B59AA"/>
    <w:rsid w:val="001B683E"/>
    <w:rsid w:val="001B732E"/>
    <w:rsid w:val="001B77F2"/>
    <w:rsid w:val="001B7937"/>
    <w:rsid w:val="001C0C54"/>
    <w:rsid w:val="001C2664"/>
    <w:rsid w:val="001C3AD1"/>
    <w:rsid w:val="001C4213"/>
    <w:rsid w:val="001C4C96"/>
    <w:rsid w:val="001C4FB0"/>
    <w:rsid w:val="001C5D24"/>
    <w:rsid w:val="001C5E6B"/>
    <w:rsid w:val="001C62A6"/>
    <w:rsid w:val="001C6908"/>
    <w:rsid w:val="001C6C1A"/>
    <w:rsid w:val="001C7FA7"/>
    <w:rsid w:val="001D0F8E"/>
    <w:rsid w:val="001D128A"/>
    <w:rsid w:val="001D14C6"/>
    <w:rsid w:val="001D1E71"/>
    <w:rsid w:val="001D2101"/>
    <w:rsid w:val="001D2AF7"/>
    <w:rsid w:val="001D3D3B"/>
    <w:rsid w:val="001D4183"/>
    <w:rsid w:val="001D67CF"/>
    <w:rsid w:val="001D7564"/>
    <w:rsid w:val="001D7D03"/>
    <w:rsid w:val="001E146D"/>
    <w:rsid w:val="001E1D91"/>
    <w:rsid w:val="001E21B7"/>
    <w:rsid w:val="001E241C"/>
    <w:rsid w:val="001E27FC"/>
    <w:rsid w:val="001E2F70"/>
    <w:rsid w:val="001E3ACB"/>
    <w:rsid w:val="001E3F63"/>
    <w:rsid w:val="001E4E83"/>
    <w:rsid w:val="001E5356"/>
    <w:rsid w:val="001E57DD"/>
    <w:rsid w:val="001E57DF"/>
    <w:rsid w:val="001E5E82"/>
    <w:rsid w:val="001E655E"/>
    <w:rsid w:val="001E6638"/>
    <w:rsid w:val="001E6677"/>
    <w:rsid w:val="001E6B81"/>
    <w:rsid w:val="001E7577"/>
    <w:rsid w:val="001E77EB"/>
    <w:rsid w:val="001E7986"/>
    <w:rsid w:val="001E7C8C"/>
    <w:rsid w:val="001F1A1C"/>
    <w:rsid w:val="001F1D18"/>
    <w:rsid w:val="001F2834"/>
    <w:rsid w:val="001F2A11"/>
    <w:rsid w:val="001F2C3D"/>
    <w:rsid w:val="001F2CDD"/>
    <w:rsid w:val="001F3412"/>
    <w:rsid w:val="001F34A4"/>
    <w:rsid w:val="001F4D6E"/>
    <w:rsid w:val="001F506D"/>
    <w:rsid w:val="001F522A"/>
    <w:rsid w:val="001F5A85"/>
    <w:rsid w:val="001F6417"/>
    <w:rsid w:val="001F6D1F"/>
    <w:rsid w:val="001F6EB2"/>
    <w:rsid w:val="001F726D"/>
    <w:rsid w:val="001F7C05"/>
    <w:rsid w:val="00200BBB"/>
    <w:rsid w:val="0020119C"/>
    <w:rsid w:val="00201892"/>
    <w:rsid w:val="002024F0"/>
    <w:rsid w:val="00202747"/>
    <w:rsid w:val="002042D7"/>
    <w:rsid w:val="00205D59"/>
    <w:rsid w:val="002071E1"/>
    <w:rsid w:val="0021067E"/>
    <w:rsid w:val="00210DF2"/>
    <w:rsid w:val="00211218"/>
    <w:rsid w:val="002113CA"/>
    <w:rsid w:val="002117BC"/>
    <w:rsid w:val="00212539"/>
    <w:rsid w:val="002135F6"/>
    <w:rsid w:val="002137D8"/>
    <w:rsid w:val="00213EEC"/>
    <w:rsid w:val="00214171"/>
    <w:rsid w:val="00215730"/>
    <w:rsid w:val="002158F5"/>
    <w:rsid w:val="00216CD4"/>
    <w:rsid w:val="00216E95"/>
    <w:rsid w:val="0022062A"/>
    <w:rsid w:val="00220792"/>
    <w:rsid w:val="0022094A"/>
    <w:rsid w:val="00220E60"/>
    <w:rsid w:val="00220F54"/>
    <w:rsid w:val="00221851"/>
    <w:rsid w:val="002218A8"/>
    <w:rsid w:val="00222EE9"/>
    <w:rsid w:val="00223737"/>
    <w:rsid w:val="002240EA"/>
    <w:rsid w:val="0022439C"/>
    <w:rsid w:val="00224791"/>
    <w:rsid w:val="0022486C"/>
    <w:rsid w:val="00224F50"/>
    <w:rsid w:val="0022507C"/>
    <w:rsid w:val="00225106"/>
    <w:rsid w:val="00225D46"/>
    <w:rsid w:val="00226A83"/>
    <w:rsid w:val="00226ACD"/>
    <w:rsid w:val="00226CED"/>
    <w:rsid w:val="00227C3E"/>
    <w:rsid w:val="0023116F"/>
    <w:rsid w:val="0023225B"/>
    <w:rsid w:val="0023379D"/>
    <w:rsid w:val="00233F83"/>
    <w:rsid w:val="00234403"/>
    <w:rsid w:val="00234499"/>
    <w:rsid w:val="00234D07"/>
    <w:rsid w:val="002352CD"/>
    <w:rsid w:val="0023548B"/>
    <w:rsid w:val="0023590A"/>
    <w:rsid w:val="002369AF"/>
    <w:rsid w:val="00236A75"/>
    <w:rsid w:val="002370B5"/>
    <w:rsid w:val="002378DC"/>
    <w:rsid w:val="00237FB9"/>
    <w:rsid w:val="00240475"/>
    <w:rsid w:val="00241F95"/>
    <w:rsid w:val="0024206A"/>
    <w:rsid w:val="00242A06"/>
    <w:rsid w:val="0024314E"/>
    <w:rsid w:val="0024347B"/>
    <w:rsid w:val="002436FD"/>
    <w:rsid w:val="002439AB"/>
    <w:rsid w:val="00243B0D"/>
    <w:rsid w:val="0024434A"/>
    <w:rsid w:val="00245BDB"/>
    <w:rsid w:val="00247751"/>
    <w:rsid w:val="00247F76"/>
    <w:rsid w:val="00251C02"/>
    <w:rsid w:val="00252777"/>
    <w:rsid w:val="00252B31"/>
    <w:rsid w:val="00252C4C"/>
    <w:rsid w:val="00253AE7"/>
    <w:rsid w:val="00253BF7"/>
    <w:rsid w:val="00253E3D"/>
    <w:rsid w:val="00254C56"/>
    <w:rsid w:val="00254DDF"/>
    <w:rsid w:val="002558D6"/>
    <w:rsid w:val="002559FB"/>
    <w:rsid w:val="00256073"/>
    <w:rsid w:val="00256A87"/>
    <w:rsid w:val="00256FC2"/>
    <w:rsid w:val="00257034"/>
    <w:rsid w:val="00257540"/>
    <w:rsid w:val="00257C34"/>
    <w:rsid w:val="002609EF"/>
    <w:rsid w:val="00261118"/>
    <w:rsid w:val="00261864"/>
    <w:rsid w:val="002619A3"/>
    <w:rsid w:val="00262025"/>
    <w:rsid w:val="00262315"/>
    <w:rsid w:val="0026231F"/>
    <w:rsid w:val="00262CBA"/>
    <w:rsid w:val="00263800"/>
    <w:rsid w:val="00263A7B"/>
    <w:rsid w:val="00264058"/>
    <w:rsid w:val="002647F1"/>
    <w:rsid w:val="00264E2C"/>
    <w:rsid w:val="00265F96"/>
    <w:rsid w:val="002663A8"/>
    <w:rsid w:val="002669D7"/>
    <w:rsid w:val="0026706D"/>
    <w:rsid w:val="002678E4"/>
    <w:rsid w:val="00267F6A"/>
    <w:rsid w:val="002701C0"/>
    <w:rsid w:val="00271938"/>
    <w:rsid w:val="00271FA5"/>
    <w:rsid w:val="002720D3"/>
    <w:rsid w:val="00272D72"/>
    <w:rsid w:val="00274142"/>
    <w:rsid w:val="002745EF"/>
    <w:rsid w:val="00276635"/>
    <w:rsid w:val="00276671"/>
    <w:rsid w:val="00277004"/>
    <w:rsid w:val="002778B0"/>
    <w:rsid w:val="00277C3C"/>
    <w:rsid w:val="00277ED3"/>
    <w:rsid w:val="002801EB"/>
    <w:rsid w:val="0028036B"/>
    <w:rsid w:val="00280751"/>
    <w:rsid w:val="00280B58"/>
    <w:rsid w:val="00280CF9"/>
    <w:rsid w:val="002811E6"/>
    <w:rsid w:val="0028150D"/>
    <w:rsid w:val="002824CD"/>
    <w:rsid w:val="00282ACA"/>
    <w:rsid w:val="00283119"/>
    <w:rsid w:val="00285D8C"/>
    <w:rsid w:val="00285F1B"/>
    <w:rsid w:val="00286222"/>
    <w:rsid w:val="00286B42"/>
    <w:rsid w:val="00287006"/>
    <w:rsid w:val="00287A8E"/>
    <w:rsid w:val="00287F1C"/>
    <w:rsid w:val="00291D76"/>
    <w:rsid w:val="00292489"/>
    <w:rsid w:val="00292A67"/>
    <w:rsid w:val="00292B47"/>
    <w:rsid w:val="0029365A"/>
    <w:rsid w:val="002954D2"/>
    <w:rsid w:val="00295567"/>
    <w:rsid w:val="002955D1"/>
    <w:rsid w:val="002958A1"/>
    <w:rsid w:val="00295F78"/>
    <w:rsid w:val="00296A85"/>
    <w:rsid w:val="00296FEE"/>
    <w:rsid w:val="0029746A"/>
    <w:rsid w:val="00297F8B"/>
    <w:rsid w:val="002A0641"/>
    <w:rsid w:val="002A072A"/>
    <w:rsid w:val="002A087D"/>
    <w:rsid w:val="002A0D0A"/>
    <w:rsid w:val="002A125F"/>
    <w:rsid w:val="002A17AF"/>
    <w:rsid w:val="002A1B79"/>
    <w:rsid w:val="002A28E1"/>
    <w:rsid w:val="002A47A0"/>
    <w:rsid w:val="002A4E25"/>
    <w:rsid w:val="002A54F2"/>
    <w:rsid w:val="002A6534"/>
    <w:rsid w:val="002A7553"/>
    <w:rsid w:val="002A7E6E"/>
    <w:rsid w:val="002B056F"/>
    <w:rsid w:val="002B1208"/>
    <w:rsid w:val="002B21D7"/>
    <w:rsid w:val="002B22F8"/>
    <w:rsid w:val="002B265C"/>
    <w:rsid w:val="002B3B36"/>
    <w:rsid w:val="002B3B8A"/>
    <w:rsid w:val="002B3CB3"/>
    <w:rsid w:val="002B475E"/>
    <w:rsid w:val="002B48D3"/>
    <w:rsid w:val="002B49E6"/>
    <w:rsid w:val="002B6AE5"/>
    <w:rsid w:val="002B6B33"/>
    <w:rsid w:val="002B7066"/>
    <w:rsid w:val="002B7612"/>
    <w:rsid w:val="002B7971"/>
    <w:rsid w:val="002B7CF0"/>
    <w:rsid w:val="002B7F22"/>
    <w:rsid w:val="002C00EC"/>
    <w:rsid w:val="002C0524"/>
    <w:rsid w:val="002C0D71"/>
    <w:rsid w:val="002C0FF9"/>
    <w:rsid w:val="002C1356"/>
    <w:rsid w:val="002C13D1"/>
    <w:rsid w:val="002C14ED"/>
    <w:rsid w:val="002C21DC"/>
    <w:rsid w:val="002C2FE0"/>
    <w:rsid w:val="002C3913"/>
    <w:rsid w:val="002C3988"/>
    <w:rsid w:val="002C4566"/>
    <w:rsid w:val="002C4C1B"/>
    <w:rsid w:val="002C5A8C"/>
    <w:rsid w:val="002C662C"/>
    <w:rsid w:val="002C7788"/>
    <w:rsid w:val="002C7912"/>
    <w:rsid w:val="002D017E"/>
    <w:rsid w:val="002D07BC"/>
    <w:rsid w:val="002D1DD4"/>
    <w:rsid w:val="002D29B2"/>
    <w:rsid w:val="002D2A4E"/>
    <w:rsid w:val="002D2C2B"/>
    <w:rsid w:val="002D2D11"/>
    <w:rsid w:val="002D398B"/>
    <w:rsid w:val="002D4A66"/>
    <w:rsid w:val="002D4B32"/>
    <w:rsid w:val="002D502D"/>
    <w:rsid w:val="002D57AA"/>
    <w:rsid w:val="002D5E5E"/>
    <w:rsid w:val="002D64D9"/>
    <w:rsid w:val="002D7940"/>
    <w:rsid w:val="002E0223"/>
    <w:rsid w:val="002E0460"/>
    <w:rsid w:val="002E07C2"/>
    <w:rsid w:val="002E138F"/>
    <w:rsid w:val="002E139B"/>
    <w:rsid w:val="002E1831"/>
    <w:rsid w:val="002E1AA7"/>
    <w:rsid w:val="002E1CA0"/>
    <w:rsid w:val="002E20F2"/>
    <w:rsid w:val="002E22BC"/>
    <w:rsid w:val="002E2EE2"/>
    <w:rsid w:val="002E34BD"/>
    <w:rsid w:val="002E38F1"/>
    <w:rsid w:val="002E3C09"/>
    <w:rsid w:val="002E3C4B"/>
    <w:rsid w:val="002E45BF"/>
    <w:rsid w:val="002E577C"/>
    <w:rsid w:val="002E64A3"/>
    <w:rsid w:val="002E6C65"/>
    <w:rsid w:val="002E6DBF"/>
    <w:rsid w:val="002F0188"/>
    <w:rsid w:val="002F0A95"/>
    <w:rsid w:val="002F0C2E"/>
    <w:rsid w:val="002F1F6D"/>
    <w:rsid w:val="002F1F94"/>
    <w:rsid w:val="002F273A"/>
    <w:rsid w:val="002F2A8E"/>
    <w:rsid w:val="002F3F5A"/>
    <w:rsid w:val="002F45B7"/>
    <w:rsid w:val="002F53BC"/>
    <w:rsid w:val="002F583E"/>
    <w:rsid w:val="002F648B"/>
    <w:rsid w:val="002F7066"/>
    <w:rsid w:val="002F7B97"/>
    <w:rsid w:val="00300E43"/>
    <w:rsid w:val="00302389"/>
    <w:rsid w:val="0030290B"/>
    <w:rsid w:val="003037DA"/>
    <w:rsid w:val="00303825"/>
    <w:rsid w:val="003039CE"/>
    <w:rsid w:val="00303AC8"/>
    <w:rsid w:val="00303F00"/>
    <w:rsid w:val="00304DC9"/>
    <w:rsid w:val="00305A39"/>
    <w:rsid w:val="00305A6A"/>
    <w:rsid w:val="00305E21"/>
    <w:rsid w:val="0030680C"/>
    <w:rsid w:val="00307225"/>
    <w:rsid w:val="00307650"/>
    <w:rsid w:val="00307CAC"/>
    <w:rsid w:val="00307EAF"/>
    <w:rsid w:val="00310546"/>
    <w:rsid w:val="00311522"/>
    <w:rsid w:val="0031196E"/>
    <w:rsid w:val="00312090"/>
    <w:rsid w:val="0031250C"/>
    <w:rsid w:val="003129C2"/>
    <w:rsid w:val="00312AAB"/>
    <w:rsid w:val="003131E3"/>
    <w:rsid w:val="0031367F"/>
    <w:rsid w:val="00314361"/>
    <w:rsid w:val="00314B7F"/>
    <w:rsid w:val="00314F5D"/>
    <w:rsid w:val="00315C49"/>
    <w:rsid w:val="00315E70"/>
    <w:rsid w:val="003171EF"/>
    <w:rsid w:val="00317D2D"/>
    <w:rsid w:val="00317DA6"/>
    <w:rsid w:val="00317F82"/>
    <w:rsid w:val="00320951"/>
    <w:rsid w:val="00320D39"/>
    <w:rsid w:val="00321BFB"/>
    <w:rsid w:val="00322697"/>
    <w:rsid w:val="0032325D"/>
    <w:rsid w:val="00323561"/>
    <w:rsid w:val="00323AD4"/>
    <w:rsid w:val="00323CD6"/>
    <w:rsid w:val="00323F10"/>
    <w:rsid w:val="003240FF"/>
    <w:rsid w:val="0032425C"/>
    <w:rsid w:val="003248D2"/>
    <w:rsid w:val="003249EB"/>
    <w:rsid w:val="00325416"/>
    <w:rsid w:val="00325E2E"/>
    <w:rsid w:val="003260EA"/>
    <w:rsid w:val="00326219"/>
    <w:rsid w:val="0032696E"/>
    <w:rsid w:val="00326AC4"/>
    <w:rsid w:val="00326FBB"/>
    <w:rsid w:val="00327113"/>
    <w:rsid w:val="003275B2"/>
    <w:rsid w:val="00327B9B"/>
    <w:rsid w:val="00330110"/>
    <w:rsid w:val="00330597"/>
    <w:rsid w:val="003310AA"/>
    <w:rsid w:val="003319A0"/>
    <w:rsid w:val="00332A4C"/>
    <w:rsid w:val="00333227"/>
    <w:rsid w:val="00333652"/>
    <w:rsid w:val="00334321"/>
    <w:rsid w:val="003349AD"/>
    <w:rsid w:val="00334C94"/>
    <w:rsid w:val="0033543F"/>
    <w:rsid w:val="00335C7A"/>
    <w:rsid w:val="00335EB9"/>
    <w:rsid w:val="0033789B"/>
    <w:rsid w:val="00337B19"/>
    <w:rsid w:val="00340BDB"/>
    <w:rsid w:val="00340D35"/>
    <w:rsid w:val="00340E49"/>
    <w:rsid w:val="00340F59"/>
    <w:rsid w:val="003411BA"/>
    <w:rsid w:val="003431F3"/>
    <w:rsid w:val="003435A2"/>
    <w:rsid w:val="0034380F"/>
    <w:rsid w:val="00344688"/>
    <w:rsid w:val="00344E0A"/>
    <w:rsid w:val="00345D7F"/>
    <w:rsid w:val="0034614F"/>
    <w:rsid w:val="00346551"/>
    <w:rsid w:val="00346CCE"/>
    <w:rsid w:val="00347154"/>
    <w:rsid w:val="003471A9"/>
    <w:rsid w:val="00347FAE"/>
    <w:rsid w:val="00350078"/>
    <w:rsid w:val="00350643"/>
    <w:rsid w:val="00350867"/>
    <w:rsid w:val="00350B37"/>
    <w:rsid w:val="00350F69"/>
    <w:rsid w:val="003515A1"/>
    <w:rsid w:val="00351A7C"/>
    <w:rsid w:val="00352519"/>
    <w:rsid w:val="003529A9"/>
    <w:rsid w:val="003529F3"/>
    <w:rsid w:val="00352F48"/>
    <w:rsid w:val="00353C62"/>
    <w:rsid w:val="00354723"/>
    <w:rsid w:val="00354FDC"/>
    <w:rsid w:val="003553D7"/>
    <w:rsid w:val="00355487"/>
    <w:rsid w:val="00355635"/>
    <w:rsid w:val="00355E94"/>
    <w:rsid w:val="003560FC"/>
    <w:rsid w:val="00357A26"/>
    <w:rsid w:val="00357DF2"/>
    <w:rsid w:val="00357ECE"/>
    <w:rsid w:val="003600A2"/>
    <w:rsid w:val="00360571"/>
    <w:rsid w:val="003607EB"/>
    <w:rsid w:val="00360B2B"/>
    <w:rsid w:val="003618A4"/>
    <w:rsid w:val="00361E44"/>
    <w:rsid w:val="003620CF"/>
    <w:rsid w:val="00363BD8"/>
    <w:rsid w:val="00364460"/>
    <w:rsid w:val="003646F7"/>
    <w:rsid w:val="00364764"/>
    <w:rsid w:val="00364B55"/>
    <w:rsid w:val="00365041"/>
    <w:rsid w:val="00365318"/>
    <w:rsid w:val="00365448"/>
    <w:rsid w:val="00366E50"/>
    <w:rsid w:val="003674C4"/>
    <w:rsid w:val="00367ADC"/>
    <w:rsid w:val="00367D2A"/>
    <w:rsid w:val="00370A7F"/>
    <w:rsid w:val="00371452"/>
    <w:rsid w:val="003729C2"/>
    <w:rsid w:val="00372F3B"/>
    <w:rsid w:val="003733D4"/>
    <w:rsid w:val="003749B1"/>
    <w:rsid w:val="00374F2B"/>
    <w:rsid w:val="00376381"/>
    <w:rsid w:val="00377CE8"/>
    <w:rsid w:val="00377E7F"/>
    <w:rsid w:val="003803CD"/>
    <w:rsid w:val="00380F99"/>
    <w:rsid w:val="003813AB"/>
    <w:rsid w:val="0038185F"/>
    <w:rsid w:val="00382730"/>
    <w:rsid w:val="003845A3"/>
    <w:rsid w:val="00384864"/>
    <w:rsid w:val="00384ABA"/>
    <w:rsid w:val="00384AC2"/>
    <w:rsid w:val="00384F07"/>
    <w:rsid w:val="00385D2D"/>
    <w:rsid w:val="00386FA2"/>
    <w:rsid w:val="00387C01"/>
    <w:rsid w:val="0039046B"/>
    <w:rsid w:val="0039095F"/>
    <w:rsid w:val="00390CF6"/>
    <w:rsid w:val="00391293"/>
    <w:rsid w:val="00391C3C"/>
    <w:rsid w:val="00391E8F"/>
    <w:rsid w:val="0039210D"/>
    <w:rsid w:val="00392684"/>
    <w:rsid w:val="00392BDC"/>
    <w:rsid w:val="003933C9"/>
    <w:rsid w:val="003950E7"/>
    <w:rsid w:val="0039561E"/>
    <w:rsid w:val="0039625C"/>
    <w:rsid w:val="00396B26"/>
    <w:rsid w:val="003976DC"/>
    <w:rsid w:val="00397B70"/>
    <w:rsid w:val="003A0AD9"/>
    <w:rsid w:val="003A0DEC"/>
    <w:rsid w:val="003A0EF5"/>
    <w:rsid w:val="003A1191"/>
    <w:rsid w:val="003A2F8F"/>
    <w:rsid w:val="003A3579"/>
    <w:rsid w:val="003A3AD4"/>
    <w:rsid w:val="003A3B33"/>
    <w:rsid w:val="003A46C5"/>
    <w:rsid w:val="003A51DC"/>
    <w:rsid w:val="003A527E"/>
    <w:rsid w:val="003A52CC"/>
    <w:rsid w:val="003A6663"/>
    <w:rsid w:val="003A7A9E"/>
    <w:rsid w:val="003A7F2A"/>
    <w:rsid w:val="003A7FE7"/>
    <w:rsid w:val="003B04A6"/>
    <w:rsid w:val="003B0CC2"/>
    <w:rsid w:val="003B0F75"/>
    <w:rsid w:val="003B1D16"/>
    <w:rsid w:val="003B2C3E"/>
    <w:rsid w:val="003B311D"/>
    <w:rsid w:val="003B355A"/>
    <w:rsid w:val="003B3A67"/>
    <w:rsid w:val="003B3C50"/>
    <w:rsid w:val="003B5678"/>
    <w:rsid w:val="003B5C08"/>
    <w:rsid w:val="003B601A"/>
    <w:rsid w:val="003B6596"/>
    <w:rsid w:val="003B661E"/>
    <w:rsid w:val="003B6F75"/>
    <w:rsid w:val="003B76C7"/>
    <w:rsid w:val="003B76D4"/>
    <w:rsid w:val="003B76E5"/>
    <w:rsid w:val="003C0779"/>
    <w:rsid w:val="003C0D0B"/>
    <w:rsid w:val="003C0D40"/>
    <w:rsid w:val="003C0F09"/>
    <w:rsid w:val="003C0F86"/>
    <w:rsid w:val="003C1348"/>
    <w:rsid w:val="003C188F"/>
    <w:rsid w:val="003C1D7A"/>
    <w:rsid w:val="003C229C"/>
    <w:rsid w:val="003C2402"/>
    <w:rsid w:val="003C2413"/>
    <w:rsid w:val="003C24EB"/>
    <w:rsid w:val="003C3658"/>
    <w:rsid w:val="003C36E4"/>
    <w:rsid w:val="003C3808"/>
    <w:rsid w:val="003C3AC8"/>
    <w:rsid w:val="003C4105"/>
    <w:rsid w:val="003C45D1"/>
    <w:rsid w:val="003C5286"/>
    <w:rsid w:val="003C6D0E"/>
    <w:rsid w:val="003C6EA8"/>
    <w:rsid w:val="003C7197"/>
    <w:rsid w:val="003C7712"/>
    <w:rsid w:val="003C783F"/>
    <w:rsid w:val="003C7935"/>
    <w:rsid w:val="003C7F23"/>
    <w:rsid w:val="003D0036"/>
    <w:rsid w:val="003D029D"/>
    <w:rsid w:val="003D082D"/>
    <w:rsid w:val="003D16D6"/>
    <w:rsid w:val="003D2137"/>
    <w:rsid w:val="003D2311"/>
    <w:rsid w:val="003D297A"/>
    <w:rsid w:val="003D3249"/>
    <w:rsid w:val="003D32E3"/>
    <w:rsid w:val="003D3F89"/>
    <w:rsid w:val="003D5998"/>
    <w:rsid w:val="003D5D6E"/>
    <w:rsid w:val="003D6570"/>
    <w:rsid w:val="003D6D83"/>
    <w:rsid w:val="003D6F79"/>
    <w:rsid w:val="003D74DC"/>
    <w:rsid w:val="003E0120"/>
    <w:rsid w:val="003E0177"/>
    <w:rsid w:val="003E0DA1"/>
    <w:rsid w:val="003E19CB"/>
    <w:rsid w:val="003E22AA"/>
    <w:rsid w:val="003E28B9"/>
    <w:rsid w:val="003E2B2E"/>
    <w:rsid w:val="003E2BB5"/>
    <w:rsid w:val="003E31C4"/>
    <w:rsid w:val="003E48DA"/>
    <w:rsid w:val="003E49F2"/>
    <w:rsid w:val="003E5143"/>
    <w:rsid w:val="003E58FB"/>
    <w:rsid w:val="003E6D2C"/>
    <w:rsid w:val="003E7DC0"/>
    <w:rsid w:val="003E7E21"/>
    <w:rsid w:val="003F00E9"/>
    <w:rsid w:val="003F0FC2"/>
    <w:rsid w:val="003F1033"/>
    <w:rsid w:val="003F122D"/>
    <w:rsid w:val="003F12FE"/>
    <w:rsid w:val="003F1ECF"/>
    <w:rsid w:val="003F25FC"/>
    <w:rsid w:val="003F2731"/>
    <w:rsid w:val="003F2BA7"/>
    <w:rsid w:val="003F32D5"/>
    <w:rsid w:val="003F4B06"/>
    <w:rsid w:val="003F5B44"/>
    <w:rsid w:val="003F5E4A"/>
    <w:rsid w:val="003F62F6"/>
    <w:rsid w:val="003F6E5F"/>
    <w:rsid w:val="003F718D"/>
    <w:rsid w:val="003F73D8"/>
    <w:rsid w:val="003F73EC"/>
    <w:rsid w:val="003F7818"/>
    <w:rsid w:val="003F7B28"/>
    <w:rsid w:val="00401559"/>
    <w:rsid w:val="00402575"/>
    <w:rsid w:val="00402F2C"/>
    <w:rsid w:val="00402F9A"/>
    <w:rsid w:val="00403480"/>
    <w:rsid w:val="004038D2"/>
    <w:rsid w:val="00403E61"/>
    <w:rsid w:val="00404B56"/>
    <w:rsid w:val="00404EA8"/>
    <w:rsid w:val="00404EA9"/>
    <w:rsid w:val="00405649"/>
    <w:rsid w:val="00410D01"/>
    <w:rsid w:val="00410E2C"/>
    <w:rsid w:val="004110E8"/>
    <w:rsid w:val="00411809"/>
    <w:rsid w:val="00411818"/>
    <w:rsid w:val="00411908"/>
    <w:rsid w:val="00411B13"/>
    <w:rsid w:val="00412AC4"/>
    <w:rsid w:val="0041351F"/>
    <w:rsid w:val="00413ECF"/>
    <w:rsid w:val="00413F43"/>
    <w:rsid w:val="0041452C"/>
    <w:rsid w:val="00414C3A"/>
    <w:rsid w:val="00414D85"/>
    <w:rsid w:val="004159FA"/>
    <w:rsid w:val="00416CA5"/>
    <w:rsid w:val="004202BE"/>
    <w:rsid w:val="00420466"/>
    <w:rsid w:val="00420AE8"/>
    <w:rsid w:val="00420B0A"/>
    <w:rsid w:val="00422205"/>
    <w:rsid w:val="00422BEF"/>
    <w:rsid w:val="0042447D"/>
    <w:rsid w:val="00424C4D"/>
    <w:rsid w:val="00425EA5"/>
    <w:rsid w:val="004264DA"/>
    <w:rsid w:val="0042741A"/>
    <w:rsid w:val="004279A6"/>
    <w:rsid w:val="004309AA"/>
    <w:rsid w:val="004319F2"/>
    <w:rsid w:val="00431C83"/>
    <w:rsid w:val="00431E02"/>
    <w:rsid w:val="00432728"/>
    <w:rsid w:val="00432835"/>
    <w:rsid w:val="00432FE1"/>
    <w:rsid w:val="004338C5"/>
    <w:rsid w:val="00433C5B"/>
    <w:rsid w:val="00433D75"/>
    <w:rsid w:val="00434ADD"/>
    <w:rsid w:val="004351F8"/>
    <w:rsid w:val="004352D8"/>
    <w:rsid w:val="004359B3"/>
    <w:rsid w:val="00436E58"/>
    <w:rsid w:val="004376E5"/>
    <w:rsid w:val="00442163"/>
    <w:rsid w:val="00442F99"/>
    <w:rsid w:val="00443223"/>
    <w:rsid w:val="00443E3B"/>
    <w:rsid w:val="00444D8A"/>
    <w:rsid w:val="00444DC5"/>
    <w:rsid w:val="0044518B"/>
    <w:rsid w:val="00446327"/>
    <w:rsid w:val="004470C8"/>
    <w:rsid w:val="00447219"/>
    <w:rsid w:val="004479AC"/>
    <w:rsid w:val="00447C3B"/>
    <w:rsid w:val="00450895"/>
    <w:rsid w:val="0045174D"/>
    <w:rsid w:val="00451C35"/>
    <w:rsid w:val="00452607"/>
    <w:rsid w:val="00452841"/>
    <w:rsid w:val="004528EE"/>
    <w:rsid w:val="00452CAC"/>
    <w:rsid w:val="00452CD9"/>
    <w:rsid w:val="0045301C"/>
    <w:rsid w:val="004535F5"/>
    <w:rsid w:val="00453930"/>
    <w:rsid w:val="0045481F"/>
    <w:rsid w:val="00454D8F"/>
    <w:rsid w:val="0045508E"/>
    <w:rsid w:val="004551C6"/>
    <w:rsid w:val="00455DF2"/>
    <w:rsid w:val="00456073"/>
    <w:rsid w:val="004563B5"/>
    <w:rsid w:val="004568FA"/>
    <w:rsid w:val="00456E18"/>
    <w:rsid w:val="00456EBB"/>
    <w:rsid w:val="00457EC5"/>
    <w:rsid w:val="00457F70"/>
    <w:rsid w:val="00461BC5"/>
    <w:rsid w:val="004623A9"/>
    <w:rsid w:val="00463D59"/>
    <w:rsid w:val="004648CE"/>
    <w:rsid w:val="00464FF7"/>
    <w:rsid w:val="00465BE4"/>
    <w:rsid w:val="004663E7"/>
    <w:rsid w:val="00466A0D"/>
    <w:rsid w:val="00466A42"/>
    <w:rsid w:val="00466EC9"/>
    <w:rsid w:val="004677A1"/>
    <w:rsid w:val="00467B4E"/>
    <w:rsid w:val="00470298"/>
    <w:rsid w:val="00470E77"/>
    <w:rsid w:val="00471100"/>
    <w:rsid w:val="00471810"/>
    <w:rsid w:val="004729F7"/>
    <w:rsid w:val="00472EE0"/>
    <w:rsid w:val="00473D25"/>
    <w:rsid w:val="004743B6"/>
    <w:rsid w:val="004756EC"/>
    <w:rsid w:val="0047591F"/>
    <w:rsid w:val="00475BF8"/>
    <w:rsid w:val="00475CBC"/>
    <w:rsid w:val="004762BA"/>
    <w:rsid w:val="00476AF7"/>
    <w:rsid w:val="00476E95"/>
    <w:rsid w:val="004801CA"/>
    <w:rsid w:val="00480502"/>
    <w:rsid w:val="00480C20"/>
    <w:rsid w:val="00481215"/>
    <w:rsid w:val="004820BE"/>
    <w:rsid w:val="004833D5"/>
    <w:rsid w:val="00483489"/>
    <w:rsid w:val="00483AD9"/>
    <w:rsid w:val="0048496C"/>
    <w:rsid w:val="0048522A"/>
    <w:rsid w:val="00485DC1"/>
    <w:rsid w:val="00486B85"/>
    <w:rsid w:val="00486D75"/>
    <w:rsid w:val="0048728D"/>
    <w:rsid w:val="0048745E"/>
    <w:rsid w:val="00487B62"/>
    <w:rsid w:val="00490C16"/>
    <w:rsid w:val="0049106B"/>
    <w:rsid w:val="00491669"/>
    <w:rsid w:val="004918BB"/>
    <w:rsid w:val="00491E48"/>
    <w:rsid w:val="004928CD"/>
    <w:rsid w:val="0049309A"/>
    <w:rsid w:val="0049311A"/>
    <w:rsid w:val="0049401B"/>
    <w:rsid w:val="00494D64"/>
    <w:rsid w:val="00495A33"/>
    <w:rsid w:val="00496A0D"/>
    <w:rsid w:val="00496AB0"/>
    <w:rsid w:val="00497B37"/>
    <w:rsid w:val="004A0279"/>
    <w:rsid w:val="004A07BA"/>
    <w:rsid w:val="004A1A98"/>
    <w:rsid w:val="004A4261"/>
    <w:rsid w:val="004A66F8"/>
    <w:rsid w:val="004A6751"/>
    <w:rsid w:val="004A6873"/>
    <w:rsid w:val="004A6898"/>
    <w:rsid w:val="004A6EBB"/>
    <w:rsid w:val="004A710C"/>
    <w:rsid w:val="004B018B"/>
    <w:rsid w:val="004B0FF9"/>
    <w:rsid w:val="004B163C"/>
    <w:rsid w:val="004B2833"/>
    <w:rsid w:val="004B2A4F"/>
    <w:rsid w:val="004B2E5A"/>
    <w:rsid w:val="004B2EA3"/>
    <w:rsid w:val="004B31AD"/>
    <w:rsid w:val="004B378B"/>
    <w:rsid w:val="004B53EB"/>
    <w:rsid w:val="004B595C"/>
    <w:rsid w:val="004B5BE1"/>
    <w:rsid w:val="004B5D54"/>
    <w:rsid w:val="004B6AD1"/>
    <w:rsid w:val="004B6C0E"/>
    <w:rsid w:val="004B7E71"/>
    <w:rsid w:val="004C03CC"/>
    <w:rsid w:val="004C042A"/>
    <w:rsid w:val="004C084A"/>
    <w:rsid w:val="004C1B6A"/>
    <w:rsid w:val="004C1B73"/>
    <w:rsid w:val="004C1C52"/>
    <w:rsid w:val="004C247B"/>
    <w:rsid w:val="004C4106"/>
    <w:rsid w:val="004C4402"/>
    <w:rsid w:val="004C6EF0"/>
    <w:rsid w:val="004C78CB"/>
    <w:rsid w:val="004D04CF"/>
    <w:rsid w:val="004D08CB"/>
    <w:rsid w:val="004D0929"/>
    <w:rsid w:val="004D151B"/>
    <w:rsid w:val="004D152B"/>
    <w:rsid w:val="004D15EF"/>
    <w:rsid w:val="004D1619"/>
    <w:rsid w:val="004D1FFD"/>
    <w:rsid w:val="004D2C76"/>
    <w:rsid w:val="004D3DC1"/>
    <w:rsid w:val="004D4887"/>
    <w:rsid w:val="004D5426"/>
    <w:rsid w:val="004D5A59"/>
    <w:rsid w:val="004D696F"/>
    <w:rsid w:val="004D6B12"/>
    <w:rsid w:val="004D6C19"/>
    <w:rsid w:val="004D6C28"/>
    <w:rsid w:val="004D6CC9"/>
    <w:rsid w:val="004D6D43"/>
    <w:rsid w:val="004D74C9"/>
    <w:rsid w:val="004D7C28"/>
    <w:rsid w:val="004E0745"/>
    <w:rsid w:val="004E1231"/>
    <w:rsid w:val="004E17DC"/>
    <w:rsid w:val="004E19AD"/>
    <w:rsid w:val="004E2640"/>
    <w:rsid w:val="004E2E65"/>
    <w:rsid w:val="004E491C"/>
    <w:rsid w:val="004E6C73"/>
    <w:rsid w:val="004E7328"/>
    <w:rsid w:val="004E7542"/>
    <w:rsid w:val="004E7BC3"/>
    <w:rsid w:val="004E7F8F"/>
    <w:rsid w:val="004E7F90"/>
    <w:rsid w:val="004F0729"/>
    <w:rsid w:val="004F1F2B"/>
    <w:rsid w:val="004F1F4A"/>
    <w:rsid w:val="004F22C8"/>
    <w:rsid w:val="004F2BFE"/>
    <w:rsid w:val="004F3D84"/>
    <w:rsid w:val="004F54EF"/>
    <w:rsid w:val="004F6834"/>
    <w:rsid w:val="004F696B"/>
    <w:rsid w:val="004F69A4"/>
    <w:rsid w:val="004F7121"/>
    <w:rsid w:val="004F761E"/>
    <w:rsid w:val="004F76FD"/>
    <w:rsid w:val="00500D31"/>
    <w:rsid w:val="005023E7"/>
    <w:rsid w:val="00502A53"/>
    <w:rsid w:val="0050347E"/>
    <w:rsid w:val="005035B5"/>
    <w:rsid w:val="005035B6"/>
    <w:rsid w:val="00504157"/>
    <w:rsid w:val="00504297"/>
    <w:rsid w:val="00504874"/>
    <w:rsid w:val="005050FA"/>
    <w:rsid w:val="00505A1E"/>
    <w:rsid w:val="00505A5D"/>
    <w:rsid w:val="0050627B"/>
    <w:rsid w:val="00506324"/>
    <w:rsid w:val="00506340"/>
    <w:rsid w:val="00506851"/>
    <w:rsid w:val="00506B4D"/>
    <w:rsid w:val="00506C77"/>
    <w:rsid w:val="00507405"/>
    <w:rsid w:val="005078AA"/>
    <w:rsid w:val="005079F2"/>
    <w:rsid w:val="00507A64"/>
    <w:rsid w:val="0051299B"/>
    <w:rsid w:val="005144FD"/>
    <w:rsid w:val="00514527"/>
    <w:rsid w:val="0051485E"/>
    <w:rsid w:val="00514991"/>
    <w:rsid w:val="00514D86"/>
    <w:rsid w:val="0051519E"/>
    <w:rsid w:val="005155DB"/>
    <w:rsid w:val="00515C3C"/>
    <w:rsid w:val="00515E42"/>
    <w:rsid w:val="00516B1F"/>
    <w:rsid w:val="00516B7C"/>
    <w:rsid w:val="00516C22"/>
    <w:rsid w:val="0051763F"/>
    <w:rsid w:val="0051795C"/>
    <w:rsid w:val="00517DEE"/>
    <w:rsid w:val="0052026E"/>
    <w:rsid w:val="00520A0C"/>
    <w:rsid w:val="00521B41"/>
    <w:rsid w:val="005223B5"/>
    <w:rsid w:val="00522844"/>
    <w:rsid w:val="00523117"/>
    <w:rsid w:val="00523636"/>
    <w:rsid w:val="00523903"/>
    <w:rsid w:val="00524B57"/>
    <w:rsid w:val="005253FE"/>
    <w:rsid w:val="00526032"/>
    <w:rsid w:val="005263AD"/>
    <w:rsid w:val="0052666F"/>
    <w:rsid w:val="005274BE"/>
    <w:rsid w:val="00527B94"/>
    <w:rsid w:val="00527C81"/>
    <w:rsid w:val="005305C4"/>
    <w:rsid w:val="005306ED"/>
    <w:rsid w:val="00531FBD"/>
    <w:rsid w:val="005321ED"/>
    <w:rsid w:val="00532924"/>
    <w:rsid w:val="00532DB3"/>
    <w:rsid w:val="005348B6"/>
    <w:rsid w:val="005355BA"/>
    <w:rsid w:val="005363A9"/>
    <w:rsid w:val="00536AA4"/>
    <w:rsid w:val="00536B5C"/>
    <w:rsid w:val="00537607"/>
    <w:rsid w:val="00537DFA"/>
    <w:rsid w:val="00537E5B"/>
    <w:rsid w:val="00541F22"/>
    <w:rsid w:val="00543E37"/>
    <w:rsid w:val="005441DE"/>
    <w:rsid w:val="005443F5"/>
    <w:rsid w:val="00544598"/>
    <w:rsid w:val="00544642"/>
    <w:rsid w:val="00545194"/>
    <w:rsid w:val="005456E1"/>
    <w:rsid w:val="00545952"/>
    <w:rsid w:val="0054648F"/>
    <w:rsid w:val="005467B8"/>
    <w:rsid w:val="00546819"/>
    <w:rsid w:val="005471E6"/>
    <w:rsid w:val="00547846"/>
    <w:rsid w:val="00547880"/>
    <w:rsid w:val="00547897"/>
    <w:rsid w:val="0055140D"/>
    <w:rsid w:val="00551FF5"/>
    <w:rsid w:val="00552553"/>
    <w:rsid w:val="00552A7B"/>
    <w:rsid w:val="00552B0C"/>
    <w:rsid w:val="00553C20"/>
    <w:rsid w:val="00554936"/>
    <w:rsid w:val="0055532A"/>
    <w:rsid w:val="005558DF"/>
    <w:rsid w:val="00556679"/>
    <w:rsid w:val="00556DC2"/>
    <w:rsid w:val="00557178"/>
    <w:rsid w:val="00557BB5"/>
    <w:rsid w:val="00557FDD"/>
    <w:rsid w:val="00560A86"/>
    <w:rsid w:val="0056189B"/>
    <w:rsid w:val="00562042"/>
    <w:rsid w:val="005621A8"/>
    <w:rsid w:val="00563213"/>
    <w:rsid w:val="00564235"/>
    <w:rsid w:val="005643A2"/>
    <w:rsid w:val="00564821"/>
    <w:rsid w:val="00564847"/>
    <w:rsid w:val="00564BE3"/>
    <w:rsid w:val="00564DA5"/>
    <w:rsid w:val="005655E7"/>
    <w:rsid w:val="00565AE9"/>
    <w:rsid w:val="0056612A"/>
    <w:rsid w:val="005661EE"/>
    <w:rsid w:val="00567572"/>
    <w:rsid w:val="0056776B"/>
    <w:rsid w:val="00567ABF"/>
    <w:rsid w:val="0057037D"/>
    <w:rsid w:val="00570382"/>
    <w:rsid w:val="00570B21"/>
    <w:rsid w:val="0057159A"/>
    <w:rsid w:val="005723E3"/>
    <w:rsid w:val="005726C1"/>
    <w:rsid w:val="005735B0"/>
    <w:rsid w:val="00573A78"/>
    <w:rsid w:val="005741DE"/>
    <w:rsid w:val="005742CA"/>
    <w:rsid w:val="0057555F"/>
    <w:rsid w:val="00576B4F"/>
    <w:rsid w:val="00577A69"/>
    <w:rsid w:val="00580770"/>
    <w:rsid w:val="00581C48"/>
    <w:rsid w:val="0058240E"/>
    <w:rsid w:val="00582675"/>
    <w:rsid w:val="005830D0"/>
    <w:rsid w:val="00583697"/>
    <w:rsid w:val="00583CC1"/>
    <w:rsid w:val="00584159"/>
    <w:rsid w:val="005847B0"/>
    <w:rsid w:val="00584B4C"/>
    <w:rsid w:val="00584BCA"/>
    <w:rsid w:val="00586338"/>
    <w:rsid w:val="00586D3B"/>
    <w:rsid w:val="005872AE"/>
    <w:rsid w:val="00587553"/>
    <w:rsid w:val="00587660"/>
    <w:rsid w:val="0058777E"/>
    <w:rsid w:val="005877D2"/>
    <w:rsid w:val="00587D72"/>
    <w:rsid w:val="00587FE8"/>
    <w:rsid w:val="005904B3"/>
    <w:rsid w:val="005904DA"/>
    <w:rsid w:val="005909F5"/>
    <w:rsid w:val="005913FB"/>
    <w:rsid w:val="00591B78"/>
    <w:rsid w:val="00592166"/>
    <w:rsid w:val="005925E5"/>
    <w:rsid w:val="00592742"/>
    <w:rsid w:val="00592EF5"/>
    <w:rsid w:val="00593374"/>
    <w:rsid w:val="005947CD"/>
    <w:rsid w:val="00594D2F"/>
    <w:rsid w:val="00594E66"/>
    <w:rsid w:val="005950A0"/>
    <w:rsid w:val="005966CE"/>
    <w:rsid w:val="00596854"/>
    <w:rsid w:val="00596D62"/>
    <w:rsid w:val="005973FD"/>
    <w:rsid w:val="00597D61"/>
    <w:rsid w:val="005A08F6"/>
    <w:rsid w:val="005A0E6B"/>
    <w:rsid w:val="005A0E95"/>
    <w:rsid w:val="005A16D5"/>
    <w:rsid w:val="005A182B"/>
    <w:rsid w:val="005A1EBE"/>
    <w:rsid w:val="005A2636"/>
    <w:rsid w:val="005A2B74"/>
    <w:rsid w:val="005A300F"/>
    <w:rsid w:val="005A31B9"/>
    <w:rsid w:val="005A3618"/>
    <w:rsid w:val="005A3FEA"/>
    <w:rsid w:val="005A416A"/>
    <w:rsid w:val="005A5C79"/>
    <w:rsid w:val="005A6023"/>
    <w:rsid w:val="005A60B2"/>
    <w:rsid w:val="005A66FC"/>
    <w:rsid w:val="005B0382"/>
    <w:rsid w:val="005B110A"/>
    <w:rsid w:val="005B2349"/>
    <w:rsid w:val="005B2771"/>
    <w:rsid w:val="005B2E74"/>
    <w:rsid w:val="005B381B"/>
    <w:rsid w:val="005B4251"/>
    <w:rsid w:val="005B47D3"/>
    <w:rsid w:val="005B50AF"/>
    <w:rsid w:val="005B5978"/>
    <w:rsid w:val="005B7406"/>
    <w:rsid w:val="005B7E15"/>
    <w:rsid w:val="005C019B"/>
    <w:rsid w:val="005C03D5"/>
    <w:rsid w:val="005C0B1C"/>
    <w:rsid w:val="005C0E03"/>
    <w:rsid w:val="005C0EF6"/>
    <w:rsid w:val="005C1A67"/>
    <w:rsid w:val="005C1DAF"/>
    <w:rsid w:val="005C20D4"/>
    <w:rsid w:val="005C25C1"/>
    <w:rsid w:val="005C28C4"/>
    <w:rsid w:val="005C38BC"/>
    <w:rsid w:val="005C400E"/>
    <w:rsid w:val="005C459C"/>
    <w:rsid w:val="005C4922"/>
    <w:rsid w:val="005C4A00"/>
    <w:rsid w:val="005C4D73"/>
    <w:rsid w:val="005C5041"/>
    <w:rsid w:val="005C52E3"/>
    <w:rsid w:val="005C5376"/>
    <w:rsid w:val="005C598D"/>
    <w:rsid w:val="005C5FCB"/>
    <w:rsid w:val="005C625A"/>
    <w:rsid w:val="005C7735"/>
    <w:rsid w:val="005C7DDF"/>
    <w:rsid w:val="005D1179"/>
    <w:rsid w:val="005D2088"/>
    <w:rsid w:val="005D2D5F"/>
    <w:rsid w:val="005D334A"/>
    <w:rsid w:val="005D3D3F"/>
    <w:rsid w:val="005D4139"/>
    <w:rsid w:val="005D4882"/>
    <w:rsid w:val="005D6431"/>
    <w:rsid w:val="005D6B96"/>
    <w:rsid w:val="005D7244"/>
    <w:rsid w:val="005D724E"/>
    <w:rsid w:val="005D7574"/>
    <w:rsid w:val="005D75B7"/>
    <w:rsid w:val="005D7676"/>
    <w:rsid w:val="005D7721"/>
    <w:rsid w:val="005D7779"/>
    <w:rsid w:val="005D7935"/>
    <w:rsid w:val="005D79C8"/>
    <w:rsid w:val="005E06E3"/>
    <w:rsid w:val="005E0C1C"/>
    <w:rsid w:val="005E10C1"/>
    <w:rsid w:val="005E126F"/>
    <w:rsid w:val="005E199C"/>
    <w:rsid w:val="005E19DF"/>
    <w:rsid w:val="005E227A"/>
    <w:rsid w:val="005E3566"/>
    <w:rsid w:val="005E4053"/>
    <w:rsid w:val="005E5353"/>
    <w:rsid w:val="005E5FB8"/>
    <w:rsid w:val="005E5FE2"/>
    <w:rsid w:val="005E6C5B"/>
    <w:rsid w:val="005E6FA5"/>
    <w:rsid w:val="005E7E7C"/>
    <w:rsid w:val="005F05C5"/>
    <w:rsid w:val="005F05D8"/>
    <w:rsid w:val="005F0D83"/>
    <w:rsid w:val="005F19D8"/>
    <w:rsid w:val="005F1C03"/>
    <w:rsid w:val="005F1C85"/>
    <w:rsid w:val="005F1D6C"/>
    <w:rsid w:val="005F21D6"/>
    <w:rsid w:val="005F2FBB"/>
    <w:rsid w:val="005F3E62"/>
    <w:rsid w:val="005F400C"/>
    <w:rsid w:val="005F450B"/>
    <w:rsid w:val="005F490F"/>
    <w:rsid w:val="005F4B66"/>
    <w:rsid w:val="005F4B8E"/>
    <w:rsid w:val="005F5784"/>
    <w:rsid w:val="005F61BC"/>
    <w:rsid w:val="005F69C5"/>
    <w:rsid w:val="005F6EF9"/>
    <w:rsid w:val="00601509"/>
    <w:rsid w:val="006016E1"/>
    <w:rsid w:val="00601796"/>
    <w:rsid w:val="0060180D"/>
    <w:rsid w:val="006020E0"/>
    <w:rsid w:val="00602A6A"/>
    <w:rsid w:val="00603D10"/>
    <w:rsid w:val="00604086"/>
    <w:rsid w:val="00604159"/>
    <w:rsid w:val="00607505"/>
    <w:rsid w:val="00607869"/>
    <w:rsid w:val="006100D0"/>
    <w:rsid w:val="006108CC"/>
    <w:rsid w:val="00610C20"/>
    <w:rsid w:val="006118AC"/>
    <w:rsid w:val="0061283A"/>
    <w:rsid w:val="00612DBF"/>
    <w:rsid w:val="00613762"/>
    <w:rsid w:val="00613C04"/>
    <w:rsid w:val="0061409F"/>
    <w:rsid w:val="006148BD"/>
    <w:rsid w:val="00614D69"/>
    <w:rsid w:val="00617912"/>
    <w:rsid w:val="006225D0"/>
    <w:rsid w:val="006229A8"/>
    <w:rsid w:val="00622E43"/>
    <w:rsid w:val="00623092"/>
    <w:rsid w:val="00623235"/>
    <w:rsid w:val="006232F7"/>
    <w:rsid w:val="00623F4A"/>
    <w:rsid w:val="0062434B"/>
    <w:rsid w:val="0062445D"/>
    <w:rsid w:val="00625388"/>
    <w:rsid w:val="006256D3"/>
    <w:rsid w:val="00625FA1"/>
    <w:rsid w:val="00625FCB"/>
    <w:rsid w:val="00626261"/>
    <w:rsid w:val="006275D7"/>
    <w:rsid w:val="00627C2A"/>
    <w:rsid w:val="0063033F"/>
    <w:rsid w:val="0063183E"/>
    <w:rsid w:val="00632EFC"/>
    <w:rsid w:val="00632F3A"/>
    <w:rsid w:val="0063358A"/>
    <w:rsid w:val="0063418F"/>
    <w:rsid w:val="0063427C"/>
    <w:rsid w:val="0063585D"/>
    <w:rsid w:val="00636428"/>
    <w:rsid w:val="00636950"/>
    <w:rsid w:val="006375E1"/>
    <w:rsid w:val="00637B57"/>
    <w:rsid w:val="00637D3D"/>
    <w:rsid w:val="0064042B"/>
    <w:rsid w:val="0064071C"/>
    <w:rsid w:val="00640820"/>
    <w:rsid w:val="0064103C"/>
    <w:rsid w:val="006414D2"/>
    <w:rsid w:val="00641A74"/>
    <w:rsid w:val="00642D18"/>
    <w:rsid w:val="00643207"/>
    <w:rsid w:val="00643F66"/>
    <w:rsid w:val="006443F0"/>
    <w:rsid w:val="00645F27"/>
    <w:rsid w:val="00646046"/>
    <w:rsid w:val="0064605A"/>
    <w:rsid w:val="00647111"/>
    <w:rsid w:val="00650679"/>
    <w:rsid w:val="00651201"/>
    <w:rsid w:val="006514BD"/>
    <w:rsid w:val="00651978"/>
    <w:rsid w:val="00651AC2"/>
    <w:rsid w:val="00652275"/>
    <w:rsid w:val="00652B5B"/>
    <w:rsid w:val="0065354D"/>
    <w:rsid w:val="006539E2"/>
    <w:rsid w:val="00654838"/>
    <w:rsid w:val="0065510A"/>
    <w:rsid w:val="00655C52"/>
    <w:rsid w:val="00655D7F"/>
    <w:rsid w:val="00655DD5"/>
    <w:rsid w:val="00656B4A"/>
    <w:rsid w:val="00656C63"/>
    <w:rsid w:val="00656C99"/>
    <w:rsid w:val="00657679"/>
    <w:rsid w:val="00657716"/>
    <w:rsid w:val="006579F4"/>
    <w:rsid w:val="00657B22"/>
    <w:rsid w:val="00660008"/>
    <w:rsid w:val="00661043"/>
    <w:rsid w:val="00661413"/>
    <w:rsid w:val="00661B40"/>
    <w:rsid w:val="00661C62"/>
    <w:rsid w:val="00661E02"/>
    <w:rsid w:val="00661FF6"/>
    <w:rsid w:val="0066305D"/>
    <w:rsid w:val="00664D74"/>
    <w:rsid w:val="00664F3D"/>
    <w:rsid w:val="00665F30"/>
    <w:rsid w:val="00666A18"/>
    <w:rsid w:val="00666DDA"/>
    <w:rsid w:val="00667598"/>
    <w:rsid w:val="00667B8B"/>
    <w:rsid w:val="00667FB0"/>
    <w:rsid w:val="0067079C"/>
    <w:rsid w:val="00671852"/>
    <w:rsid w:val="00671BED"/>
    <w:rsid w:val="006721CE"/>
    <w:rsid w:val="00672B5D"/>
    <w:rsid w:val="00672DB3"/>
    <w:rsid w:val="00673E7D"/>
    <w:rsid w:val="006748D0"/>
    <w:rsid w:val="0067494E"/>
    <w:rsid w:val="00674FB6"/>
    <w:rsid w:val="00675A57"/>
    <w:rsid w:val="00675E2C"/>
    <w:rsid w:val="00676E3E"/>
    <w:rsid w:val="00680711"/>
    <w:rsid w:val="00680C71"/>
    <w:rsid w:val="00680FC7"/>
    <w:rsid w:val="006813FC"/>
    <w:rsid w:val="0068156E"/>
    <w:rsid w:val="0068224C"/>
    <w:rsid w:val="006827C0"/>
    <w:rsid w:val="006833F2"/>
    <w:rsid w:val="0068422F"/>
    <w:rsid w:val="00684F6F"/>
    <w:rsid w:val="006850A8"/>
    <w:rsid w:val="00687DEE"/>
    <w:rsid w:val="00687E78"/>
    <w:rsid w:val="00690673"/>
    <w:rsid w:val="00690F98"/>
    <w:rsid w:val="006922AD"/>
    <w:rsid w:val="00692397"/>
    <w:rsid w:val="006947A0"/>
    <w:rsid w:val="006947F4"/>
    <w:rsid w:val="006948BA"/>
    <w:rsid w:val="00694A5E"/>
    <w:rsid w:val="00694FDC"/>
    <w:rsid w:val="0069567D"/>
    <w:rsid w:val="006956A1"/>
    <w:rsid w:val="006967D2"/>
    <w:rsid w:val="0069680B"/>
    <w:rsid w:val="00696DA6"/>
    <w:rsid w:val="00697258"/>
    <w:rsid w:val="0069736D"/>
    <w:rsid w:val="006A0361"/>
    <w:rsid w:val="006A06A6"/>
    <w:rsid w:val="006A1909"/>
    <w:rsid w:val="006A2259"/>
    <w:rsid w:val="006A2393"/>
    <w:rsid w:val="006A2A16"/>
    <w:rsid w:val="006A2DD0"/>
    <w:rsid w:val="006A2ED3"/>
    <w:rsid w:val="006A3419"/>
    <w:rsid w:val="006A3A9D"/>
    <w:rsid w:val="006A46FF"/>
    <w:rsid w:val="006A5235"/>
    <w:rsid w:val="006A55A0"/>
    <w:rsid w:val="006A731D"/>
    <w:rsid w:val="006A737E"/>
    <w:rsid w:val="006B0CF6"/>
    <w:rsid w:val="006B1DDB"/>
    <w:rsid w:val="006B2E57"/>
    <w:rsid w:val="006B5105"/>
    <w:rsid w:val="006B5918"/>
    <w:rsid w:val="006B5952"/>
    <w:rsid w:val="006B5BB6"/>
    <w:rsid w:val="006B6197"/>
    <w:rsid w:val="006B62D3"/>
    <w:rsid w:val="006B6463"/>
    <w:rsid w:val="006B6633"/>
    <w:rsid w:val="006B7302"/>
    <w:rsid w:val="006B7814"/>
    <w:rsid w:val="006C03BB"/>
    <w:rsid w:val="006C0506"/>
    <w:rsid w:val="006C0C30"/>
    <w:rsid w:val="006C0E5D"/>
    <w:rsid w:val="006C0E9D"/>
    <w:rsid w:val="006C154B"/>
    <w:rsid w:val="006C26EE"/>
    <w:rsid w:val="006C287A"/>
    <w:rsid w:val="006C300C"/>
    <w:rsid w:val="006C37AE"/>
    <w:rsid w:val="006C38B2"/>
    <w:rsid w:val="006C4F13"/>
    <w:rsid w:val="006C5C57"/>
    <w:rsid w:val="006C664F"/>
    <w:rsid w:val="006C738B"/>
    <w:rsid w:val="006C7471"/>
    <w:rsid w:val="006C75A1"/>
    <w:rsid w:val="006D0854"/>
    <w:rsid w:val="006D16C8"/>
    <w:rsid w:val="006D1CAC"/>
    <w:rsid w:val="006D249D"/>
    <w:rsid w:val="006D268D"/>
    <w:rsid w:val="006D33D0"/>
    <w:rsid w:val="006D3420"/>
    <w:rsid w:val="006D41CC"/>
    <w:rsid w:val="006D590C"/>
    <w:rsid w:val="006D5A3F"/>
    <w:rsid w:val="006D5FDD"/>
    <w:rsid w:val="006D6963"/>
    <w:rsid w:val="006D6C9D"/>
    <w:rsid w:val="006D6EEA"/>
    <w:rsid w:val="006D7990"/>
    <w:rsid w:val="006D7E1B"/>
    <w:rsid w:val="006E1164"/>
    <w:rsid w:val="006E13ED"/>
    <w:rsid w:val="006E15B8"/>
    <w:rsid w:val="006E24BA"/>
    <w:rsid w:val="006E2659"/>
    <w:rsid w:val="006E3297"/>
    <w:rsid w:val="006E3E5E"/>
    <w:rsid w:val="006E43F5"/>
    <w:rsid w:val="006E5630"/>
    <w:rsid w:val="006E5E9B"/>
    <w:rsid w:val="006E60B3"/>
    <w:rsid w:val="006E60B8"/>
    <w:rsid w:val="006E6772"/>
    <w:rsid w:val="006E6EF1"/>
    <w:rsid w:val="006E7733"/>
    <w:rsid w:val="006F0072"/>
    <w:rsid w:val="006F21FF"/>
    <w:rsid w:val="006F2B7A"/>
    <w:rsid w:val="006F2F32"/>
    <w:rsid w:val="006F4BDE"/>
    <w:rsid w:val="006F4FB2"/>
    <w:rsid w:val="006F5660"/>
    <w:rsid w:val="006F6190"/>
    <w:rsid w:val="006F6795"/>
    <w:rsid w:val="006F68D8"/>
    <w:rsid w:val="007014D8"/>
    <w:rsid w:val="00701CE7"/>
    <w:rsid w:val="00702B4F"/>
    <w:rsid w:val="00702FFF"/>
    <w:rsid w:val="0070367D"/>
    <w:rsid w:val="0070388E"/>
    <w:rsid w:val="00704227"/>
    <w:rsid w:val="007042FB"/>
    <w:rsid w:val="00704DA4"/>
    <w:rsid w:val="007057F2"/>
    <w:rsid w:val="00705D2C"/>
    <w:rsid w:val="007063D6"/>
    <w:rsid w:val="00706798"/>
    <w:rsid w:val="00706D6A"/>
    <w:rsid w:val="007072C3"/>
    <w:rsid w:val="00707396"/>
    <w:rsid w:val="0071020E"/>
    <w:rsid w:val="00710596"/>
    <w:rsid w:val="00711D34"/>
    <w:rsid w:val="00712690"/>
    <w:rsid w:val="007127F1"/>
    <w:rsid w:val="00712D11"/>
    <w:rsid w:val="00713A0E"/>
    <w:rsid w:val="0071436D"/>
    <w:rsid w:val="007149D6"/>
    <w:rsid w:val="007154C7"/>
    <w:rsid w:val="00715B88"/>
    <w:rsid w:val="00716DC8"/>
    <w:rsid w:val="0071701F"/>
    <w:rsid w:val="007171ED"/>
    <w:rsid w:val="00717A83"/>
    <w:rsid w:val="00720226"/>
    <w:rsid w:val="00721128"/>
    <w:rsid w:val="00721447"/>
    <w:rsid w:val="0072317F"/>
    <w:rsid w:val="007232D7"/>
    <w:rsid w:val="0072373E"/>
    <w:rsid w:val="0072410E"/>
    <w:rsid w:val="00725A62"/>
    <w:rsid w:val="00726005"/>
    <w:rsid w:val="00726148"/>
    <w:rsid w:val="007268D7"/>
    <w:rsid w:val="00726FDF"/>
    <w:rsid w:val="007277D7"/>
    <w:rsid w:val="007309E7"/>
    <w:rsid w:val="00730C35"/>
    <w:rsid w:val="00732EE3"/>
    <w:rsid w:val="007337C3"/>
    <w:rsid w:val="00733D26"/>
    <w:rsid w:val="00736FD1"/>
    <w:rsid w:val="00737598"/>
    <w:rsid w:val="007375ED"/>
    <w:rsid w:val="007403DE"/>
    <w:rsid w:val="007407F1"/>
    <w:rsid w:val="007410D4"/>
    <w:rsid w:val="00741178"/>
    <w:rsid w:val="00742963"/>
    <w:rsid w:val="00743039"/>
    <w:rsid w:val="00743554"/>
    <w:rsid w:val="0074355A"/>
    <w:rsid w:val="007438E3"/>
    <w:rsid w:val="00743D41"/>
    <w:rsid w:val="0074421B"/>
    <w:rsid w:val="00745616"/>
    <w:rsid w:val="00745DF8"/>
    <w:rsid w:val="007471F9"/>
    <w:rsid w:val="0075025D"/>
    <w:rsid w:val="00750451"/>
    <w:rsid w:val="00751D54"/>
    <w:rsid w:val="007521CF"/>
    <w:rsid w:val="007525E6"/>
    <w:rsid w:val="0075277B"/>
    <w:rsid w:val="00752ADC"/>
    <w:rsid w:val="007537FB"/>
    <w:rsid w:val="00753F63"/>
    <w:rsid w:val="00754B7E"/>
    <w:rsid w:val="007557AF"/>
    <w:rsid w:val="00756752"/>
    <w:rsid w:val="00756852"/>
    <w:rsid w:val="00757605"/>
    <w:rsid w:val="00757633"/>
    <w:rsid w:val="00757753"/>
    <w:rsid w:val="0075790C"/>
    <w:rsid w:val="00757B3A"/>
    <w:rsid w:val="00760839"/>
    <w:rsid w:val="00760D61"/>
    <w:rsid w:val="00761536"/>
    <w:rsid w:val="0076189D"/>
    <w:rsid w:val="00761C8D"/>
    <w:rsid w:val="00761E09"/>
    <w:rsid w:val="0076200F"/>
    <w:rsid w:val="00762639"/>
    <w:rsid w:val="00762C1C"/>
    <w:rsid w:val="0076428A"/>
    <w:rsid w:val="00764557"/>
    <w:rsid w:val="0076598F"/>
    <w:rsid w:val="00765EE0"/>
    <w:rsid w:val="00766241"/>
    <w:rsid w:val="00766B2F"/>
    <w:rsid w:val="00766B78"/>
    <w:rsid w:val="00766DBF"/>
    <w:rsid w:val="007710D1"/>
    <w:rsid w:val="00771AA8"/>
    <w:rsid w:val="007726C7"/>
    <w:rsid w:val="00772B2C"/>
    <w:rsid w:val="007749A3"/>
    <w:rsid w:val="00774D30"/>
    <w:rsid w:val="007752A3"/>
    <w:rsid w:val="00775881"/>
    <w:rsid w:val="00775A94"/>
    <w:rsid w:val="0077627D"/>
    <w:rsid w:val="007768A4"/>
    <w:rsid w:val="00776979"/>
    <w:rsid w:val="00776F7C"/>
    <w:rsid w:val="007805B1"/>
    <w:rsid w:val="007811E1"/>
    <w:rsid w:val="007812BA"/>
    <w:rsid w:val="0078148A"/>
    <w:rsid w:val="00781754"/>
    <w:rsid w:val="00781C6B"/>
    <w:rsid w:val="00781F1F"/>
    <w:rsid w:val="00782E8B"/>
    <w:rsid w:val="00783177"/>
    <w:rsid w:val="00783834"/>
    <w:rsid w:val="007842BA"/>
    <w:rsid w:val="0078432F"/>
    <w:rsid w:val="00784A5B"/>
    <w:rsid w:val="007855A2"/>
    <w:rsid w:val="00785A7C"/>
    <w:rsid w:val="00785AB0"/>
    <w:rsid w:val="00786C65"/>
    <w:rsid w:val="007873B4"/>
    <w:rsid w:val="007915C6"/>
    <w:rsid w:val="00791820"/>
    <w:rsid w:val="00791D20"/>
    <w:rsid w:val="007925A4"/>
    <w:rsid w:val="007928AC"/>
    <w:rsid w:val="00792D02"/>
    <w:rsid w:val="00792E67"/>
    <w:rsid w:val="00793166"/>
    <w:rsid w:val="00793697"/>
    <w:rsid w:val="007938A3"/>
    <w:rsid w:val="00793A4C"/>
    <w:rsid w:val="00793EC1"/>
    <w:rsid w:val="007940FD"/>
    <w:rsid w:val="007943C0"/>
    <w:rsid w:val="007945D9"/>
    <w:rsid w:val="00794940"/>
    <w:rsid w:val="00796CE6"/>
    <w:rsid w:val="007973AA"/>
    <w:rsid w:val="00797C42"/>
    <w:rsid w:val="00797CBD"/>
    <w:rsid w:val="00797ED5"/>
    <w:rsid w:val="007A0633"/>
    <w:rsid w:val="007A085C"/>
    <w:rsid w:val="007A1181"/>
    <w:rsid w:val="007A190C"/>
    <w:rsid w:val="007A247F"/>
    <w:rsid w:val="007A2ECA"/>
    <w:rsid w:val="007A3373"/>
    <w:rsid w:val="007A3382"/>
    <w:rsid w:val="007A457D"/>
    <w:rsid w:val="007A4625"/>
    <w:rsid w:val="007A4BC9"/>
    <w:rsid w:val="007A596D"/>
    <w:rsid w:val="007A5DE7"/>
    <w:rsid w:val="007A5F7E"/>
    <w:rsid w:val="007A6D06"/>
    <w:rsid w:val="007A7C1D"/>
    <w:rsid w:val="007B0142"/>
    <w:rsid w:val="007B0AA5"/>
    <w:rsid w:val="007B0B85"/>
    <w:rsid w:val="007B19D2"/>
    <w:rsid w:val="007B1A2E"/>
    <w:rsid w:val="007B1C55"/>
    <w:rsid w:val="007B27A5"/>
    <w:rsid w:val="007B2B46"/>
    <w:rsid w:val="007B2FA6"/>
    <w:rsid w:val="007B3F65"/>
    <w:rsid w:val="007B4F7D"/>
    <w:rsid w:val="007B51A0"/>
    <w:rsid w:val="007B56E5"/>
    <w:rsid w:val="007B5B28"/>
    <w:rsid w:val="007B5BA7"/>
    <w:rsid w:val="007B61E1"/>
    <w:rsid w:val="007B6D63"/>
    <w:rsid w:val="007B6D68"/>
    <w:rsid w:val="007B7643"/>
    <w:rsid w:val="007B7754"/>
    <w:rsid w:val="007C1879"/>
    <w:rsid w:val="007C368B"/>
    <w:rsid w:val="007C371F"/>
    <w:rsid w:val="007C3D21"/>
    <w:rsid w:val="007C4297"/>
    <w:rsid w:val="007C45E1"/>
    <w:rsid w:val="007C4694"/>
    <w:rsid w:val="007C72DA"/>
    <w:rsid w:val="007C75CD"/>
    <w:rsid w:val="007C7EF2"/>
    <w:rsid w:val="007D26FE"/>
    <w:rsid w:val="007D277A"/>
    <w:rsid w:val="007D3386"/>
    <w:rsid w:val="007D3E6C"/>
    <w:rsid w:val="007D4BF7"/>
    <w:rsid w:val="007D50DD"/>
    <w:rsid w:val="007D61AA"/>
    <w:rsid w:val="007D6999"/>
    <w:rsid w:val="007D6A7A"/>
    <w:rsid w:val="007E16F1"/>
    <w:rsid w:val="007E2152"/>
    <w:rsid w:val="007E28C9"/>
    <w:rsid w:val="007E299E"/>
    <w:rsid w:val="007E2C20"/>
    <w:rsid w:val="007E2C97"/>
    <w:rsid w:val="007E37AA"/>
    <w:rsid w:val="007E3914"/>
    <w:rsid w:val="007E3C0A"/>
    <w:rsid w:val="007E4029"/>
    <w:rsid w:val="007E4E54"/>
    <w:rsid w:val="007E5B34"/>
    <w:rsid w:val="007E6ABF"/>
    <w:rsid w:val="007E7675"/>
    <w:rsid w:val="007F01B0"/>
    <w:rsid w:val="007F02C5"/>
    <w:rsid w:val="007F121A"/>
    <w:rsid w:val="007F17A9"/>
    <w:rsid w:val="007F2D62"/>
    <w:rsid w:val="007F317F"/>
    <w:rsid w:val="007F341E"/>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0BAE"/>
    <w:rsid w:val="008017A4"/>
    <w:rsid w:val="00802BB2"/>
    <w:rsid w:val="00802D3E"/>
    <w:rsid w:val="008030B3"/>
    <w:rsid w:val="008030FF"/>
    <w:rsid w:val="00803329"/>
    <w:rsid w:val="00803851"/>
    <w:rsid w:val="00803990"/>
    <w:rsid w:val="00804028"/>
    <w:rsid w:val="008048F1"/>
    <w:rsid w:val="00804E4F"/>
    <w:rsid w:val="00804EDB"/>
    <w:rsid w:val="0080544A"/>
    <w:rsid w:val="00805643"/>
    <w:rsid w:val="00805CDF"/>
    <w:rsid w:val="00806B9C"/>
    <w:rsid w:val="008077D7"/>
    <w:rsid w:val="00807851"/>
    <w:rsid w:val="00807941"/>
    <w:rsid w:val="00810F0A"/>
    <w:rsid w:val="008116AA"/>
    <w:rsid w:val="0081181E"/>
    <w:rsid w:val="00811ACD"/>
    <w:rsid w:val="00811E6B"/>
    <w:rsid w:val="00811E75"/>
    <w:rsid w:val="00812038"/>
    <w:rsid w:val="00812045"/>
    <w:rsid w:val="00813AEF"/>
    <w:rsid w:val="0081403B"/>
    <w:rsid w:val="008153A9"/>
    <w:rsid w:val="0081559A"/>
    <w:rsid w:val="00815762"/>
    <w:rsid w:val="00815A69"/>
    <w:rsid w:val="00815D4B"/>
    <w:rsid w:val="008163A4"/>
    <w:rsid w:val="00816670"/>
    <w:rsid w:val="008167D3"/>
    <w:rsid w:val="00817117"/>
    <w:rsid w:val="00820C3F"/>
    <w:rsid w:val="00820DEB"/>
    <w:rsid w:val="008211E2"/>
    <w:rsid w:val="00821BEC"/>
    <w:rsid w:val="00822433"/>
    <w:rsid w:val="0082248B"/>
    <w:rsid w:val="00823953"/>
    <w:rsid w:val="00823B00"/>
    <w:rsid w:val="00824556"/>
    <w:rsid w:val="00824A59"/>
    <w:rsid w:val="00826719"/>
    <w:rsid w:val="008276BC"/>
    <w:rsid w:val="00827887"/>
    <w:rsid w:val="00830130"/>
    <w:rsid w:val="00831843"/>
    <w:rsid w:val="00831F38"/>
    <w:rsid w:val="00832171"/>
    <w:rsid w:val="00832358"/>
    <w:rsid w:val="00832584"/>
    <w:rsid w:val="00832609"/>
    <w:rsid w:val="0083291F"/>
    <w:rsid w:val="00832FF4"/>
    <w:rsid w:val="008336F8"/>
    <w:rsid w:val="00833A99"/>
    <w:rsid w:val="00834665"/>
    <w:rsid w:val="0083547B"/>
    <w:rsid w:val="008356CF"/>
    <w:rsid w:val="00835BED"/>
    <w:rsid w:val="00835EA7"/>
    <w:rsid w:val="00836777"/>
    <w:rsid w:val="008368DB"/>
    <w:rsid w:val="0084001F"/>
    <w:rsid w:val="00840E39"/>
    <w:rsid w:val="0084198F"/>
    <w:rsid w:val="00843276"/>
    <w:rsid w:val="00844D6B"/>
    <w:rsid w:val="0084531B"/>
    <w:rsid w:val="00845A77"/>
    <w:rsid w:val="00846229"/>
    <w:rsid w:val="0084623D"/>
    <w:rsid w:val="008464A3"/>
    <w:rsid w:val="00846D59"/>
    <w:rsid w:val="00846EEA"/>
    <w:rsid w:val="00847124"/>
    <w:rsid w:val="00847D4F"/>
    <w:rsid w:val="00847D71"/>
    <w:rsid w:val="00850155"/>
    <w:rsid w:val="0085102D"/>
    <w:rsid w:val="00851DEC"/>
    <w:rsid w:val="00852842"/>
    <w:rsid w:val="00852919"/>
    <w:rsid w:val="008530D8"/>
    <w:rsid w:val="0085324F"/>
    <w:rsid w:val="00853911"/>
    <w:rsid w:val="00854621"/>
    <w:rsid w:val="008549EA"/>
    <w:rsid w:val="0085517B"/>
    <w:rsid w:val="0085577D"/>
    <w:rsid w:val="00855F5F"/>
    <w:rsid w:val="00857E21"/>
    <w:rsid w:val="00860351"/>
    <w:rsid w:val="00861EA5"/>
    <w:rsid w:val="0086392F"/>
    <w:rsid w:val="0086393F"/>
    <w:rsid w:val="00863B01"/>
    <w:rsid w:val="0086478C"/>
    <w:rsid w:val="0086531F"/>
    <w:rsid w:val="00865810"/>
    <w:rsid w:val="008665A5"/>
    <w:rsid w:val="008667FD"/>
    <w:rsid w:val="00866895"/>
    <w:rsid w:val="0086765B"/>
    <w:rsid w:val="00870CD1"/>
    <w:rsid w:val="008712BD"/>
    <w:rsid w:val="008715E8"/>
    <w:rsid w:val="008718DC"/>
    <w:rsid w:val="0087198A"/>
    <w:rsid w:val="00871ABD"/>
    <w:rsid w:val="00871C59"/>
    <w:rsid w:val="0087271A"/>
    <w:rsid w:val="00874415"/>
    <w:rsid w:val="00876999"/>
    <w:rsid w:val="008774A4"/>
    <w:rsid w:val="0087762F"/>
    <w:rsid w:val="008778D7"/>
    <w:rsid w:val="00880874"/>
    <w:rsid w:val="00882178"/>
    <w:rsid w:val="00882A9D"/>
    <w:rsid w:val="008846A1"/>
    <w:rsid w:val="00884A55"/>
    <w:rsid w:val="00884DFE"/>
    <w:rsid w:val="00885603"/>
    <w:rsid w:val="008859B4"/>
    <w:rsid w:val="008866B2"/>
    <w:rsid w:val="0088764D"/>
    <w:rsid w:val="00887685"/>
    <w:rsid w:val="0088796C"/>
    <w:rsid w:val="00887B83"/>
    <w:rsid w:val="00887CA4"/>
    <w:rsid w:val="008908C2"/>
    <w:rsid w:val="00890E25"/>
    <w:rsid w:val="00890E36"/>
    <w:rsid w:val="00891270"/>
    <w:rsid w:val="008918AF"/>
    <w:rsid w:val="00891921"/>
    <w:rsid w:val="00891C57"/>
    <w:rsid w:val="0089232C"/>
    <w:rsid w:val="00892A3C"/>
    <w:rsid w:val="00892C73"/>
    <w:rsid w:val="00893192"/>
    <w:rsid w:val="008933EC"/>
    <w:rsid w:val="0089349D"/>
    <w:rsid w:val="00893B96"/>
    <w:rsid w:val="00894DCA"/>
    <w:rsid w:val="00894DDD"/>
    <w:rsid w:val="00894FC4"/>
    <w:rsid w:val="008952A3"/>
    <w:rsid w:val="00896185"/>
    <w:rsid w:val="008961C9"/>
    <w:rsid w:val="0089651A"/>
    <w:rsid w:val="00896B3A"/>
    <w:rsid w:val="00896CB5"/>
    <w:rsid w:val="00897228"/>
    <w:rsid w:val="0089744C"/>
    <w:rsid w:val="008A0012"/>
    <w:rsid w:val="008A11F3"/>
    <w:rsid w:val="008A1E79"/>
    <w:rsid w:val="008A1EBA"/>
    <w:rsid w:val="008A22A0"/>
    <w:rsid w:val="008A2668"/>
    <w:rsid w:val="008A2CC7"/>
    <w:rsid w:val="008A2F5E"/>
    <w:rsid w:val="008A348E"/>
    <w:rsid w:val="008A4681"/>
    <w:rsid w:val="008A54F8"/>
    <w:rsid w:val="008A55C4"/>
    <w:rsid w:val="008A61E0"/>
    <w:rsid w:val="008B1184"/>
    <w:rsid w:val="008B1542"/>
    <w:rsid w:val="008B1800"/>
    <w:rsid w:val="008B1C2F"/>
    <w:rsid w:val="008B328E"/>
    <w:rsid w:val="008B400B"/>
    <w:rsid w:val="008B43F6"/>
    <w:rsid w:val="008B5876"/>
    <w:rsid w:val="008B59CB"/>
    <w:rsid w:val="008B6D9C"/>
    <w:rsid w:val="008B75C3"/>
    <w:rsid w:val="008B7B4A"/>
    <w:rsid w:val="008C0236"/>
    <w:rsid w:val="008C218F"/>
    <w:rsid w:val="008C2398"/>
    <w:rsid w:val="008C2564"/>
    <w:rsid w:val="008C2820"/>
    <w:rsid w:val="008C2869"/>
    <w:rsid w:val="008C2E57"/>
    <w:rsid w:val="008C30BA"/>
    <w:rsid w:val="008C3336"/>
    <w:rsid w:val="008C3CE1"/>
    <w:rsid w:val="008C3E77"/>
    <w:rsid w:val="008C46F9"/>
    <w:rsid w:val="008C48DF"/>
    <w:rsid w:val="008C4940"/>
    <w:rsid w:val="008C52A5"/>
    <w:rsid w:val="008C52DF"/>
    <w:rsid w:val="008C5E1F"/>
    <w:rsid w:val="008C6102"/>
    <w:rsid w:val="008C6C52"/>
    <w:rsid w:val="008C76AC"/>
    <w:rsid w:val="008D00D3"/>
    <w:rsid w:val="008D0CDE"/>
    <w:rsid w:val="008D0F32"/>
    <w:rsid w:val="008D0F99"/>
    <w:rsid w:val="008D13C3"/>
    <w:rsid w:val="008D2841"/>
    <w:rsid w:val="008D3B8E"/>
    <w:rsid w:val="008D3E4C"/>
    <w:rsid w:val="008D48E6"/>
    <w:rsid w:val="008D547C"/>
    <w:rsid w:val="008D54B6"/>
    <w:rsid w:val="008D598E"/>
    <w:rsid w:val="008D5F92"/>
    <w:rsid w:val="008D6B07"/>
    <w:rsid w:val="008D6BFC"/>
    <w:rsid w:val="008D7385"/>
    <w:rsid w:val="008D76BA"/>
    <w:rsid w:val="008D77E3"/>
    <w:rsid w:val="008D7D6B"/>
    <w:rsid w:val="008D7ECD"/>
    <w:rsid w:val="008E0A2B"/>
    <w:rsid w:val="008E0BCC"/>
    <w:rsid w:val="008E1B00"/>
    <w:rsid w:val="008E1B6F"/>
    <w:rsid w:val="008E2088"/>
    <w:rsid w:val="008E216C"/>
    <w:rsid w:val="008E2650"/>
    <w:rsid w:val="008E2F42"/>
    <w:rsid w:val="008E2F81"/>
    <w:rsid w:val="008E31AD"/>
    <w:rsid w:val="008E38CC"/>
    <w:rsid w:val="008E3D25"/>
    <w:rsid w:val="008E6591"/>
    <w:rsid w:val="008E763A"/>
    <w:rsid w:val="008E78C0"/>
    <w:rsid w:val="008E7FF5"/>
    <w:rsid w:val="008F010A"/>
    <w:rsid w:val="008F0450"/>
    <w:rsid w:val="008F0761"/>
    <w:rsid w:val="008F1BF5"/>
    <w:rsid w:val="008F2646"/>
    <w:rsid w:val="008F35F2"/>
    <w:rsid w:val="008F3606"/>
    <w:rsid w:val="008F53DF"/>
    <w:rsid w:val="008F6C5E"/>
    <w:rsid w:val="008F6F42"/>
    <w:rsid w:val="008F7465"/>
    <w:rsid w:val="008F76C2"/>
    <w:rsid w:val="00900A81"/>
    <w:rsid w:val="00900A92"/>
    <w:rsid w:val="00900F20"/>
    <w:rsid w:val="00902C63"/>
    <w:rsid w:val="00902D9A"/>
    <w:rsid w:val="00902E42"/>
    <w:rsid w:val="00903C7B"/>
    <w:rsid w:val="00904CAF"/>
    <w:rsid w:val="00905498"/>
    <w:rsid w:val="00906049"/>
    <w:rsid w:val="0090669C"/>
    <w:rsid w:val="00906708"/>
    <w:rsid w:val="0090708C"/>
    <w:rsid w:val="0090765B"/>
    <w:rsid w:val="009100D2"/>
    <w:rsid w:val="00910377"/>
    <w:rsid w:val="0091049E"/>
    <w:rsid w:val="00910529"/>
    <w:rsid w:val="00910833"/>
    <w:rsid w:val="00910AC1"/>
    <w:rsid w:val="00911509"/>
    <w:rsid w:val="00911511"/>
    <w:rsid w:val="0091225E"/>
    <w:rsid w:val="00912973"/>
    <w:rsid w:val="00913205"/>
    <w:rsid w:val="00913A4C"/>
    <w:rsid w:val="00913CB5"/>
    <w:rsid w:val="009148E0"/>
    <w:rsid w:val="00915524"/>
    <w:rsid w:val="00915A5E"/>
    <w:rsid w:val="00915C36"/>
    <w:rsid w:val="009167CB"/>
    <w:rsid w:val="00916EEE"/>
    <w:rsid w:val="0091784E"/>
    <w:rsid w:val="00917A91"/>
    <w:rsid w:val="009203EE"/>
    <w:rsid w:val="00920D16"/>
    <w:rsid w:val="00922043"/>
    <w:rsid w:val="00922573"/>
    <w:rsid w:val="00922924"/>
    <w:rsid w:val="00922B66"/>
    <w:rsid w:val="00922E64"/>
    <w:rsid w:val="009237E3"/>
    <w:rsid w:val="00924272"/>
    <w:rsid w:val="009245DA"/>
    <w:rsid w:val="009256AF"/>
    <w:rsid w:val="00926623"/>
    <w:rsid w:val="00926875"/>
    <w:rsid w:val="009268E0"/>
    <w:rsid w:val="00926F28"/>
    <w:rsid w:val="00927A5A"/>
    <w:rsid w:val="009305F7"/>
    <w:rsid w:val="009317F9"/>
    <w:rsid w:val="00932178"/>
    <w:rsid w:val="00932326"/>
    <w:rsid w:val="0093260E"/>
    <w:rsid w:val="009331FD"/>
    <w:rsid w:val="00933610"/>
    <w:rsid w:val="00933AD3"/>
    <w:rsid w:val="00933BCD"/>
    <w:rsid w:val="00933C4B"/>
    <w:rsid w:val="00933F4C"/>
    <w:rsid w:val="00934376"/>
    <w:rsid w:val="00934547"/>
    <w:rsid w:val="009348B6"/>
    <w:rsid w:val="00935256"/>
    <w:rsid w:val="0093525E"/>
    <w:rsid w:val="00935601"/>
    <w:rsid w:val="00936CFF"/>
    <w:rsid w:val="00937F59"/>
    <w:rsid w:val="009402B2"/>
    <w:rsid w:val="009405B6"/>
    <w:rsid w:val="00940934"/>
    <w:rsid w:val="009414CA"/>
    <w:rsid w:val="00941979"/>
    <w:rsid w:val="00941FA4"/>
    <w:rsid w:val="00942B37"/>
    <w:rsid w:val="00942C39"/>
    <w:rsid w:val="00943EA5"/>
    <w:rsid w:val="00943F0A"/>
    <w:rsid w:val="00944C3C"/>
    <w:rsid w:val="009451C3"/>
    <w:rsid w:val="00946029"/>
    <w:rsid w:val="00946977"/>
    <w:rsid w:val="009478E6"/>
    <w:rsid w:val="00947BC0"/>
    <w:rsid w:val="009500C7"/>
    <w:rsid w:val="00950547"/>
    <w:rsid w:val="009506F7"/>
    <w:rsid w:val="009512A7"/>
    <w:rsid w:val="00952094"/>
    <w:rsid w:val="009529BF"/>
    <w:rsid w:val="0095478A"/>
    <w:rsid w:val="00954A9A"/>
    <w:rsid w:val="009559B3"/>
    <w:rsid w:val="00955A7F"/>
    <w:rsid w:val="00955F82"/>
    <w:rsid w:val="00956985"/>
    <w:rsid w:val="00956B27"/>
    <w:rsid w:val="0095728D"/>
    <w:rsid w:val="00957A4E"/>
    <w:rsid w:val="00957CED"/>
    <w:rsid w:val="00960333"/>
    <w:rsid w:val="00960566"/>
    <w:rsid w:val="00961B08"/>
    <w:rsid w:val="0096249E"/>
    <w:rsid w:val="00962C61"/>
    <w:rsid w:val="00963421"/>
    <w:rsid w:val="0096456B"/>
    <w:rsid w:val="00964BB8"/>
    <w:rsid w:val="00964FE9"/>
    <w:rsid w:val="009653E7"/>
    <w:rsid w:val="00965D3F"/>
    <w:rsid w:val="0096701F"/>
    <w:rsid w:val="00967088"/>
    <w:rsid w:val="00967A3C"/>
    <w:rsid w:val="00967DA7"/>
    <w:rsid w:val="00970A4D"/>
    <w:rsid w:val="00970C2D"/>
    <w:rsid w:val="00970D4E"/>
    <w:rsid w:val="0097108A"/>
    <w:rsid w:val="009715ED"/>
    <w:rsid w:val="00972EF1"/>
    <w:rsid w:val="00972F36"/>
    <w:rsid w:val="0097343B"/>
    <w:rsid w:val="00973665"/>
    <w:rsid w:val="00973F0C"/>
    <w:rsid w:val="00973FA7"/>
    <w:rsid w:val="009746FE"/>
    <w:rsid w:val="00974B1F"/>
    <w:rsid w:val="00975FBF"/>
    <w:rsid w:val="00976257"/>
    <w:rsid w:val="00976602"/>
    <w:rsid w:val="009767F0"/>
    <w:rsid w:val="00976FFA"/>
    <w:rsid w:val="00977206"/>
    <w:rsid w:val="00977333"/>
    <w:rsid w:val="00977492"/>
    <w:rsid w:val="00977971"/>
    <w:rsid w:val="00977E9C"/>
    <w:rsid w:val="00977FF4"/>
    <w:rsid w:val="00980129"/>
    <w:rsid w:val="009804AF"/>
    <w:rsid w:val="00980CAE"/>
    <w:rsid w:val="00982020"/>
    <w:rsid w:val="009820CE"/>
    <w:rsid w:val="009823CD"/>
    <w:rsid w:val="009825BB"/>
    <w:rsid w:val="00982695"/>
    <w:rsid w:val="00982B4C"/>
    <w:rsid w:val="0098452D"/>
    <w:rsid w:val="00984716"/>
    <w:rsid w:val="00984ED8"/>
    <w:rsid w:val="00985BBE"/>
    <w:rsid w:val="00987E61"/>
    <w:rsid w:val="009945EA"/>
    <w:rsid w:val="0099470D"/>
    <w:rsid w:val="00995E85"/>
    <w:rsid w:val="00995F62"/>
    <w:rsid w:val="00996333"/>
    <w:rsid w:val="00996E25"/>
    <w:rsid w:val="00997F58"/>
    <w:rsid w:val="009A02AE"/>
    <w:rsid w:val="009A0967"/>
    <w:rsid w:val="009A0EB4"/>
    <w:rsid w:val="009A1E28"/>
    <w:rsid w:val="009A3A3A"/>
    <w:rsid w:val="009A444C"/>
    <w:rsid w:val="009A451B"/>
    <w:rsid w:val="009A520B"/>
    <w:rsid w:val="009A57D4"/>
    <w:rsid w:val="009A5BE8"/>
    <w:rsid w:val="009A5E42"/>
    <w:rsid w:val="009A5EE9"/>
    <w:rsid w:val="009A5EFF"/>
    <w:rsid w:val="009A6B24"/>
    <w:rsid w:val="009A6BFA"/>
    <w:rsid w:val="009A7144"/>
    <w:rsid w:val="009A7612"/>
    <w:rsid w:val="009A78D1"/>
    <w:rsid w:val="009A7EDD"/>
    <w:rsid w:val="009B0264"/>
    <w:rsid w:val="009B0D79"/>
    <w:rsid w:val="009B22B5"/>
    <w:rsid w:val="009B2F94"/>
    <w:rsid w:val="009B34B4"/>
    <w:rsid w:val="009B4280"/>
    <w:rsid w:val="009B58E6"/>
    <w:rsid w:val="009B6515"/>
    <w:rsid w:val="009B66D3"/>
    <w:rsid w:val="009C0089"/>
    <w:rsid w:val="009C1D3F"/>
    <w:rsid w:val="009C2881"/>
    <w:rsid w:val="009C2A4E"/>
    <w:rsid w:val="009C2B61"/>
    <w:rsid w:val="009C2D4B"/>
    <w:rsid w:val="009C3041"/>
    <w:rsid w:val="009C464E"/>
    <w:rsid w:val="009C4DAE"/>
    <w:rsid w:val="009C4EEF"/>
    <w:rsid w:val="009C5417"/>
    <w:rsid w:val="009C5703"/>
    <w:rsid w:val="009C64DB"/>
    <w:rsid w:val="009C6955"/>
    <w:rsid w:val="009C6FFA"/>
    <w:rsid w:val="009C6FFB"/>
    <w:rsid w:val="009C7608"/>
    <w:rsid w:val="009C7AC0"/>
    <w:rsid w:val="009C7CD0"/>
    <w:rsid w:val="009D046F"/>
    <w:rsid w:val="009D0EE8"/>
    <w:rsid w:val="009D121E"/>
    <w:rsid w:val="009D1D9A"/>
    <w:rsid w:val="009D2CB0"/>
    <w:rsid w:val="009D43DF"/>
    <w:rsid w:val="009D46FD"/>
    <w:rsid w:val="009D4797"/>
    <w:rsid w:val="009D5470"/>
    <w:rsid w:val="009D54C3"/>
    <w:rsid w:val="009D5655"/>
    <w:rsid w:val="009D5E73"/>
    <w:rsid w:val="009D5FC0"/>
    <w:rsid w:val="009D5FC8"/>
    <w:rsid w:val="009D6C5C"/>
    <w:rsid w:val="009D7E97"/>
    <w:rsid w:val="009D7EAA"/>
    <w:rsid w:val="009E032A"/>
    <w:rsid w:val="009E063E"/>
    <w:rsid w:val="009E0932"/>
    <w:rsid w:val="009E0E7B"/>
    <w:rsid w:val="009E1588"/>
    <w:rsid w:val="009E165E"/>
    <w:rsid w:val="009E184B"/>
    <w:rsid w:val="009E3975"/>
    <w:rsid w:val="009E4B43"/>
    <w:rsid w:val="009E50EB"/>
    <w:rsid w:val="009E5787"/>
    <w:rsid w:val="009E5963"/>
    <w:rsid w:val="009E5CC4"/>
    <w:rsid w:val="009E6250"/>
    <w:rsid w:val="009E6449"/>
    <w:rsid w:val="009E66FD"/>
    <w:rsid w:val="009E6A2D"/>
    <w:rsid w:val="009E708E"/>
    <w:rsid w:val="009E73A8"/>
    <w:rsid w:val="009E7E82"/>
    <w:rsid w:val="009F0D59"/>
    <w:rsid w:val="009F0DD9"/>
    <w:rsid w:val="009F1077"/>
    <w:rsid w:val="009F246D"/>
    <w:rsid w:val="009F29D0"/>
    <w:rsid w:val="009F2CE0"/>
    <w:rsid w:val="009F38AA"/>
    <w:rsid w:val="009F4E4D"/>
    <w:rsid w:val="009F4FF9"/>
    <w:rsid w:val="009F5F24"/>
    <w:rsid w:val="009F7599"/>
    <w:rsid w:val="009F79B6"/>
    <w:rsid w:val="009F7E35"/>
    <w:rsid w:val="009F7E85"/>
    <w:rsid w:val="00A00132"/>
    <w:rsid w:val="00A00EA0"/>
    <w:rsid w:val="00A01D44"/>
    <w:rsid w:val="00A02325"/>
    <w:rsid w:val="00A024A2"/>
    <w:rsid w:val="00A0321A"/>
    <w:rsid w:val="00A03524"/>
    <w:rsid w:val="00A03DA1"/>
    <w:rsid w:val="00A042BB"/>
    <w:rsid w:val="00A05394"/>
    <w:rsid w:val="00A05901"/>
    <w:rsid w:val="00A05962"/>
    <w:rsid w:val="00A06090"/>
    <w:rsid w:val="00A06596"/>
    <w:rsid w:val="00A06FBC"/>
    <w:rsid w:val="00A0746C"/>
    <w:rsid w:val="00A07626"/>
    <w:rsid w:val="00A07B7B"/>
    <w:rsid w:val="00A10B2D"/>
    <w:rsid w:val="00A10F12"/>
    <w:rsid w:val="00A11403"/>
    <w:rsid w:val="00A11D60"/>
    <w:rsid w:val="00A1241E"/>
    <w:rsid w:val="00A1268B"/>
    <w:rsid w:val="00A1291F"/>
    <w:rsid w:val="00A13FEA"/>
    <w:rsid w:val="00A14054"/>
    <w:rsid w:val="00A159C1"/>
    <w:rsid w:val="00A163E2"/>
    <w:rsid w:val="00A16743"/>
    <w:rsid w:val="00A169DF"/>
    <w:rsid w:val="00A16B39"/>
    <w:rsid w:val="00A16D22"/>
    <w:rsid w:val="00A16E9D"/>
    <w:rsid w:val="00A2040A"/>
    <w:rsid w:val="00A21282"/>
    <w:rsid w:val="00A21584"/>
    <w:rsid w:val="00A21800"/>
    <w:rsid w:val="00A21F34"/>
    <w:rsid w:val="00A221B9"/>
    <w:rsid w:val="00A2254B"/>
    <w:rsid w:val="00A226E4"/>
    <w:rsid w:val="00A22A2A"/>
    <w:rsid w:val="00A22E8F"/>
    <w:rsid w:val="00A23363"/>
    <w:rsid w:val="00A23377"/>
    <w:rsid w:val="00A235A4"/>
    <w:rsid w:val="00A236F3"/>
    <w:rsid w:val="00A247D2"/>
    <w:rsid w:val="00A250F9"/>
    <w:rsid w:val="00A26551"/>
    <w:rsid w:val="00A305E7"/>
    <w:rsid w:val="00A30699"/>
    <w:rsid w:val="00A30745"/>
    <w:rsid w:val="00A30E14"/>
    <w:rsid w:val="00A312DD"/>
    <w:rsid w:val="00A31539"/>
    <w:rsid w:val="00A31D8E"/>
    <w:rsid w:val="00A32023"/>
    <w:rsid w:val="00A3285E"/>
    <w:rsid w:val="00A33177"/>
    <w:rsid w:val="00A335EA"/>
    <w:rsid w:val="00A34AA1"/>
    <w:rsid w:val="00A34F44"/>
    <w:rsid w:val="00A36184"/>
    <w:rsid w:val="00A365CC"/>
    <w:rsid w:val="00A36868"/>
    <w:rsid w:val="00A37191"/>
    <w:rsid w:val="00A37416"/>
    <w:rsid w:val="00A37957"/>
    <w:rsid w:val="00A4024B"/>
    <w:rsid w:val="00A403A8"/>
    <w:rsid w:val="00A403ED"/>
    <w:rsid w:val="00A40934"/>
    <w:rsid w:val="00A40E5A"/>
    <w:rsid w:val="00A417B1"/>
    <w:rsid w:val="00A4202C"/>
    <w:rsid w:val="00A42640"/>
    <w:rsid w:val="00A43CBF"/>
    <w:rsid w:val="00A44B96"/>
    <w:rsid w:val="00A45482"/>
    <w:rsid w:val="00A456AD"/>
    <w:rsid w:val="00A45EF9"/>
    <w:rsid w:val="00A46016"/>
    <w:rsid w:val="00A46276"/>
    <w:rsid w:val="00A46437"/>
    <w:rsid w:val="00A46D5B"/>
    <w:rsid w:val="00A46F02"/>
    <w:rsid w:val="00A4772D"/>
    <w:rsid w:val="00A500D2"/>
    <w:rsid w:val="00A50FCE"/>
    <w:rsid w:val="00A517E8"/>
    <w:rsid w:val="00A52C89"/>
    <w:rsid w:val="00A52D8B"/>
    <w:rsid w:val="00A533A8"/>
    <w:rsid w:val="00A533E5"/>
    <w:rsid w:val="00A53E30"/>
    <w:rsid w:val="00A53F8D"/>
    <w:rsid w:val="00A540F0"/>
    <w:rsid w:val="00A54DDA"/>
    <w:rsid w:val="00A55AD6"/>
    <w:rsid w:val="00A55B47"/>
    <w:rsid w:val="00A55CC6"/>
    <w:rsid w:val="00A55EAF"/>
    <w:rsid w:val="00A5646F"/>
    <w:rsid w:val="00A5652F"/>
    <w:rsid w:val="00A56DAE"/>
    <w:rsid w:val="00A577A4"/>
    <w:rsid w:val="00A61BA2"/>
    <w:rsid w:val="00A61BE1"/>
    <w:rsid w:val="00A624AC"/>
    <w:rsid w:val="00A626F5"/>
    <w:rsid w:val="00A6287A"/>
    <w:rsid w:val="00A6295B"/>
    <w:rsid w:val="00A63971"/>
    <w:rsid w:val="00A63BBB"/>
    <w:rsid w:val="00A63DF1"/>
    <w:rsid w:val="00A63F7B"/>
    <w:rsid w:val="00A63F84"/>
    <w:rsid w:val="00A64D0F"/>
    <w:rsid w:val="00A653E6"/>
    <w:rsid w:val="00A659DA"/>
    <w:rsid w:val="00A65EAC"/>
    <w:rsid w:val="00A66E25"/>
    <w:rsid w:val="00A6710E"/>
    <w:rsid w:val="00A6783D"/>
    <w:rsid w:val="00A67A99"/>
    <w:rsid w:val="00A70366"/>
    <w:rsid w:val="00A7166A"/>
    <w:rsid w:val="00A72978"/>
    <w:rsid w:val="00A7310F"/>
    <w:rsid w:val="00A7486E"/>
    <w:rsid w:val="00A74BF4"/>
    <w:rsid w:val="00A750D0"/>
    <w:rsid w:val="00A75673"/>
    <w:rsid w:val="00A76C9D"/>
    <w:rsid w:val="00A7751D"/>
    <w:rsid w:val="00A80AB1"/>
    <w:rsid w:val="00A8191C"/>
    <w:rsid w:val="00A81C99"/>
    <w:rsid w:val="00A82781"/>
    <w:rsid w:val="00A827CF"/>
    <w:rsid w:val="00A82A79"/>
    <w:rsid w:val="00A82B7C"/>
    <w:rsid w:val="00A8319E"/>
    <w:rsid w:val="00A846E7"/>
    <w:rsid w:val="00A857CF"/>
    <w:rsid w:val="00A85F68"/>
    <w:rsid w:val="00A86047"/>
    <w:rsid w:val="00A87D22"/>
    <w:rsid w:val="00A87F92"/>
    <w:rsid w:val="00A90AB3"/>
    <w:rsid w:val="00A9179A"/>
    <w:rsid w:val="00A91DDE"/>
    <w:rsid w:val="00A92633"/>
    <w:rsid w:val="00A926E6"/>
    <w:rsid w:val="00A93696"/>
    <w:rsid w:val="00A936E9"/>
    <w:rsid w:val="00A93C07"/>
    <w:rsid w:val="00A93EEC"/>
    <w:rsid w:val="00A9427D"/>
    <w:rsid w:val="00A94583"/>
    <w:rsid w:val="00A94778"/>
    <w:rsid w:val="00A9580F"/>
    <w:rsid w:val="00A95810"/>
    <w:rsid w:val="00A95922"/>
    <w:rsid w:val="00A9599F"/>
    <w:rsid w:val="00A9602D"/>
    <w:rsid w:val="00A963D1"/>
    <w:rsid w:val="00A97375"/>
    <w:rsid w:val="00A97905"/>
    <w:rsid w:val="00A97ABC"/>
    <w:rsid w:val="00AA01DF"/>
    <w:rsid w:val="00AA0BC8"/>
    <w:rsid w:val="00AA0F1C"/>
    <w:rsid w:val="00AA0FDF"/>
    <w:rsid w:val="00AA121F"/>
    <w:rsid w:val="00AA1771"/>
    <w:rsid w:val="00AA187F"/>
    <w:rsid w:val="00AA1C90"/>
    <w:rsid w:val="00AA1EF1"/>
    <w:rsid w:val="00AA272D"/>
    <w:rsid w:val="00AA295E"/>
    <w:rsid w:val="00AA344A"/>
    <w:rsid w:val="00AA3553"/>
    <w:rsid w:val="00AA35EB"/>
    <w:rsid w:val="00AA3B55"/>
    <w:rsid w:val="00AA4833"/>
    <w:rsid w:val="00AA48BE"/>
    <w:rsid w:val="00AA4BE3"/>
    <w:rsid w:val="00AA5462"/>
    <w:rsid w:val="00AA5552"/>
    <w:rsid w:val="00AA62C3"/>
    <w:rsid w:val="00AA6563"/>
    <w:rsid w:val="00AA6A59"/>
    <w:rsid w:val="00AA7147"/>
    <w:rsid w:val="00AA724A"/>
    <w:rsid w:val="00AA72A1"/>
    <w:rsid w:val="00AA791A"/>
    <w:rsid w:val="00AB0190"/>
    <w:rsid w:val="00AB0F0E"/>
    <w:rsid w:val="00AB1699"/>
    <w:rsid w:val="00AB2B19"/>
    <w:rsid w:val="00AB2B93"/>
    <w:rsid w:val="00AB2DA0"/>
    <w:rsid w:val="00AB31B6"/>
    <w:rsid w:val="00AB5BA0"/>
    <w:rsid w:val="00AC060E"/>
    <w:rsid w:val="00AC086A"/>
    <w:rsid w:val="00AC15AD"/>
    <w:rsid w:val="00AC2112"/>
    <w:rsid w:val="00AC29C8"/>
    <w:rsid w:val="00AC2B04"/>
    <w:rsid w:val="00AC39BB"/>
    <w:rsid w:val="00AC3B7F"/>
    <w:rsid w:val="00AC3C37"/>
    <w:rsid w:val="00AC4B3F"/>
    <w:rsid w:val="00AC5DA7"/>
    <w:rsid w:val="00AC6358"/>
    <w:rsid w:val="00AC7127"/>
    <w:rsid w:val="00AC7F22"/>
    <w:rsid w:val="00AD05F0"/>
    <w:rsid w:val="00AD07AA"/>
    <w:rsid w:val="00AD1743"/>
    <w:rsid w:val="00AD1ECC"/>
    <w:rsid w:val="00AD2AF5"/>
    <w:rsid w:val="00AD2D0A"/>
    <w:rsid w:val="00AD30D6"/>
    <w:rsid w:val="00AD33ED"/>
    <w:rsid w:val="00AD3E5F"/>
    <w:rsid w:val="00AD4833"/>
    <w:rsid w:val="00AD4FC4"/>
    <w:rsid w:val="00AD601C"/>
    <w:rsid w:val="00AD6497"/>
    <w:rsid w:val="00AD7919"/>
    <w:rsid w:val="00AD7D76"/>
    <w:rsid w:val="00AE0048"/>
    <w:rsid w:val="00AE10F0"/>
    <w:rsid w:val="00AE18DD"/>
    <w:rsid w:val="00AE2574"/>
    <w:rsid w:val="00AE2F51"/>
    <w:rsid w:val="00AE4AC5"/>
    <w:rsid w:val="00AE5218"/>
    <w:rsid w:val="00AE5B06"/>
    <w:rsid w:val="00AE6AE5"/>
    <w:rsid w:val="00AE6EB1"/>
    <w:rsid w:val="00AE7E33"/>
    <w:rsid w:val="00AF055D"/>
    <w:rsid w:val="00AF1068"/>
    <w:rsid w:val="00AF10D7"/>
    <w:rsid w:val="00AF19BA"/>
    <w:rsid w:val="00AF2316"/>
    <w:rsid w:val="00AF35C5"/>
    <w:rsid w:val="00AF3B43"/>
    <w:rsid w:val="00AF3BA0"/>
    <w:rsid w:val="00AF5F51"/>
    <w:rsid w:val="00AF6B20"/>
    <w:rsid w:val="00AF765C"/>
    <w:rsid w:val="00AF7C01"/>
    <w:rsid w:val="00B00BFE"/>
    <w:rsid w:val="00B014F5"/>
    <w:rsid w:val="00B01C4F"/>
    <w:rsid w:val="00B02018"/>
    <w:rsid w:val="00B026AC"/>
    <w:rsid w:val="00B02888"/>
    <w:rsid w:val="00B03A46"/>
    <w:rsid w:val="00B03B44"/>
    <w:rsid w:val="00B03FC8"/>
    <w:rsid w:val="00B03FD0"/>
    <w:rsid w:val="00B0488E"/>
    <w:rsid w:val="00B049A1"/>
    <w:rsid w:val="00B04C64"/>
    <w:rsid w:val="00B04EF2"/>
    <w:rsid w:val="00B06358"/>
    <w:rsid w:val="00B067B2"/>
    <w:rsid w:val="00B06E9E"/>
    <w:rsid w:val="00B078E2"/>
    <w:rsid w:val="00B109E4"/>
    <w:rsid w:val="00B10AEE"/>
    <w:rsid w:val="00B10CAB"/>
    <w:rsid w:val="00B12593"/>
    <w:rsid w:val="00B12EC0"/>
    <w:rsid w:val="00B136C7"/>
    <w:rsid w:val="00B14AC6"/>
    <w:rsid w:val="00B14B92"/>
    <w:rsid w:val="00B15A3E"/>
    <w:rsid w:val="00B16928"/>
    <w:rsid w:val="00B17101"/>
    <w:rsid w:val="00B17A9B"/>
    <w:rsid w:val="00B17CA0"/>
    <w:rsid w:val="00B20944"/>
    <w:rsid w:val="00B20AFF"/>
    <w:rsid w:val="00B212B0"/>
    <w:rsid w:val="00B21601"/>
    <w:rsid w:val="00B22308"/>
    <w:rsid w:val="00B22A12"/>
    <w:rsid w:val="00B22FBA"/>
    <w:rsid w:val="00B2327A"/>
    <w:rsid w:val="00B23A0B"/>
    <w:rsid w:val="00B2572D"/>
    <w:rsid w:val="00B26009"/>
    <w:rsid w:val="00B26B43"/>
    <w:rsid w:val="00B301A7"/>
    <w:rsid w:val="00B306FB"/>
    <w:rsid w:val="00B30733"/>
    <w:rsid w:val="00B30931"/>
    <w:rsid w:val="00B31182"/>
    <w:rsid w:val="00B32885"/>
    <w:rsid w:val="00B33153"/>
    <w:rsid w:val="00B336D6"/>
    <w:rsid w:val="00B338F3"/>
    <w:rsid w:val="00B34123"/>
    <w:rsid w:val="00B342C5"/>
    <w:rsid w:val="00B34FD9"/>
    <w:rsid w:val="00B35E65"/>
    <w:rsid w:val="00B36058"/>
    <w:rsid w:val="00B36399"/>
    <w:rsid w:val="00B366DA"/>
    <w:rsid w:val="00B36D33"/>
    <w:rsid w:val="00B3734F"/>
    <w:rsid w:val="00B3776C"/>
    <w:rsid w:val="00B37D8F"/>
    <w:rsid w:val="00B40802"/>
    <w:rsid w:val="00B41031"/>
    <w:rsid w:val="00B4107D"/>
    <w:rsid w:val="00B41327"/>
    <w:rsid w:val="00B41B65"/>
    <w:rsid w:val="00B43C54"/>
    <w:rsid w:val="00B44021"/>
    <w:rsid w:val="00B445B5"/>
    <w:rsid w:val="00B448E1"/>
    <w:rsid w:val="00B44CB7"/>
    <w:rsid w:val="00B4546F"/>
    <w:rsid w:val="00B45756"/>
    <w:rsid w:val="00B4589F"/>
    <w:rsid w:val="00B46249"/>
    <w:rsid w:val="00B46B5C"/>
    <w:rsid w:val="00B46D78"/>
    <w:rsid w:val="00B504CA"/>
    <w:rsid w:val="00B50852"/>
    <w:rsid w:val="00B50A90"/>
    <w:rsid w:val="00B51D5A"/>
    <w:rsid w:val="00B525EA"/>
    <w:rsid w:val="00B526B5"/>
    <w:rsid w:val="00B52A26"/>
    <w:rsid w:val="00B52EE0"/>
    <w:rsid w:val="00B52F92"/>
    <w:rsid w:val="00B5380C"/>
    <w:rsid w:val="00B53AFC"/>
    <w:rsid w:val="00B53BDC"/>
    <w:rsid w:val="00B53F3B"/>
    <w:rsid w:val="00B54D65"/>
    <w:rsid w:val="00B54FC8"/>
    <w:rsid w:val="00B556EB"/>
    <w:rsid w:val="00B55F5E"/>
    <w:rsid w:val="00B562F3"/>
    <w:rsid w:val="00B56485"/>
    <w:rsid w:val="00B56955"/>
    <w:rsid w:val="00B57293"/>
    <w:rsid w:val="00B57A7B"/>
    <w:rsid w:val="00B57C68"/>
    <w:rsid w:val="00B60337"/>
    <w:rsid w:val="00B627D8"/>
    <w:rsid w:val="00B62A2B"/>
    <w:rsid w:val="00B639B9"/>
    <w:rsid w:val="00B651E6"/>
    <w:rsid w:val="00B65733"/>
    <w:rsid w:val="00B65FAF"/>
    <w:rsid w:val="00B65FB0"/>
    <w:rsid w:val="00B66368"/>
    <w:rsid w:val="00B66610"/>
    <w:rsid w:val="00B66C49"/>
    <w:rsid w:val="00B676E5"/>
    <w:rsid w:val="00B718FE"/>
    <w:rsid w:val="00B720CF"/>
    <w:rsid w:val="00B72D1B"/>
    <w:rsid w:val="00B75584"/>
    <w:rsid w:val="00B761F7"/>
    <w:rsid w:val="00B762B6"/>
    <w:rsid w:val="00B7648E"/>
    <w:rsid w:val="00B76607"/>
    <w:rsid w:val="00B76A6B"/>
    <w:rsid w:val="00B76CCB"/>
    <w:rsid w:val="00B77142"/>
    <w:rsid w:val="00B773E9"/>
    <w:rsid w:val="00B77875"/>
    <w:rsid w:val="00B77D75"/>
    <w:rsid w:val="00B80378"/>
    <w:rsid w:val="00B803E9"/>
    <w:rsid w:val="00B8221F"/>
    <w:rsid w:val="00B828C6"/>
    <w:rsid w:val="00B83BA0"/>
    <w:rsid w:val="00B842A7"/>
    <w:rsid w:val="00B849DD"/>
    <w:rsid w:val="00B84B7D"/>
    <w:rsid w:val="00B84CF3"/>
    <w:rsid w:val="00B84E7C"/>
    <w:rsid w:val="00B85056"/>
    <w:rsid w:val="00B851EA"/>
    <w:rsid w:val="00B85928"/>
    <w:rsid w:val="00B862B2"/>
    <w:rsid w:val="00B8631B"/>
    <w:rsid w:val="00B875EC"/>
    <w:rsid w:val="00B87803"/>
    <w:rsid w:val="00B90751"/>
    <w:rsid w:val="00B90936"/>
    <w:rsid w:val="00B92DDC"/>
    <w:rsid w:val="00B93914"/>
    <w:rsid w:val="00B93974"/>
    <w:rsid w:val="00B9436F"/>
    <w:rsid w:val="00B9499E"/>
    <w:rsid w:val="00B95B4E"/>
    <w:rsid w:val="00B9643F"/>
    <w:rsid w:val="00B96EDB"/>
    <w:rsid w:val="00B97205"/>
    <w:rsid w:val="00B9775C"/>
    <w:rsid w:val="00B979A2"/>
    <w:rsid w:val="00BA05F7"/>
    <w:rsid w:val="00BA080F"/>
    <w:rsid w:val="00BA1493"/>
    <w:rsid w:val="00BA14E0"/>
    <w:rsid w:val="00BA2521"/>
    <w:rsid w:val="00BA28E8"/>
    <w:rsid w:val="00BA30A5"/>
    <w:rsid w:val="00BA3806"/>
    <w:rsid w:val="00BA3850"/>
    <w:rsid w:val="00BA4271"/>
    <w:rsid w:val="00BA4E55"/>
    <w:rsid w:val="00BA5E99"/>
    <w:rsid w:val="00BA63F1"/>
    <w:rsid w:val="00BA6C40"/>
    <w:rsid w:val="00BA754E"/>
    <w:rsid w:val="00BA7B80"/>
    <w:rsid w:val="00BB0085"/>
    <w:rsid w:val="00BB0935"/>
    <w:rsid w:val="00BB118A"/>
    <w:rsid w:val="00BB1674"/>
    <w:rsid w:val="00BB1EAA"/>
    <w:rsid w:val="00BB28B5"/>
    <w:rsid w:val="00BB2F9F"/>
    <w:rsid w:val="00BB3419"/>
    <w:rsid w:val="00BB3C2E"/>
    <w:rsid w:val="00BB50C1"/>
    <w:rsid w:val="00BB5472"/>
    <w:rsid w:val="00BB5499"/>
    <w:rsid w:val="00BB683A"/>
    <w:rsid w:val="00BB6CB6"/>
    <w:rsid w:val="00BB6D53"/>
    <w:rsid w:val="00BC0E52"/>
    <w:rsid w:val="00BC0E6F"/>
    <w:rsid w:val="00BC116C"/>
    <w:rsid w:val="00BC1234"/>
    <w:rsid w:val="00BC1456"/>
    <w:rsid w:val="00BC1A5D"/>
    <w:rsid w:val="00BC1BCF"/>
    <w:rsid w:val="00BC1C28"/>
    <w:rsid w:val="00BC2232"/>
    <w:rsid w:val="00BC2ECF"/>
    <w:rsid w:val="00BC3863"/>
    <w:rsid w:val="00BC4520"/>
    <w:rsid w:val="00BC4BFA"/>
    <w:rsid w:val="00BC4EC8"/>
    <w:rsid w:val="00BC51AD"/>
    <w:rsid w:val="00BC533F"/>
    <w:rsid w:val="00BC5C5B"/>
    <w:rsid w:val="00BC67E7"/>
    <w:rsid w:val="00BC7574"/>
    <w:rsid w:val="00BD0650"/>
    <w:rsid w:val="00BD0C26"/>
    <w:rsid w:val="00BD129F"/>
    <w:rsid w:val="00BD1662"/>
    <w:rsid w:val="00BD18C1"/>
    <w:rsid w:val="00BD19BD"/>
    <w:rsid w:val="00BD1D28"/>
    <w:rsid w:val="00BD1E8D"/>
    <w:rsid w:val="00BD2B8C"/>
    <w:rsid w:val="00BD324E"/>
    <w:rsid w:val="00BD3A75"/>
    <w:rsid w:val="00BD42E8"/>
    <w:rsid w:val="00BD45FD"/>
    <w:rsid w:val="00BD49AD"/>
    <w:rsid w:val="00BD4B37"/>
    <w:rsid w:val="00BD51A6"/>
    <w:rsid w:val="00BD61CA"/>
    <w:rsid w:val="00BD62E4"/>
    <w:rsid w:val="00BD6541"/>
    <w:rsid w:val="00BD79F5"/>
    <w:rsid w:val="00BD7B45"/>
    <w:rsid w:val="00BE0380"/>
    <w:rsid w:val="00BE0634"/>
    <w:rsid w:val="00BE06A3"/>
    <w:rsid w:val="00BE1208"/>
    <w:rsid w:val="00BE1906"/>
    <w:rsid w:val="00BE1BAB"/>
    <w:rsid w:val="00BE23EE"/>
    <w:rsid w:val="00BE350A"/>
    <w:rsid w:val="00BE3CB3"/>
    <w:rsid w:val="00BE3F7A"/>
    <w:rsid w:val="00BE4011"/>
    <w:rsid w:val="00BE4209"/>
    <w:rsid w:val="00BE452A"/>
    <w:rsid w:val="00BE4E14"/>
    <w:rsid w:val="00BE78AE"/>
    <w:rsid w:val="00BF117E"/>
    <w:rsid w:val="00BF11C6"/>
    <w:rsid w:val="00BF1558"/>
    <w:rsid w:val="00BF2768"/>
    <w:rsid w:val="00BF2C6C"/>
    <w:rsid w:val="00BF2EBA"/>
    <w:rsid w:val="00BF34D5"/>
    <w:rsid w:val="00BF46BA"/>
    <w:rsid w:val="00BF47B4"/>
    <w:rsid w:val="00BF4E9B"/>
    <w:rsid w:val="00BF5997"/>
    <w:rsid w:val="00BF5BF5"/>
    <w:rsid w:val="00BF6111"/>
    <w:rsid w:val="00BF69EC"/>
    <w:rsid w:val="00BF6A81"/>
    <w:rsid w:val="00BF706F"/>
    <w:rsid w:val="00BF7FCC"/>
    <w:rsid w:val="00C0178A"/>
    <w:rsid w:val="00C01A4D"/>
    <w:rsid w:val="00C01CDA"/>
    <w:rsid w:val="00C02485"/>
    <w:rsid w:val="00C024FE"/>
    <w:rsid w:val="00C0276F"/>
    <w:rsid w:val="00C03EF0"/>
    <w:rsid w:val="00C041BB"/>
    <w:rsid w:val="00C0615C"/>
    <w:rsid w:val="00C063B5"/>
    <w:rsid w:val="00C0693E"/>
    <w:rsid w:val="00C06BA2"/>
    <w:rsid w:val="00C07C0F"/>
    <w:rsid w:val="00C10899"/>
    <w:rsid w:val="00C10FFC"/>
    <w:rsid w:val="00C11BB4"/>
    <w:rsid w:val="00C126D6"/>
    <w:rsid w:val="00C13431"/>
    <w:rsid w:val="00C13C0C"/>
    <w:rsid w:val="00C14420"/>
    <w:rsid w:val="00C14BD8"/>
    <w:rsid w:val="00C14DA6"/>
    <w:rsid w:val="00C14EA8"/>
    <w:rsid w:val="00C152CE"/>
    <w:rsid w:val="00C1532D"/>
    <w:rsid w:val="00C15B64"/>
    <w:rsid w:val="00C16682"/>
    <w:rsid w:val="00C16F08"/>
    <w:rsid w:val="00C1746A"/>
    <w:rsid w:val="00C1786C"/>
    <w:rsid w:val="00C20202"/>
    <w:rsid w:val="00C2050E"/>
    <w:rsid w:val="00C20BB7"/>
    <w:rsid w:val="00C20E54"/>
    <w:rsid w:val="00C21D62"/>
    <w:rsid w:val="00C22337"/>
    <w:rsid w:val="00C22440"/>
    <w:rsid w:val="00C2282D"/>
    <w:rsid w:val="00C2334A"/>
    <w:rsid w:val="00C24193"/>
    <w:rsid w:val="00C2424C"/>
    <w:rsid w:val="00C243DE"/>
    <w:rsid w:val="00C24CB3"/>
    <w:rsid w:val="00C25622"/>
    <w:rsid w:val="00C25630"/>
    <w:rsid w:val="00C25F46"/>
    <w:rsid w:val="00C26FC5"/>
    <w:rsid w:val="00C2753E"/>
    <w:rsid w:val="00C275C5"/>
    <w:rsid w:val="00C27B0E"/>
    <w:rsid w:val="00C27C13"/>
    <w:rsid w:val="00C30721"/>
    <w:rsid w:val="00C30872"/>
    <w:rsid w:val="00C30B1B"/>
    <w:rsid w:val="00C30B4C"/>
    <w:rsid w:val="00C30CBC"/>
    <w:rsid w:val="00C3228D"/>
    <w:rsid w:val="00C322B4"/>
    <w:rsid w:val="00C32ADF"/>
    <w:rsid w:val="00C334F2"/>
    <w:rsid w:val="00C3369E"/>
    <w:rsid w:val="00C34C42"/>
    <w:rsid w:val="00C34FA2"/>
    <w:rsid w:val="00C35053"/>
    <w:rsid w:val="00C35310"/>
    <w:rsid w:val="00C35B07"/>
    <w:rsid w:val="00C35E54"/>
    <w:rsid w:val="00C360C0"/>
    <w:rsid w:val="00C3689B"/>
    <w:rsid w:val="00C36C99"/>
    <w:rsid w:val="00C3715A"/>
    <w:rsid w:val="00C37204"/>
    <w:rsid w:val="00C37C72"/>
    <w:rsid w:val="00C37D99"/>
    <w:rsid w:val="00C37F64"/>
    <w:rsid w:val="00C402EE"/>
    <w:rsid w:val="00C40FB0"/>
    <w:rsid w:val="00C42EAB"/>
    <w:rsid w:val="00C433F7"/>
    <w:rsid w:val="00C44824"/>
    <w:rsid w:val="00C450B9"/>
    <w:rsid w:val="00C45E9E"/>
    <w:rsid w:val="00C467A7"/>
    <w:rsid w:val="00C46962"/>
    <w:rsid w:val="00C475DE"/>
    <w:rsid w:val="00C47F06"/>
    <w:rsid w:val="00C47FC2"/>
    <w:rsid w:val="00C50A8F"/>
    <w:rsid w:val="00C515C7"/>
    <w:rsid w:val="00C5176B"/>
    <w:rsid w:val="00C51863"/>
    <w:rsid w:val="00C51CD9"/>
    <w:rsid w:val="00C52536"/>
    <w:rsid w:val="00C525FC"/>
    <w:rsid w:val="00C527D1"/>
    <w:rsid w:val="00C52ED8"/>
    <w:rsid w:val="00C54140"/>
    <w:rsid w:val="00C5436F"/>
    <w:rsid w:val="00C5455B"/>
    <w:rsid w:val="00C54739"/>
    <w:rsid w:val="00C54758"/>
    <w:rsid w:val="00C55FD3"/>
    <w:rsid w:val="00C57DF3"/>
    <w:rsid w:val="00C606CE"/>
    <w:rsid w:val="00C610B1"/>
    <w:rsid w:val="00C615F7"/>
    <w:rsid w:val="00C61B01"/>
    <w:rsid w:val="00C61BAF"/>
    <w:rsid w:val="00C621FB"/>
    <w:rsid w:val="00C62BAA"/>
    <w:rsid w:val="00C62E45"/>
    <w:rsid w:val="00C64046"/>
    <w:rsid w:val="00C64637"/>
    <w:rsid w:val="00C64A60"/>
    <w:rsid w:val="00C657AA"/>
    <w:rsid w:val="00C6581C"/>
    <w:rsid w:val="00C66811"/>
    <w:rsid w:val="00C66C9F"/>
    <w:rsid w:val="00C6756B"/>
    <w:rsid w:val="00C701B1"/>
    <w:rsid w:val="00C70556"/>
    <w:rsid w:val="00C70A3F"/>
    <w:rsid w:val="00C7143E"/>
    <w:rsid w:val="00C74CAB"/>
    <w:rsid w:val="00C74E7A"/>
    <w:rsid w:val="00C75AA9"/>
    <w:rsid w:val="00C76028"/>
    <w:rsid w:val="00C7750C"/>
    <w:rsid w:val="00C77CEC"/>
    <w:rsid w:val="00C80D49"/>
    <w:rsid w:val="00C81229"/>
    <w:rsid w:val="00C81361"/>
    <w:rsid w:val="00C81E74"/>
    <w:rsid w:val="00C81ED4"/>
    <w:rsid w:val="00C823CF"/>
    <w:rsid w:val="00C825C1"/>
    <w:rsid w:val="00C82BC1"/>
    <w:rsid w:val="00C83DDF"/>
    <w:rsid w:val="00C843D3"/>
    <w:rsid w:val="00C84545"/>
    <w:rsid w:val="00C86064"/>
    <w:rsid w:val="00C862B4"/>
    <w:rsid w:val="00C9190E"/>
    <w:rsid w:val="00C91B3F"/>
    <w:rsid w:val="00C92F9F"/>
    <w:rsid w:val="00C93587"/>
    <w:rsid w:val="00C9405F"/>
    <w:rsid w:val="00C94311"/>
    <w:rsid w:val="00C9506A"/>
    <w:rsid w:val="00C9599F"/>
    <w:rsid w:val="00C96102"/>
    <w:rsid w:val="00C964A6"/>
    <w:rsid w:val="00C9670F"/>
    <w:rsid w:val="00C97242"/>
    <w:rsid w:val="00CA07BD"/>
    <w:rsid w:val="00CA0F1F"/>
    <w:rsid w:val="00CA14A3"/>
    <w:rsid w:val="00CA1520"/>
    <w:rsid w:val="00CA1633"/>
    <w:rsid w:val="00CA1C2B"/>
    <w:rsid w:val="00CA2137"/>
    <w:rsid w:val="00CA2202"/>
    <w:rsid w:val="00CA2483"/>
    <w:rsid w:val="00CA2693"/>
    <w:rsid w:val="00CA2EF5"/>
    <w:rsid w:val="00CA31EB"/>
    <w:rsid w:val="00CA3A47"/>
    <w:rsid w:val="00CA3E8A"/>
    <w:rsid w:val="00CA3EC5"/>
    <w:rsid w:val="00CA4517"/>
    <w:rsid w:val="00CA515D"/>
    <w:rsid w:val="00CA5744"/>
    <w:rsid w:val="00CA58B3"/>
    <w:rsid w:val="00CA6487"/>
    <w:rsid w:val="00CA70B2"/>
    <w:rsid w:val="00CA7237"/>
    <w:rsid w:val="00CA7719"/>
    <w:rsid w:val="00CB177B"/>
    <w:rsid w:val="00CB1FF0"/>
    <w:rsid w:val="00CB2553"/>
    <w:rsid w:val="00CB31A3"/>
    <w:rsid w:val="00CB3462"/>
    <w:rsid w:val="00CB4C65"/>
    <w:rsid w:val="00CB59F3"/>
    <w:rsid w:val="00CB5B27"/>
    <w:rsid w:val="00CB5FC4"/>
    <w:rsid w:val="00CB6426"/>
    <w:rsid w:val="00CB6D37"/>
    <w:rsid w:val="00CB78D8"/>
    <w:rsid w:val="00CC0CA4"/>
    <w:rsid w:val="00CC1275"/>
    <w:rsid w:val="00CC1B1A"/>
    <w:rsid w:val="00CC3345"/>
    <w:rsid w:val="00CC33CF"/>
    <w:rsid w:val="00CC3434"/>
    <w:rsid w:val="00CC351D"/>
    <w:rsid w:val="00CC3E27"/>
    <w:rsid w:val="00CC3E5C"/>
    <w:rsid w:val="00CC47E4"/>
    <w:rsid w:val="00CC50CF"/>
    <w:rsid w:val="00CC539A"/>
    <w:rsid w:val="00CC55FD"/>
    <w:rsid w:val="00CC6093"/>
    <w:rsid w:val="00CC62ED"/>
    <w:rsid w:val="00CC64D5"/>
    <w:rsid w:val="00CC68DD"/>
    <w:rsid w:val="00CC6B31"/>
    <w:rsid w:val="00CC6F90"/>
    <w:rsid w:val="00CC7174"/>
    <w:rsid w:val="00CC71FA"/>
    <w:rsid w:val="00CC7232"/>
    <w:rsid w:val="00CC765B"/>
    <w:rsid w:val="00CD01FE"/>
    <w:rsid w:val="00CD0FCF"/>
    <w:rsid w:val="00CD10A6"/>
    <w:rsid w:val="00CD1628"/>
    <w:rsid w:val="00CD16A8"/>
    <w:rsid w:val="00CD187E"/>
    <w:rsid w:val="00CD3FC4"/>
    <w:rsid w:val="00CD6AD2"/>
    <w:rsid w:val="00CD6C77"/>
    <w:rsid w:val="00CD7390"/>
    <w:rsid w:val="00CD7DEE"/>
    <w:rsid w:val="00CE02D5"/>
    <w:rsid w:val="00CE0874"/>
    <w:rsid w:val="00CE14BA"/>
    <w:rsid w:val="00CE25EA"/>
    <w:rsid w:val="00CE43EE"/>
    <w:rsid w:val="00CE488B"/>
    <w:rsid w:val="00CE506D"/>
    <w:rsid w:val="00CE6024"/>
    <w:rsid w:val="00CE76A2"/>
    <w:rsid w:val="00CE7E0C"/>
    <w:rsid w:val="00CF0564"/>
    <w:rsid w:val="00CF0DBC"/>
    <w:rsid w:val="00CF1038"/>
    <w:rsid w:val="00CF2527"/>
    <w:rsid w:val="00CF3769"/>
    <w:rsid w:val="00CF42DB"/>
    <w:rsid w:val="00CF4650"/>
    <w:rsid w:val="00CF5C54"/>
    <w:rsid w:val="00CF5CBD"/>
    <w:rsid w:val="00D000AE"/>
    <w:rsid w:val="00D00469"/>
    <w:rsid w:val="00D01444"/>
    <w:rsid w:val="00D0175C"/>
    <w:rsid w:val="00D02CF6"/>
    <w:rsid w:val="00D02E5B"/>
    <w:rsid w:val="00D03356"/>
    <w:rsid w:val="00D03A52"/>
    <w:rsid w:val="00D0467B"/>
    <w:rsid w:val="00D0493C"/>
    <w:rsid w:val="00D04AEA"/>
    <w:rsid w:val="00D04DAB"/>
    <w:rsid w:val="00D050BD"/>
    <w:rsid w:val="00D06940"/>
    <w:rsid w:val="00D06961"/>
    <w:rsid w:val="00D10501"/>
    <w:rsid w:val="00D10922"/>
    <w:rsid w:val="00D110B8"/>
    <w:rsid w:val="00D13562"/>
    <w:rsid w:val="00D137F7"/>
    <w:rsid w:val="00D1389A"/>
    <w:rsid w:val="00D13C0C"/>
    <w:rsid w:val="00D13F65"/>
    <w:rsid w:val="00D145F8"/>
    <w:rsid w:val="00D14896"/>
    <w:rsid w:val="00D14B6D"/>
    <w:rsid w:val="00D15145"/>
    <w:rsid w:val="00D15208"/>
    <w:rsid w:val="00D1605C"/>
    <w:rsid w:val="00D165EC"/>
    <w:rsid w:val="00D16E34"/>
    <w:rsid w:val="00D17140"/>
    <w:rsid w:val="00D171F1"/>
    <w:rsid w:val="00D201A6"/>
    <w:rsid w:val="00D20348"/>
    <w:rsid w:val="00D20F95"/>
    <w:rsid w:val="00D2111A"/>
    <w:rsid w:val="00D217EE"/>
    <w:rsid w:val="00D21A9A"/>
    <w:rsid w:val="00D21C2A"/>
    <w:rsid w:val="00D22170"/>
    <w:rsid w:val="00D22988"/>
    <w:rsid w:val="00D22AF8"/>
    <w:rsid w:val="00D2330C"/>
    <w:rsid w:val="00D23616"/>
    <w:rsid w:val="00D24EE8"/>
    <w:rsid w:val="00D2560B"/>
    <w:rsid w:val="00D25D91"/>
    <w:rsid w:val="00D2640C"/>
    <w:rsid w:val="00D268C9"/>
    <w:rsid w:val="00D27699"/>
    <w:rsid w:val="00D279CA"/>
    <w:rsid w:val="00D27AAF"/>
    <w:rsid w:val="00D3060E"/>
    <w:rsid w:val="00D30A34"/>
    <w:rsid w:val="00D30B5C"/>
    <w:rsid w:val="00D30F48"/>
    <w:rsid w:val="00D311DB"/>
    <w:rsid w:val="00D3137B"/>
    <w:rsid w:val="00D316E8"/>
    <w:rsid w:val="00D31D52"/>
    <w:rsid w:val="00D32B3E"/>
    <w:rsid w:val="00D34264"/>
    <w:rsid w:val="00D344BB"/>
    <w:rsid w:val="00D3459E"/>
    <w:rsid w:val="00D35245"/>
    <w:rsid w:val="00D3539B"/>
    <w:rsid w:val="00D357A7"/>
    <w:rsid w:val="00D37407"/>
    <w:rsid w:val="00D37763"/>
    <w:rsid w:val="00D4054A"/>
    <w:rsid w:val="00D4104A"/>
    <w:rsid w:val="00D41357"/>
    <w:rsid w:val="00D41A89"/>
    <w:rsid w:val="00D41B4C"/>
    <w:rsid w:val="00D42CCB"/>
    <w:rsid w:val="00D43395"/>
    <w:rsid w:val="00D43808"/>
    <w:rsid w:val="00D43AED"/>
    <w:rsid w:val="00D44999"/>
    <w:rsid w:val="00D45DEC"/>
    <w:rsid w:val="00D46390"/>
    <w:rsid w:val="00D4755F"/>
    <w:rsid w:val="00D47E48"/>
    <w:rsid w:val="00D50033"/>
    <w:rsid w:val="00D502B9"/>
    <w:rsid w:val="00D507B5"/>
    <w:rsid w:val="00D50D70"/>
    <w:rsid w:val="00D51148"/>
    <w:rsid w:val="00D519E8"/>
    <w:rsid w:val="00D51F48"/>
    <w:rsid w:val="00D522C0"/>
    <w:rsid w:val="00D529C2"/>
    <w:rsid w:val="00D52A73"/>
    <w:rsid w:val="00D52BC3"/>
    <w:rsid w:val="00D52C34"/>
    <w:rsid w:val="00D52DA4"/>
    <w:rsid w:val="00D532BA"/>
    <w:rsid w:val="00D53432"/>
    <w:rsid w:val="00D549AC"/>
    <w:rsid w:val="00D553EC"/>
    <w:rsid w:val="00D55EC2"/>
    <w:rsid w:val="00D56EA5"/>
    <w:rsid w:val="00D579FD"/>
    <w:rsid w:val="00D57EAA"/>
    <w:rsid w:val="00D57F65"/>
    <w:rsid w:val="00D60F9B"/>
    <w:rsid w:val="00D6156E"/>
    <w:rsid w:val="00D624FE"/>
    <w:rsid w:val="00D626A6"/>
    <w:rsid w:val="00D6282D"/>
    <w:rsid w:val="00D64574"/>
    <w:rsid w:val="00D65285"/>
    <w:rsid w:val="00D661D7"/>
    <w:rsid w:val="00D66798"/>
    <w:rsid w:val="00D66D85"/>
    <w:rsid w:val="00D7044A"/>
    <w:rsid w:val="00D707DE"/>
    <w:rsid w:val="00D710EE"/>
    <w:rsid w:val="00D712E5"/>
    <w:rsid w:val="00D71BF8"/>
    <w:rsid w:val="00D71E7A"/>
    <w:rsid w:val="00D72798"/>
    <w:rsid w:val="00D734F3"/>
    <w:rsid w:val="00D73AB9"/>
    <w:rsid w:val="00D73C31"/>
    <w:rsid w:val="00D750B2"/>
    <w:rsid w:val="00D75868"/>
    <w:rsid w:val="00D75B8B"/>
    <w:rsid w:val="00D76004"/>
    <w:rsid w:val="00D76FB1"/>
    <w:rsid w:val="00D772D5"/>
    <w:rsid w:val="00D779D0"/>
    <w:rsid w:val="00D8028C"/>
    <w:rsid w:val="00D810BF"/>
    <w:rsid w:val="00D812FC"/>
    <w:rsid w:val="00D81CD8"/>
    <w:rsid w:val="00D81EC5"/>
    <w:rsid w:val="00D82BF0"/>
    <w:rsid w:val="00D82BFD"/>
    <w:rsid w:val="00D8398B"/>
    <w:rsid w:val="00D83B57"/>
    <w:rsid w:val="00D846B0"/>
    <w:rsid w:val="00D84AF6"/>
    <w:rsid w:val="00D84B10"/>
    <w:rsid w:val="00D84B99"/>
    <w:rsid w:val="00D84E42"/>
    <w:rsid w:val="00D85193"/>
    <w:rsid w:val="00D85239"/>
    <w:rsid w:val="00D864CB"/>
    <w:rsid w:val="00D8693D"/>
    <w:rsid w:val="00D904FD"/>
    <w:rsid w:val="00D90FB8"/>
    <w:rsid w:val="00D912B6"/>
    <w:rsid w:val="00D91A1D"/>
    <w:rsid w:val="00D9253D"/>
    <w:rsid w:val="00D9330C"/>
    <w:rsid w:val="00D93E78"/>
    <w:rsid w:val="00D94137"/>
    <w:rsid w:val="00D941D8"/>
    <w:rsid w:val="00D94515"/>
    <w:rsid w:val="00D94699"/>
    <w:rsid w:val="00D9518B"/>
    <w:rsid w:val="00D95750"/>
    <w:rsid w:val="00D957EA"/>
    <w:rsid w:val="00D97241"/>
    <w:rsid w:val="00D97A45"/>
    <w:rsid w:val="00D97C23"/>
    <w:rsid w:val="00DA01D1"/>
    <w:rsid w:val="00DA0487"/>
    <w:rsid w:val="00DA05C8"/>
    <w:rsid w:val="00DA0D47"/>
    <w:rsid w:val="00DA2961"/>
    <w:rsid w:val="00DA2BA6"/>
    <w:rsid w:val="00DA2E89"/>
    <w:rsid w:val="00DA4F8C"/>
    <w:rsid w:val="00DA53B6"/>
    <w:rsid w:val="00DA5754"/>
    <w:rsid w:val="00DA5B32"/>
    <w:rsid w:val="00DA7460"/>
    <w:rsid w:val="00DA746A"/>
    <w:rsid w:val="00DB0362"/>
    <w:rsid w:val="00DB0C67"/>
    <w:rsid w:val="00DB1464"/>
    <w:rsid w:val="00DB1EF9"/>
    <w:rsid w:val="00DB2257"/>
    <w:rsid w:val="00DB257E"/>
    <w:rsid w:val="00DB2C3D"/>
    <w:rsid w:val="00DB3ECF"/>
    <w:rsid w:val="00DB4437"/>
    <w:rsid w:val="00DB47DD"/>
    <w:rsid w:val="00DB4C4E"/>
    <w:rsid w:val="00DB4E48"/>
    <w:rsid w:val="00DB57E5"/>
    <w:rsid w:val="00DB5D8D"/>
    <w:rsid w:val="00DB6971"/>
    <w:rsid w:val="00DB7176"/>
    <w:rsid w:val="00DB73B9"/>
    <w:rsid w:val="00DC0847"/>
    <w:rsid w:val="00DC0B18"/>
    <w:rsid w:val="00DC15B7"/>
    <w:rsid w:val="00DC1E9B"/>
    <w:rsid w:val="00DC2F22"/>
    <w:rsid w:val="00DC4575"/>
    <w:rsid w:val="00DC4DFA"/>
    <w:rsid w:val="00DC63BB"/>
    <w:rsid w:val="00DC73B1"/>
    <w:rsid w:val="00DD0C3C"/>
    <w:rsid w:val="00DD17E9"/>
    <w:rsid w:val="00DD24B1"/>
    <w:rsid w:val="00DD2613"/>
    <w:rsid w:val="00DD2792"/>
    <w:rsid w:val="00DD2B19"/>
    <w:rsid w:val="00DD2D5F"/>
    <w:rsid w:val="00DD3925"/>
    <w:rsid w:val="00DD3CE7"/>
    <w:rsid w:val="00DD4F17"/>
    <w:rsid w:val="00DD5021"/>
    <w:rsid w:val="00DD5237"/>
    <w:rsid w:val="00DD5494"/>
    <w:rsid w:val="00DD616E"/>
    <w:rsid w:val="00DD63ED"/>
    <w:rsid w:val="00DD676B"/>
    <w:rsid w:val="00DD7C51"/>
    <w:rsid w:val="00DD7CDD"/>
    <w:rsid w:val="00DE0972"/>
    <w:rsid w:val="00DE161C"/>
    <w:rsid w:val="00DE17CB"/>
    <w:rsid w:val="00DE1A03"/>
    <w:rsid w:val="00DE28EC"/>
    <w:rsid w:val="00DE376A"/>
    <w:rsid w:val="00DE37EF"/>
    <w:rsid w:val="00DE419F"/>
    <w:rsid w:val="00DE4784"/>
    <w:rsid w:val="00DE48D9"/>
    <w:rsid w:val="00DE4C91"/>
    <w:rsid w:val="00DE4F87"/>
    <w:rsid w:val="00DE5024"/>
    <w:rsid w:val="00DE50F9"/>
    <w:rsid w:val="00DE526A"/>
    <w:rsid w:val="00DE55BB"/>
    <w:rsid w:val="00DE5D9F"/>
    <w:rsid w:val="00DE5DEB"/>
    <w:rsid w:val="00DE5E73"/>
    <w:rsid w:val="00DE6157"/>
    <w:rsid w:val="00DE6341"/>
    <w:rsid w:val="00DE7504"/>
    <w:rsid w:val="00DE7536"/>
    <w:rsid w:val="00DE755B"/>
    <w:rsid w:val="00DF179D"/>
    <w:rsid w:val="00DF17C1"/>
    <w:rsid w:val="00DF3173"/>
    <w:rsid w:val="00DF332D"/>
    <w:rsid w:val="00DF3B49"/>
    <w:rsid w:val="00DF4BD0"/>
    <w:rsid w:val="00DF4E11"/>
    <w:rsid w:val="00DF71BE"/>
    <w:rsid w:val="00DF7E92"/>
    <w:rsid w:val="00E0076E"/>
    <w:rsid w:val="00E016D0"/>
    <w:rsid w:val="00E018FD"/>
    <w:rsid w:val="00E01DD1"/>
    <w:rsid w:val="00E0210F"/>
    <w:rsid w:val="00E022EA"/>
    <w:rsid w:val="00E02879"/>
    <w:rsid w:val="00E02A3B"/>
    <w:rsid w:val="00E0389F"/>
    <w:rsid w:val="00E051BF"/>
    <w:rsid w:val="00E0539C"/>
    <w:rsid w:val="00E05549"/>
    <w:rsid w:val="00E05BD6"/>
    <w:rsid w:val="00E062BD"/>
    <w:rsid w:val="00E06502"/>
    <w:rsid w:val="00E067E5"/>
    <w:rsid w:val="00E071C0"/>
    <w:rsid w:val="00E07512"/>
    <w:rsid w:val="00E10293"/>
    <w:rsid w:val="00E102C9"/>
    <w:rsid w:val="00E11A6A"/>
    <w:rsid w:val="00E11B9A"/>
    <w:rsid w:val="00E11F2E"/>
    <w:rsid w:val="00E1224C"/>
    <w:rsid w:val="00E1264E"/>
    <w:rsid w:val="00E1280E"/>
    <w:rsid w:val="00E13979"/>
    <w:rsid w:val="00E139C4"/>
    <w:rsid w:val="00E147C2"/>
    <w:rsid w:val="00E149E5"/>
    <w:rsid w:val="00E14F25"/>
    <w:rsid w:val="00E151A8"/>
    <w:rsid w:val="00E15935"/>
    <w:rsid w:val="00E16570"/>
    <w:rsid w:val="00E165E8"/>
    <w:rsid w:val="00E17744"/>
    <w:rsid w:val="00E17E9E"/>
    <w:rsid w:val="00E200EB"/>
    <w:rsid w:val="00E2023A"/>
    <w:rsid w:val="00E20F86"/>
    <w:rsid w:val="00E21A3E"/>
    <w:rsid w:val="00E21BE2"/>
    <w:rsid w:val="00E22BA8"/>
    <w:rsid w:val="00E2324A"/>
    <w:rsid w:val="00E23AA8"/>
    <w:rsid w:val="00E23CE5"/>
    <w:rsid w:val="00E24B6D"/>
    <w:rsid w:val="00E24D36"/>
    <w:rsid w:val="00E24F39"/>
    <w:rsid w:val="00E25ECE"/>
    <w:rsid w:val="00E264A9"/>
    <w:rsid w:val="00E26D95"/>
    <w:rsid w:val="00E277D3"/>
    <w:rsid w:val="00E277FE"/>
    <w:rsid w:val="00E3024E"/>
    <w:rsid w:val="00E309BF"/>
    <w:rsid w:val="00E31C8F"/>
    <w:rsid w:val="00E3250E"/>
    <w:rsid w:val="00E32595"/>
    <w:rsid w:val="00E3293E"/>
    <w:rsid w:val="00E32AC1"/>
    <w:rsid w:val="00E344E9"/>
    <w:rsid w:val="00E34634"/>
    <w:rsid w:val="00E34711"/>
    <w:rsid w:val="00E34CFC"/>
    <w:rsid w:val="00E35605"/>
    <w:rsid w:val="00E35A90"/>
    <w:rsid w:val="00E36042"/>
    <w:rsid w:val="00E36631"/>
    <w:rsid w:val="00E36A7E"/>
    <w:rsid w:val="00E36B7B"/>
    <w:rsid w:val="00E37AF5"/>
    <w:rsid w:val="00E40182"/>
    <w:rsid w:val="00E40338"/>
    <w:rsid w:val="00E4055E"/>
    <w:rsid w:val="00E43D3D"/>
    <w:rsid w:val="00E43E5C"/>
    <w:rsid w:val="00E44229"/>
    <w:rsid w:val="00E44CE6"/>
    <w:rsid w:val="00E44F1E"/>
    <w:rsid w:val="00E4529C"/>
    <w:rsid w:val="00E459F4"/>
    <w:rsid w:val="00E46F0B"/>
    <w:rsid w:val="00E46F26"/>
    <w:rsid w:val="00E46F6A"/>
    <w:rsid w:val="00E46FA5"/>
    <w:rsid w:val="00E4751E"/>
    <w:rsid w:val="00E47A55"/>
    <w:rsid w:val="00E47A5F"/>
    <w:rsid w:val="00E47F38"/>
    <w:rsid w:val="00E500B4"/>
    <w:rsid w:val="00E50732"/>
    <w:rsid w:val="00E50912"/>
    <w:rsid w:val="00E509D4"/>
    <w:rsid w:val="00E50D3A"/>
    <w:rsid w:val="00E50F11"/>
    <w:rsid w:val="00E50FDE"/>
    <w:rsid w:val="00E52567"/>
    <w:rsid w:val="00E529CD"/>
    <w:rsid w:val="00E52F61"/>
    <w:rsid w:val="00E53312"/>
    <w:rsid w:val="00E54C4C"/>
    <w:rsid w:val="00E54C62"/>
    <w:rsid w:val="00E55190"/>
    <w:rsid w:val="00E552C9"/>
    <w:rsid w:val="00E561CC"/>
    <w:rsid w:val="00E56FFB"/>
    <w:rsid w:val="00E572BE"/>
    <w:rsid w:val="00E573DC"/>
    <w:rsid w:val="00E575E7"/>
    <w:rsid w:val="00E57F78"/>
    <w:rsid w:val="00E60546"/>
    <w:rsid w:val="00E608A4"/>
    <w:rsid w:val="00E623A6"/>
    <w:rsid w:val="00E62FDB"/>
    <w:rsid w:val="00E6323C"/>
    <w:rsid w:val="00E635B4"/>
    <w:rsid w:val="00E63640"/>
    <w:rsid w:val="00E64D09"/>
    <w:rsid w:val="00E651A5"/>
    <w:rsid w:val="00E66471"/>
    <w:rsid w:val="00E674A1"/>
    <w:rsid w:val="00E676AD"/>
    <w:rsid w:val="00E67D98"/>
    <w:rsid w:val="00E67EC5"/>
    <w:rsid w:val="00E67FC8"/>
    <w:rsid w:val="00E70D3D"/>
    <w:rsid w:val="00E70F4F"/>
    <w:rsid w:val="00E70F8C"/>
    <w:rsid w:val="00E73592"/>
    <w:rsid w:val="00E73AC2"/>
    <w:rsid w:val="00E73AFE"/>
    <w:rsid w:val="00E748FA"/>
    <w:rsid w:val="00E74F06"/>
    <w:rsid w:val="00E75DB5"/>
    <w:rsid w:val="00E76963"/>
    <w:rsid w:val="00E7710C"/>
    <w:rsid w:val="00E77894"/>
    <w:rsid w:val="00E77AEF"/>
    <w:rsid w:val="00E810D5"/>
    <w:rsid w:val="00E81DCE"/>
    <w:rsid w:val="00E824B5"/>
    <w:rsid w:val="00E82518"/>
    <w:rsid w:val="00E82A39"/>
    <w:rsid w:val="00E835B6"/>
    <w:rsid w:val="00E83B0C"/>
    <w:rsid w:val="00E83D61"/>
    <w:rsid w:val="00E83FCB"/>
    <w:rsid w:val="00E8423D"/>
    <w:rsid w:val="00E8507E"/>
    <w:rsid w:val="00E864E1"/>
    <w:rsid w:val="00E86821"/>
    <w:rsid w:val="00E86F2C"/>
    <w:rsid w:val="00E86FCB"/>
    <w:rsid w:val="00E870C3"/>
    <w:rsid w:val="00E907BC"/>
    <w:rsid w:val="00E90A1B"/>
    <w:rsid w:val="00E90E89"/>
    <w:rsid w:val="00E92651"/>
    <w:rsid w:val="00E93096"/>
    <w:rsid w:val="00E93419"/>
    <w:rsid w:val="00E93ADF"/>
    <w:rsid w:val="00E93E91"/>
    <w:rsid w:val="00E9402F"/>
    <w:rsid w:val="00E94045"/>
    <w:rsid w:val="00E944A9"/>
    <w:rsid w:val="00E94B8F"/>
    <w:rsid w:val="00E951F9"/>
    <w:rsid w:val="00E9530B"/>
    <w:rsid w:val="00E95591"/>
    <w:rsid w:val="00E95CF1"/>
    <w:rsid w:val="00E95DDD"/>
    <w:rsid w:val="00E963B1"/>
    <w:rsid w:val="00E96C84"/>
    <w:rsid w:val="00E96E08"/>
    <w:rsid w:val="00EA08DC"/>
    <w:rsid w:val="00EA0914"/>
    <w:rsid w:val="00EA0DE0"/>
    <w:rsid w:val="00EA1325"/>
    <w:rsid w:val="00EA20C9"/>
    <w:rsid w:val="00EA2233"/>
    <w:rsid w:val="00EA24B8"/>
    <w:rsid w:val="00EA2B5F"/>
    <w:rsid w:val="00EA2DF4"/>
    <w:rsid w:val="00EA3557"/>
    <w:rsid w:val="00EA3767"/>
    <w:rsid w:val="00EA3B70"/>
    <w:rsid w:val="00EA4785"/>
    <w:rsid w:val="00EA4C2E"/>
    <w:rsid w:val="00EA56C6"/>
    <w:rsid w:val="00EA581D"/>
    <w:rsid w:val="00EA5987"/>
    <w:rsid w:val="00EA5B42"/>
    <w:rsid w:val="00EA5CE8"/>
    <w:rsid w:val="00EA6201"/>
    <w:rsid w:val="00EA6291"/>
    <w:rsid w:val="00EA646E"/>
    <w:rsid w:val="00EA668A"/>
    <w:rsid w:val="00EA6EC3"/>
    <w:rsid w:val="00EA7183"/>
    <w:rsid w:val="00EB04CE"/>
    <w:rsid w:val="00EB05A5"/>
    <w:rsid w:val="00EB09CE"/>
    <w:rsid w:val="00EB0F85"/>
    <w:rsid w:val="00EB164B"/>
    <w:rsid w:val="00EB1C68"/>
    <w:rsid w:val="00EB2C22"/>
    <w:rsid w:val="00EB3289"/>
    <w:rsid w:val="00EB3517"/>
    <w:rsid w:val="00EB3915"/>
    <w:rsid w:val="00EB3F6A"/>
    <w:rsid w:val="00EB5B7F"/>
    <w:rsid w:val="00EB6439"/>
    <w:rsid w:val="00EB6E31"/>
    <w:rsid w:val="00EB6EC4"/>
    <w:rsid w:val="00EB74D0"/>
    <w:rsid w:val="00EB779E"/>
    <w:rsid w:val="00EB77E2"/>
    <w:rsid w:val="00EC0219"/>
    <w:rsid w:val="00EC0BF4"/>
    <w:rsid w:val="00EC1C11"/>
    <w:rsid w:val="00EC24A1"/>
    <w:rsid w:val="00EC360A"/>
    <w:rsid w:val="00EC425C"/>
    <w:rsid w:val="00EC492E"/>
    <w:rsid w:val="00EC5311"/>
    <w:rsid w:val="00EC5F5B"/>
    <w:rsid w:val="00EC6236"/>
    <w:rsid w:val="00EC6B20"/>
    <w:rsid w:val="00EC6B91"/>
    <w:rsid w:val="00EC6F73"/>
    <w:rsid w:val="00EC6FBA"/>
    <w:rsid w:val="00ED0190"/>
    <w:rsid w:val="00ED043D"/>
    <w:rsid w:val="00ED0957"/>
    <w:rsid w:val="00ED134B"/>
    <w:rsid w:val="00ED17C6"/>
    <w:rsid w:val="00ED1A87"/>
    <w:rsid w:val="00ED1D6C"/>
    <w:rsid w:val="00ED20A5"/>
    <w:rsid w:val="00ED30A0"/>
    <w:rsid w:val="00ED32D1"/>
    <w:rsid w:val="00ED3AFC"/>
    <w:rsid w:val="00ED3CBB"/>
    <w:rsid w:val="00ED3EB4"/>
    <w:rsid w:val="00ED5638"/>
    <w:rsid w:val="00ED592C"/>
    <w:rsid w:val="00ED5980"/>
    <w:rsid w:val="00ED6172"/>
    <w:rsid w:val="00ED6751"/>
    <w:rsid w:val="00ED6B3B"/>
    <w:rsid w:val="00ED6EA5"/>
    <w:rsid w:val="00ED6F26"/>
    <w:rsid w:val="00ED6F81"/>
    <w:rsid w:val="00EE0585"/>
    <w:rsid w:val="00EE0643"/>
    <w:rsid w:val="00EE1B95"/>
    <w:rsid w:val="00EE2047"/>
    <w:rsid w:val="00EE2524"/>
    <w:rsid w:val="00EE412C"/>
    <w:rsid w:val="00EE442A"/>
    <w:rsid w:val="00EE46D7"/>
    <w:rsid w:val="00EE476F"/>
    <w:rsid w:val="00EE512A"/>
    <w:rsid w:val="00EE5D37"/>
    <w:rsid w:val="00EE6CBB"/>
    <w:rsid w:val="00EE6E3C"/>
    <w:rsid w:val="00EE7BAD"/>
    <w:rsid w:val="00EE7E20"/>
    <w:rsid w:val="00EF06D8"/>
    <w:rsid w:val="00EF0B70"/>
    <w:rsid w:val="00EF1FCD"/>
    <w:rsid w:val="00EF293B"/>
    <w:rsid w:val="00EF2B8B"/>
    <w:rsid w:val="00EF3320"/>
    <w:rsid w:val="00EF3748"/>
    <w:rsid w:val="00EF397C"/>
    <w:rsid w:val="00EF4090"/>
    <w:rsid w:val="00EF43A1"/>
    <w:rsid w:val="00EF49FA"/>
    <w:rsid w:val="00EF5111"/>
    <w:rsid w:val="00EF54F1"/>
    <w:rsid w:val="00EF5851"/>
    <w:rsid w:val="00EF6F54"/>
    <w:rsid w:val="00EF707F"/>
    <w:rsid w:val="00EF75F9"/>
    <w:rsid w:val="00F00600"/>
    <w:rsid w:val="00F00D2A"/>
    <w:rsid w:val="00F00DEE"/>
    <w:rsid w:val="00F01FD5"/>
    <w:rsid w:val="00F0310E"/>
    <w:rsid w:val="00F039DC"/>
    <w:rsid w:val="00F03F84"/>
    <w:rsid w:val="00F045FB"/>
    <w:rsid w:val="00F046A8"/>
    <w:rsid w:val="00F04D07"/>
    <w:rsid w:val="00F05D33"/>
    <w:rsid w:val="00F06050"/>
    <w:rsid w:val="00F063C2"/>
    <w:rsid w:val="00F071EE"/>
    <w:rsid w:val="00F07433"/>
    <w:rsid w:val="00F105C0"/>
    <w:rsid w:val="00F1066B"/>
    <w:rsid w:val="00F10DB8"/>
    <w:rsid w:val="00F1111B"/>
    <w:rsid w:val="00F119D5"/>
    <w:rsid w:val="00F11E5F"/>
    <w:rsid w:val="00F11FB1"/>
    <w:rsid w:val="00F120FB"/>
    <w:rsid w:val="00F12C08"/>
    <w:rsid w:val="00F13A27"/>
    <w:rsid w:val="00F13A36"/>
    <w:rsid w:val="00F14948"/>
    <w:rsid w:val="00F1625B"/>
    <w:rsid w:val="00F165BB"/>
    <w:rsid w:val="00F20298"/>
    <w:rsid w:val="00F20800"/>
    <w:rsid w:val="00F20D42"/>
    <w:rsid w:val="00F215F1"/>
    <w:rsid w:val="00F21DA8"/>
    <w:rsid w:val="00F21F1A"/>
    <w:rsid w:val="00F22275"/>
    <w:rsid w:val="00F222EA"/>
    <w:rsid w:val="00F22971"/>
    <w:rsid w:val="00F237F4"/>
    <w:rsid w:val="00F24320"/>
    <w:rsid w:val="00F24406"/>
    <w:rsid w:val="00F24489"/>
    <w:rsid w:val="00F24548"/>
    <w:rsid w:val="00F24B89"/>
    <w:rsid w:val="00F24DC4"/>
    <w:rsid w:val="00F25CDA"/>
    <w:rsid w:val="00F275BA"/>
    <w:rsid w:val="00F27651"/>
    <w:rsid w:val="00F27DC7"/>
    <w:rsid w:val="00F30C28"/>
    <w:rsid w:val="00F31508"/>
    <w:rsid w:val="00F3179B"/>
    <w:rsid w:val="00F31ED9"/>
    <w:rsid w:val="00F32DE5"/>
    <w:rsid w:val="00F32E0B"/>
    <w:rsid w:val="00F33CF5"/>
    <w:rsid w:val="00F33F37"/>
    <w:rsid w:val="00F34DF0"/>
    <w:rsid w:val="00F34F32"/>
    <w:rsid w:val="00F3597E"/>
    <w:rsid w:val="00F365CF"/>
    <w:rsid w:val="00F37826"/>
    <w:rsid w:val="00F4030C"/>
    <w:rsid w:val="00F408DA"/>
    <w:rsid w:val="00F40FED"/>
    <w:rsid w:val="00F41044"/>
    <w:rsid w:val="00F41108"/>
    <w:rsid w:val="00F41761"/>
    <w:rsid w:val="00F41885"/>
    <w:rsid w:val="00F41D57"/>
    <w:rsid w:val="00F41E3D"/>
    <w:rsid w:val="00F4215F"/>
    <w:rsid w:val="00F4221C"/>
    <w:rsid w:val="00F425F3"/>
    <w:rsid w:val="00F43801"/>
    <w:rsid w:val="00F43B56"/>
    <w:rsid w:val="00F43CEB"/>
    <w:rsid w:val="00F45F15"/>
    <w:rsid w:val="00F45FE3"/>
    <w:rsid w:val="00F467D7"/>
    <w:rsid w:val="00F46854"/>
    <w:rsid w:val="00F47003"/>
    <w:rsid w:val="00F47319"/>
    <w:rsid w:val="00F47641"/>
    <w:rsid w:val="00F47949"/>
    <w:rsid w:val="00F47973"/>
    <w:rsid w:val="00F50220"/>
    <w:rsid w:val="00F5079D"/>
    <w:rsid w:val="00F510A1"/>
    <w:rsid w:val="00F51BDD"/>
    <w:rsid w:val="00F51C52"/>
    <w:rsid w:val="00F524A3"/>
    <w:rsid w:val="00F527E8"/>
    <w:rsid w:val="00F52997"/>
    <w:rsid w:val="00F54737"/>
    <w:rsid w:val="00F54943"/>
    <w:rsid w:val="00F5494D"/>
    <w:rsid w:val="00F553D2"/>
    <w:rsid w:val="00F55C3B"/>
    <w:rsid w:val="00F561E0"/>
    <w:rsid w:val="00F576A9"/>
    <w:rsid w:val="00F57CB1"/>
    <w:rsid w:val="00F6075F"/>
    <w:rsid w:val="00F613B7"/>
    <w:rsid w:val="00F619AE"/>
    <w:rsid w:val="00F61EA8"/>
    <w:rsid w:val="00F61EEF"/>
    <w:rsid w:val="00F62AFD"/>
    <w:rsid w:val="00F62CC7"/>
    <w:rsid w:val="00F62FDA"/>
    <w:rsid w:val="00F64D88"/>
    <w:rsid w:val="00F64F3C"/>
    <w:rsid w:val="00F64FC2"/>
    <w:rsid w:val="00F64FEB"/>
    <w:rsid w:val="00F65ABB"/>
    <w:rsid w:val="00F65C0F"/>
    <w:rsid w:val="00F65CD2"/>
    <w:rsid w:val="00F66552"/>
    <w:rsid w:val="00F66B1D"/>
    <w:rsid w:val="00F66B66"/>
    <w:rsid w:val="00F6742D"/>
    <w:rsid w:val="00F702B5"/>
    <w:rsid w:val="00F71084"/>
    <w:rsid w:val="00F7122B"/>
    <w:rsid w:val="00F713EA"/>
    <w:rsid w:val="00F71F68"/>
    <w:rsid w:val="00F7277B"/>
    <w:rsid w:val="00F730E9"/>
    <w:rsid w:val="00F751E2"/>
    <w:rsid w:val="00F76DA2"/>
    <w:rsid w:val="00F76E85"/>
    <w:rsid w:val="00F7765F"/>
    <w:rsid w:val="00F8051B"/>
    <w:rsid w:val="00F82446"/>
    <w:rsid w:val="00F82AC1"/>
    <w:rsid w:val="00F83E38"/>
    <w:rsid w:val="00F84034"/>
    <w:rsid w:val="00F8554D"/>
    <w:rsid w:val="00F85D4E"/>
    <w:rsid w:val="00F8600F"/>
    <w:rsid w:val="00F86DEA"/>
    <w:rsid w:val="00F8770D"/>
    <w:rsid w:val="00F906A7"/>
    <w:rsid w:val="00F909FC"/>
    <w:rsid w:val="00F910E7"/>
    <w:rsid w:val="00F91308"/>
    <w:rsid w:val="00F93879"/>
    <w:rsid w:val="00F9395C"/>
    <w:rsid w:val="00F93E18"/>
    <w:rsid w:val="00F94379"/>
    <w:rsid w:val="00F94C9E"/>
    <w:rsid w:val="00F9569C"/>
    <w:rsid w:val="00F95BAE"/>
    <w:rsid w:val="00F96A16"/>
    <w:rsid w:val="00F96EB3"/>
    <w:rsid w:val="00F97363"/>
    <w:rsid w:val="00F97E6A"/>
    <w:rsid w:val="00FA04F9"/>
    <w:rsid w:val="00FA0937"/>
    <w:rsid w:val="00FA10A3"/>
    <w:rsid w:val="00FA15BD"/>
    <w:rsid w:val="00FA1B13"/>
    <w:rsid w:val="00FA2B4F"/>
    <w:rsid w:val="00FA2E73"/>
    <w:rsid w:val="00FA2EB8"/>
    <w:rsid w:val="00FA41F6"/>
    <w:rsid w:val="00FA431D"/>
    <w:rsid w:val="00FA4883"/>
    <w:rsid w:val="00FA4A4B"/>
    <w:rsid w:val="00FA58B4"/>
    <w:rsid w:val="00FA60C6"/>
    <w:rsid w:val="00FA61A5"/>
    <w:rsid w:val="00FA6420"/>
    <w:rsid w:val="00FB042F"/>
    <w:rsid w:val="00FB0E52"/>
    <w:rsid w:val="00FB2B03"/>
    <w:rsid w:val="00FB2E8B"/>
    <w:rsid w:val="00FB3650"/>
    <w:rsid w:val="00FB3B96"/>
    <w:rsid w:val="00FB6455"/>
    <w:rsid w:val="00FB651D"/>
    <w:rsid w:val="00FB690F"/>
    <w:rsid w:val="00FB6920"/>
    <w:rsid w:val="00FB7746"/>
    <w:rsid w:val="00FC0224"/>
    <w:rsid w:val="00FC0292"/>
    <w:rsid w:val="00FC02D4"/>
    <w:rsid w:val="00FC0EC6"/>
    <w:rsid w:val="00FC141D"/>
    <w:rsid w:val="00FC1FE5"/>
    <w:rsid w:val="00FC3BE5"/>
    <w:rsid w:val="00FC3C63"/>
    <w:rsid w:val="00FC4475"/>
    <w:rsid w:val="00FC4700"/>
    <w:rsid w:val="00FC6332"/>
    <w:rsid w:val="00FC6F5A"/>
    <w:rsid w:val="00FD0106"/>
    <w:rsid w:val="00FD0797"/>
    <w:rsid w:val="00FD09F5"/>
    <w:rsid w:val="00FD0AE4"/>
    <w:rsid w:val="00FD169B"/>
    <w:rsid w:val="00FD2671"/>
    <w:rsid w:val="00FD2A10"/>
    <w:rsid w:val="00FD2CF4"/>
    <w:rsid w:val="00FD2D79"/>
    <w:rsid w:val="00FD3127"/>
    <w:rsid w:val="00FD3233"/>
    <w:rsid w:val="00FD3498"/>
    <w:rsid w:val="00FD3DDC"/>
    <w:rsid w:val="00FD4532"/>
    <w:rsid w:val="00FD4E03"/>
    <w:rsid w:val="00FD5081"/>
    <w:rsid w:val="00FD64FE"/>
    <w:rsid w:val="00FD6610"/>
    <w:rsid w:val="00FD661D"/>
    <w:rsid w:val="00FD72F7"/>
    <w:rsid w:val="00FE03F7"/>
    <w:rsid w:val="00FE044A"/>
    <w:rsid w:val="00FE09F4"/>
    <w:rsid w:val="00FE1309"/>
    <w:rsid w:val="00FE167D"/>
    <w:rsid w:val="00FE1CCB"/>
    <w:rsid w:val="00FE2ABD"/>
    <w:rsid w:val="00FE2BE6"/>
    <w:rsid w:val="00FE2CC3"/>
    <w:rsid w:val="00FE2EF2"/>
    <w:rsid w:val="00FE3E27"/>
    <w:rsid w:val="00FE4491"/>
    <w:rsid w:val="00FE4606"/>
    <w:rsid w:val="00FE56E5"/>
    <w:rsid w:val="00FE59F8"/>
    <w:rsid w:val="00FE62AE"/>
    <w:rsid w:val="00FE64C3"/>
    <w:rsid w:val="00FE6963"/>
    <w:rsid w:val="00FE7767"/>
    <w:rsid w:val="00FF0599"/>
    <w:rsid w:val="00FF2EC4"/>
    <w:rsid w:val="00FF31DA"/>
    <w:rsid w:val="00FF396A"/>
    <w:rsid w:val="00FF3F58"/>
    <w:rsid w:val="00FF4D63"/>
    <w:rsid w:val="00FF4E18"/>
    <w:rsid w:val="00FF5683"/>
    <w:rsid w:val="00FF64EF"/>
    <w:rsid w:val="00FF6620"/>
    <w:rsid w:val="00FF6A31"/>
    <w:rsid w:val="00FF7325"/>
    <w:rsid w:val="00FF7E5B"/>
    <w:rsid w:val="04275B9E"/>
    <w:rsid w:val="165A6749"/>
    <w:rsid w:val="27D7DF9A"/>
    <w:rsid w:val="404446FA"/>
    <w:rsid w:val="4111BBF7"/>
    <w:rsid w:val="5E1579F5"/>
    <w:rsid w:val="65DDF7AE"/>
    <w:rsid w:val="6818D32C"/>
    <w:rsid w:val="68D35CC4"/>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534F6"/>
  <w15:chartTrackingRefBased/>
  <w15:docId w15:val="{9FD4D32C-5C3E-4610-BD37-9FDDC8DB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4C"/>
    <w:rPr>
      <w:sz w:val="24"/>
      <w:szCs w:val="24"/>
      <w:lang w:eastAsia="en-US"/>
    </w:rPr>
  </w:style>
  <w:style w:type="paragraph" w:styleId="Heading3">
    <w:name w:val="heading 3"/>
    <w:basedOn w:val="Normal"/>
    <w:next w:val="Heading4"/>
    <w:link w:val="Heading3Char1"/>
    <w:qFormat/>
    <w:rsid w:val="00EC6236"/>
    <w:pPr>
      <w:spacing w:before="400"/>
      <w:outlineLvl w:val="2"/>
    </w:pPr>
    <w:rPr>
      <w:rFonts w:ascii="Arial" w:hAnsi="Arial" w:cs="Arial"/>
      <w:b/>
      <w:lang w:eastAsia="en-GB"/>
    </w:rPr>
  </w:style>
  <w:style w:type="paragraph" w:styleId="Heading4">
    <w:name w:val="heading 4"/>
    <w:basedOn w:val="Normal"/>
    <w:next w:val="Normal"/>
    <w:link w:val="Heading4Char"/>
    <w:uiPriority w:val="9"/>
    <w:semiHidden/>
    <w:unhideWhenUsed/>
    <w:qFormat/>
    <w:rsid w:val="00EC62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semiHidden/>
    <w:rsid w:val="00EC623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styleId="UnresolvedMention">
    <w:name w:val="Unresolved Mention"/>
    <w:uiPriority w:val="99"/>
    <w:unhideWhenUsed/>
    <w:rsid w:val="006833F2"/>
    <w:rPr>
      <w:color w:val="605E5C"/>
      <w:shd w:val="clear" w:color="auto" w:fill="E1DFDD"/>
    </w:rPr>
  </w:style>
  <w:style w:type="character"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 w:type="character" w:customStyle="1" w:styleId="normaltextrun">
    <w:name w:val="normaltextrun"/>
    <w:rsid w:val="0006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09715205">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09734244">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58367424">
      <w:bodyDiv w:val="1"/>
      <w:marLeft w:val="0"/>
      <w:marRight w:val="0"/>
      <w:marTop w:val="0"/>
      <w:marBottom w:val="0"/>
      <w:divBdr>
        <w:top w:val="none" w:sz="0" w:space="0" w:color="auto"/>
        <w:left w:val="none" w:sz="0" w:space="0" w:color="auto"/>
        <w:bottom w:val="none" w:sz="0" w:space="0" w:color="auto"/>
        <w:right w:val="none" w:sz="0" w:space="0" w:color="auto"/>
      </w:divBdr>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0703436">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2" ma:contentTypeDescription="Create a new document." ma:contentTypeScope="" ma:versionID="0f1cf783f86b2b8d826852a4fb922f62">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0a8193f427b909ed78099418055c3bf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8a591856-d661-425b-ad69-aaea4a49d22f">
      <UserInfo>
        <DisplayName>Lowe, Andrew</DisplayName>
        <AccountId>21</AccountId>
        <AccountType/>
      </UserInfo>
      <UserInfo>
        <DisplayName>Venables, Vicky</DisplayName>
        <AccountId>61</AccountId>
        <AccountType/>
      </UserInfo>
      <UserInfo>
        <DisplayName>O'Rourke, Daniel</DisplayName>
        <AccountId>279</AccountId>
        <AccountType/>
      </UserInfo>
      <UserInfo>
        <DisplayName>Boutflower, Andrew</DisplayName>
        <AccountId>16</AccountId>
        <AccountType/>
      </UserInfo>
    </SharedWithUsers>
    <i558c8457fe6424f9203d1d8a23062be xmlns="8a591856-d661-425b-ad69-aaea4a49d22f">
      <Terms xmlns="http://schemas.microsoft.com/office/infopath/2007/PartnerControls"/>
    </i558c8457fe6424f9203d1d8a23062be>
    <_dlc_DocId xmlns="8a591856-d661-425b-ad69-aaea4a49d22f">D26W3NZ7Q65C-1769354795-269</_dlc_DocId>
    <_dlc_DocIdUrl xmlns="8a591856-d661-425b-ad69-aaea4a49d22f">
      <Url>https://forcesserip.sharepoint.com/sites/teamhccocojwr-JAC/_layouts/15/DocIdRedir.aspx?ID=D26W3NZ7Q65C-1769354795-269</Url>
      <Description>D26W3NZ7Q65C-1769354795-269</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CA4ADE-376E-4D3F-AB53-51E41FBFB469}"/>
</file>

<file path=customXml/itemProps2.xml><?xml version="1.0" encoding="utf-8"?>
<ds:datastoreItem xmlns:ds="http://schemas.openxmlformats.org/officeDocument/2006/customXml" ds:itemID="{5070FC62-458E-446E-948D-E9CB5941E0FF}">
  <ds:schemaRefs>
    <ds:schemaRef ds:uri="http://schemas.openxmlformats.org/officeDocument/2006/bibliography"/>
  </ds:schemaRefs>
</ds:datastoreItem>
</file>

<file path=customXml/itemProps3.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4.xml><?xml version="1.0" encoding="utf-8"?>
<ds:datastoreItem xmlns:ds="http://schemas.openxmlformats.org/officeDocument/2006/customXml" ds:itemID="{AFF97CFB-AC44-45B2-A07A-FCF24D81B307}">
  <ds:schemaRefs>
    <ds:schemaRef ds:uri="http://schemas.microsoft.com/office/2006/metadata/longProperties"/>
  </ds:schemaRefs>
</ds:datastoreItem>
</file>

<file path=customXml/itemProps5.xml><?xml version="1.0" encoding="utf-8"?>
<ds:datastoreItem xmlns:ds="http://schemas.openxmlformats.org/officeDocument/2006/customXml" ds:itemID="{F443D0F6-0706-4320-BA4B-58DE38ACF5DD}">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http://purl.org/dc/dcmitype/"/>
    <ds:schemaRef ds:uri="http://schemas.microsoft.com/office/infopath/2007/PartnerControls"/>
    <ds:schemaRef ds:uri="31d5ae73-6880-414d-9d1f-db506a1d8d4f"/>
    <ds:schemaRef ds:uri="3984f645-d69f-47d2-aedd-e9f0d847f650"/>
    <ds:schemaRef ds:uri="http://www.w3.org/XML/1998/namespace"/>
  </ds:schemaRefs>
</ds:datastoreItem>
</file>

<file path=customXml/itemProps6.xml><?xml version="1.0" encoding="utf-8"?>
<ds:datastoreItem xmlns:ds="http://schemas.openxmlformats.org/officeDocument/2006/customXml" ds:itemID="{CA06D6D0-BB03-4F14-9E28-74A035FC19AA}"/>
</file>

<file path=docProps/app.xml><?xml version="1.0" encoding="utf-8"?>
<Properties xmlns="http://schemas.openxmlformats.org/officeDocument/2006/extended-properties" xmlns:vt="http://schemas.openxmlformats.org/officeDocument/2006/docPropsVTypes">
  <Template>Normal</Template>
  <TotalTime>343</TotalTime>
  <Pages>14</Pages>
  <Words>4160</Words>
  <Characters>21992</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26100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O'Rourke, Daniel</cp:lastModifiedBy>
  <cp:revision>148</cp:revision>
  <cp:lastPrinted>2022-09-12T23:59:00Z</cp:lastPrinted>
  <dcterms:created xsi:type="dcterms:W3CDTF">2023-11-13T17:16:00Z</dcterms:created>
  <dcterms:modified xsi:type="dcterms:W3CDTF">2023-11-16T16:11:00Z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0x010100F27C9619FA46FE41A4759CAFBE5D734A007E108E5EA784C64AADEEC92F0B2F1C31</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y fmtid="{D5CDD505-2E9C-101B-9397-08002B2CF9AE}" pid="57" name="MediaServiceImageTags">
    <vt:lpwstr/>
  </property>
  <property fmtid="{D5CDD505-2E9C-101B-9397-08002B2CF9AE}" pid="58" name="_dlc_DocIdItemGuid">
    <vt:lpwstr>474c1fd5-e987-4fb9-b2db-63648ac258ff</vt:lpwstr>
  </property>
  <property fmtid="{D5CDD505-2E9C-101B-9397-08002B2CF9AE}" pid="59" name="ForceDepartment">
    <vt:lpwstr/>
  </property>
</Properties>
</file>