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8192" w14:textId="62D99437"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 xml:space="preserve">POLICE AND CRIME COMMISSIONER FOR HAMPSHIRE AND </w:t>
      </w:r>
      <w:r w:rsidR="003C1D7A">
        <w:rPr>
          <w:rFonts w:ascii="Arial" w:eastAsia="Calibri" w:hAnsi="Arial" w:cs="Arial"/>
          <w:b/>
        </w:rPr>
        <w:t>ISLE OF WIGHT</w:t>
      </w:r>
    </w:p>
    <w:p w14:paraId="0AF98633" w14:textId="6A0BE6F3"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 xml:space="preserve">JOINT AUDIT COMMITTEE – </w:t>
      </w:r>
      <w:r w:rsidR="002801EB">
        <w:rPr>
          <w:rFonts w:ascii="Arial" w:eastAsia="Calibri" w:hAnsi="Arial" w:cs="Arial"/>
          <w:b/>
        </w:rPr>
        <w:t>25 September</w:t>
      </w:r>
      <w:r w:rsidR="00EB3915">
        <w:rPr>
          <w:rFonts w:ascii="Arial" w:eastAsia="Calibri" w:hAnsi="Arial" w:cs="Arial"/>
          <w:b/>
        </w:rPr>
        <w:t xml:space="preserve"> 2023</w:t>
      </w:r>
    </w:p>
    <w:p w14:paraId="219E02EF" w14:textId="6794326A" w:rsidR="0051299B" w:rsidRPr="0024206A" w:rsidRDefault="00F00D2A" w:rsidP="0051299B">
      <w:pPr>
        <w:pStyle w:val="ListParagraph"/>
        <w:spacing w:after="200" w:line="276" w:lineRule="auto"/>
        <w:ind w:left="0"/>
        <w:rPr>
          <w:rFonts w:ascii="Arial" w:hAnsi="Arial" w:cs="Arial"/>
          <w:i/>
        </w:rPr>
      </w:pPr>
      <w:r>
        <w:rPr>
          <w:rFonts w:ascii="Arial" w:eastAsia="Calibri" w:hAnsi="Arial" w:cs="Arial"/>
          <w:i/>
        </w:rPr>
        <w:t>Q1</w:t>
      </w:r>
      <w:r w:rsidR="0051299B" w:rsidRPr="0024206A">
        <w:rPr>
          <w:rFonts w:ascii="Arial" w:eastAsia="Calibri" w:hAnsi="Arial" w:cs="Arial"/>
          <w:i/>
        </w:rPr>
        <w:t xml:space="preserve"> Treasury </w:t>
      </w:r>
      <w:r>
        <w:rPr>
          <w:rFonts w:ascii="Arial" w:eastAsia="Calibri" w:hAnsi="Arial" w:cs="Arial"/>
          <w:i/>
        </w:rPr>
        <w:t>Management</w:t>
      </w:r>
      <w:r w:rsidR="0051299B" w:rsidRPr="0024206A">
        <w:rPr>
          <w:rFonts w:ascii="Arial" w:eastAsia="Calibri" w:hAnsi="Arial" w:cs="Arial"/>
          <w:i/>
        </w:rPr>
        <w:t xml:space="preserve"> Report 20</w:t>
      </w:r>
      <w:r w:rsidR="001546C7" w:rsidRPr="0024206A">
        <w:rPr>
          <w:rFonts w:ascii="Arial" w:eastAsia="Calibri" w:hAnsi="Arial" w:cs="Arial"/>
          <w:i/>
        </w:rPr>
        <w:t>2</w:t>
      </w:r>
      <w:r>
        <w:rPr>
          <w:rFonts w:ascii="Arial" w:eastAsia="Calibri" w:hAnsi="Arial" w:cs="Arial"/>
          <w:i/>
        </w:rPr>
        <w:t>3</w:t>
      </w:r>
      <w:r w:rsidR="00EB3915">
        <w:rPr>
          <w:rFonts w:ascii="Arial" w:eastAsia="Calibri" w:hAnsi="Arial" w:cs="Arial"/>
          <w:i/>
        </w:rPr>
        <w:t>/2</w:t>
      </w:r>
      <w:r>
        <w:rPr>
          <w:rFonts w:ascii="Arial" w:eastAsia="Calibri" w:hAnsi="Arial" w:cs="Arial"/>
          <w:i/>
        </w:rPr>
        <w:t>4</w:t>
      </w:r>
    </w:p>
    <w:p w14:paraId="45E34B56" w14:textId="77777777" w:rsidR="0051299B" w:rsidRPr="0024206A" w:rsidRDefault="0051299B" w:rsidP="0051299B">
      <w:pPr>
        <w:pStyle w:val="ListParagraph"/>
        <w:spacing w:after="200" w:line="276" w:lineRule="auto"/>
        <w:ind w:left="0"/>
        <w:rPr>
          <w:rFonts w:ascii="Arial" w:eastAsia="Calibri" w:hAnsi="Arial" w:cs="Arial"/>
          <w:b/>
        </w:rPr>
      </w:pPr>
      <w:r w:rsidRPr="0024206A">
        <w:rPr>
          <w:rFonts w:ascii="Arial" w:eastAsia="Calibri" w:hAnsi="Arial" w:cs="Arial"/>
          <w:b/>
        </w:rPr>
        <w:t>REPORT OF THE CHIEF FINANCE OFFICER OF THE OFFICE OF THE POLICE AND CRIME COMMISSIONER</w:t>
      </w:r>
    </w:p>
    <w:p w14:paraId="3BCE0B24" w14:textId="77777777" w:rsidR="0051299B" w:rsidRPr="00E4751E" w:rsidRDefault="0051299B"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Purpose</w:t>
      </w:r>
    </w:p>
    <w:p w14:paraId="6A8E494E" w14:textId="52E49127" w:rsidR="0051299B" w:rsidRDefault="0051299B" w:rsidP="003C3808">
      <w:pPr>
        <w:pStyle w:val="ListParagraph"/>
        <w:numPr>
          <w:ilvl w:val="1"/>
          <w:numId w:val="2"/>
        </w:numPr>
        <w:spacing w:after="240"/>
        <w:ind w:left="720" w:hanging="720"/>
        <w:rPr>
          <w:rFonts w:ascii="Arial" w:hAnsi="Arial" w:cs="Arial"/>
        </w:rPr>
      </w:pPr>
      <w:r w:rsidRPr="00E4751E">
        <w:rPr>
          <w:rFonts w:ascii="Arial" w:hAnsi="Arial" w:cs="Arial"/>
        </w:rPr>
        <w:t xml:space="preserve">The Police </w:t>
      </w:r>
      <w:r w:rsidR="00943EA5" w:rsidRPr="00E4751E">
        <w:rPr>
          <w:rFonts w:ascii="Arial" w:hAnsi="Arial" w:cs="Arial"/>
        </w:rPr>
        <w:t>and</w:t>
      </w:r>
      <w:r w:rsidRPr="00E4751E">
        <w:rPr>
          <w:rFonts w:ascii="Arial" w:hAnsi="Arial" w:cs="Arial"/>
        </w:rPr>
        <w:t xml:space="preserve"> Crime Commissioner for Hampshire (PCC)</w:t>
      </w:r>
      <w:r w:rsidR="001931BA">
        <w:rPr>
          <w:rFonts w:ascii="Arial" w:hAnsi="Arial" w:cs="Arial"/>
        </w:rPr>
        <w:t xml:space="preserve"> </w:t>
      </w:r>
      <w:r w:rsidR="001931BA" w:rsidRPr="001931BA">
        <w:rPr>
          <w:rFonts w:ascii="Arial" w:hAnsi="Arial" w:cs="Arial"/>
        </w:rPr>
        <w:t>has adopted the key recommendations of the Chartered Institute of Public Finance and Accountancy’s Treasury Management in the Public Services: Code of Practice (the CIPFA Code), last updated in 2021 which requires the Council to approve, as a minimum, treasury management semi-annual and annual outturn reports</w:t>
      </w:r>
      <w:r w:rsidR="00D145F8" w:rsidRPr="00E4751E">
        <w:rPr>
          <w:rFonts w:ascii="Arial" w:hAnsi="Arial" w:cs="Arial"/>
        </w:rPr>
        <w:t>.</w:t>
      </w:r>
    </w:p>
    <w:p w14:paraId="0452CAAE" w14:textId="1B76898D" w:rsidR="00452CD9" w:rsidRPr="00E4751E" w:rsidRDefault="00452CD9" w:rsidP="003C3808">
      <w:pPr>
        <w:pStyle w:val="ListParagraph"/>
        <w:numPr>
          <w:ilvl w:val="1"/>
          <w:numId w:val="2"/>
        </w:numPr>
        <w:spacing w:after="240"/>
        <w:ind w:left="720" w:hanging="720"/>
        <w:rPr>
          <w:rFonts w:ascii="Arial" w:hAnsi="Arial" w:cs="Arial"/>
        </w:rPr>
      </w:pPr>
      <w:r w:rsidRPr="00A60554">
        <w:rPr>
          <w:rFonts w:ascii="Arial" w:hAnsi="Arial" w:cs="Arial"/>
        </w:rPr>
        <w:t>This quarterly report provides an additional update and includes the new requirement in the 2021 Code, mandatory from 1st April 2023, of quarterly reporting of the treasury management prudential indicators. The non-treasury prudential indicators are incorporated in the normal quarterly revenue and capital monitoring report</w:t>
      </w:r>
      <w:r>
        <w:rPr>
          <w:rFonts w:ascii="Arial" w:hAnsi="Arial" w:cs="Arial"/>
        </w:rPr>
        <w:t>s.</w:t>
      </w:r>
    </w:p>
    <w:p w14:paraId="6F9F1E62" w14:textId="77777777" w:rsidR="0051299B" w:rsidRPr="00E4751E" w:rsidRDefault="0051299B"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Recommendation</w:t>
      </w:r>
    </w:p>
    <w:p w14:paraId="465D88C4" w14:textId="17A71423" w:rsidR="0051299B" w:rsidRPr="00E4751E" w:rsidRDefault="0051299B" w:rsidP="003C3808">
      <w:pPr>
        <w:pStyle w:val="ListParagraph"/>
        <w:numPr>
          <w:ilvl w:val="1"/>
          <w:numId w:val="2"/>
        </w:numPr>
        <w:spacing w:after="240"/>
        <w:ind w:left="720" w:hanging="720"/>
        <w:rPr>
          <w:rFonts w:ascii="Arial" w:hAnsi="Arial" w:cs="Arial"/>
        </w:rPr>
      </w:pPr>
      <w:r w:rsidRPr="00E4751E">
        <w:rPr>
          <w:rFonts w:ascii="Arial" w:hAnsi="Arial" w:cs="Arial"/>
        </w:rPr>
        <w:t xml:space="preserve">It is recommended that the Joint Audit Committee </w:t>
      </w:r>
      <w:r w:rsidR="00056D9C">
        <w:rPr>
          <w:rFonts w:ascii="Arial" w:hAnsi="Arial" w:cs="Arial"/>
        </w:rPr>
        <w:t xml:space="preserve">(JAC) </w:t>
      </w:r>
      <w:r w:rsidRPr="00E4751E">
        <w:rPr>
          <w:rFonts w:ascii="Arial" w:hAnsi="Arial" w:cs="Arial"/>
        </w:rPr>
        <w:t>considers the report and makes observations as appropriate.</w:t>
      </w:r>
    </w:p>
    <w:p w14:paraId="0D54A817" w14:textId="517778D2" w:rsidR="0051299B" w:rsidRPr="00E4751E" w:rsidRDefault="00F51C52" w:rsidP="003C3808">
      <w:pPr>
        <w:keepNext/>
        <w:numPr>
          <w:ilvl w:val="0"/>
          <w:numId w:val="2"/>
        </w:numPr>
        <w:tabs>
          <w:tab w:val="num" w:pos="720"/>
        </w:tabs>
        <w:spacing w:after="240"/>
        <w:ind w:left="431" w:hanging="431"/>
        <w:outlineLvl w:val="0"/>
        <w:rPr>
          <w:rFonts w:ascii="Arial" w:hAnsi="Arial" w:cs="Arial"/>
          <w:b/>
        </w:rPr>
      </w:pPr>
      <w:r w:rsidRPr="00E4751E">
        <w:rPr>
          <w:rFonts w:ascii="Arial" w:hAnsi="Arial" w:cs="Arial"/>
          <w:b/>
        </w:rPr>
        <w:t>Executive Summary</w:t>
      </w:r>
    </w:p>
    <w:p w14:paraId="03C12884" w14:textId="4053C922" w:rsidR="00065027" w:rsidRPr="00E4751E" w:rsidRDefault="005F1C03" w:rsidP="003C3808">
      <w:pPr>
        <w:pStyle w:val="ListParagraph"/>
        <w:numPr>
          <w:ilvl w:val="1"/>
          <w:numId w:val="2"/>
        </w:numPr>
        <w:spacing w:after="240"/>
        <w:ind w:left="720" w:hanging="720"/>
        <w:rPr>
          <w:rFonts w:ascii="Arial" w:hAnsi="Arial" w:cs="Arial"/>
        </w:rPr>
      </w:pPr>
      <w:r w:rsidRPr="00E4751E">
        <w:rPr>
          <w:rFonts w:ascii="Arial" w:hAnsi="Arial" w:cs="Arial"/>
        </w:rPr>
        <w:t>Th</w:t>
      </w:r>
      <w:r w:rsidR="00F51C52" w:rsidRPr="00E4751E">
        <w:rPr>
          <w:rFonts w:ascii="Arial" w:hAnsi="Arial" w:cs="Arial"/>
        </w:rPr>
        <w:t>e</w:t>
      </w:r>
      <w:r w:rsidRPr="00E4751E">
        <w:rPr>
          <w:rFonts w:ascii="Arial" w:hAnsi="Arial" w:cs="Arial"/>
        </w:rPr>
        <w:t xml:space="preserve"> report fulfils the PCC’s legal obligation</w:t>
      </w:r>
      <w:r w:rsidR="00377E7F" w:rsidRPr="00E4751E">
        <w:rPr>
          <w:rFonts w:ascii="Arial" w:hAnsi="Arial" w:cs="Arial"/>
        </w:rPr>
        <w:t xml:space="preserve"> under the Local Government Act 2003</w:t>
      </w:r>
      <w:r w:rsidRPr="00E4751E">
        <w:rPr>
          <w:rFonts w:ascii="Arial" w:hAnsi="Arial" w:cs="Arial"/>
        </w:rPr>
        <w:t xml:space="preserve"> to have regard to the CIPFA Code</w:t>
      </w:r>
      <w:r w:rsidR="00F51C52" w:rsidRPr="00E4751E">
        <w:rPr>
          <w:rFonts w:ascii="Arial" w:hAnsi="Arial" w:cs="Arial"/>
        </w:rPr>
        <w:t xml:space="preserve"> and provides an update </w:t>
      </w:r>
      <w:r w:rsidR="00C9405F" w:rsidRPr="00E4751E">
        <w:rPr>
          <w:rFonts w:ascii="Arial" w:hAnsi="Arial" w:cs="Arial"/>
        </w:rPr>
        <w:t xml:space="preserve">on the performance of the treasury management function during </w:t>
      </w:r>
      <w:r w:rsidR="003A527E">
        <w:rPr>
          <w:rFonts w:ascii="Arial" w:hAnsi="Arial" w:cs="Arial"/>
        </w:rPr>
        <w:t xml:space="preserve">quarter one </w:t>
      </w:r>
      <w:r w:rsidR="00C9405F" w:rsidRPr="00E4751E">
        <w:rPr>
          <w:rFonts w:ascii="Arial" w:hAnsi="Arial" w:cs="Arial"/>
        </w:rPr>
        <w:t>202</w:t>
      </w:r>
      <w:r w:rsidR="00EA6201">
        <w:rPr>
          <w:rFonts w:ascii="Arial" w:hAnsi="Arial" w:cs="Arial"/>
        </w:rPr>
        <w:t>3</w:t>
      </w:r>
      <w:r w:rsidR="00A2040A" w:rsidRPr="00E4751E">
        <w:rPr>
          <w:rFonts w:ascii="Arial" w:hAnsi="Arial" w:cs="Arial"/>
        </w:rPr>
        <w:t>/2</w:t>
      </w:r>
      <w:r w:rsidR="00EA6201">
        <w:rPr>
          <w:rFonts w:ascii="Arial" w:hAnsi="Arial" w:cs="Arial"/>
        </w:rPr>
        <w:t>4</w:t>
      </w:r>
      <w:r w:rsidR="003A527E">
        <w:rPr>
          <w:rFonts w:ascii="Arial" w:hAnsi="Arial" w:cs="Arial"/>
        </w:rPr>
        <w:t xml:space="preserve">; the report also provides an update on some key </w:t>
      </w:r>
      <w:r w:rsidR="002A4E25">
        <w:rPr>
          <w:rFonts w:ascii="Arial" w:hAnsi="Arial" w:cs="Arial"/>
        </w:rPr>
        <w:t>treasury decisions taken in the first part of quarter 2</w:t>
      </w:r>
      <w:r w:rsidRPr="00E4751E">
        <w:rPr>
          <w:rFonts w:ascii="Arial" w:hAnsi="Arial" w:cs="Arial"/>
        </w:rPr>
        <w:t>.</w:t>
      </w:r>
    </w:p>
    <w:p w14:paraId="776996C6" w14:textId="716D25F3" w:rsidR="00EC6236" w:rsidRPr="001B4C97" w:rsidRDefault="00EC6236" w:rsidP="001D0F8E">
      <w:pPr>
        <w:pStyle w:val="ListParagraph"/>
        <w:numPr>
          <w:ilvl w:val="1"/>
          <w:numId w:val="2"/>
        </w:numPr>
        <w:spacing w:after="240"/>
        <w:ind w:left="720" w:hanging="720"/>
        <w:outlineLvl w:val="0"/>
        <w:rPr>
          <w:rFonts w:ascii="Arial" w:eastAsia="Calibri" w:hAnsi="Arial" w:cs="Arial"/>
        </w:rPr>
      </w:pPr>
      <w:r w:rsidRPr="001B4C97">
        <w:rPr>
          <w:rFonts w:ascii="Arial" w:hAnsi="Arial" w:cs="Arial"/>
        </w:rPr>
        <w:t>The PCC’s treasury management strategy</w:t>
      </w:r>
      <w:r w:rsidR="00E21BE2" w:rsidRPr="001B4C97">
        <w:rPr>
          <w:rFonts w:ascii="Arial" w:hAnsi="Arial" w:cs="Arial"/>
        </w:rPr>
        <w:t xml:space="preserve"> was most recently updated and approved by the PCC in </w:t>
      </w:r>
      <w:r w:rsidR="00B14AC6">
        <w:rPr>
          <w:rFonts w:ascii="Arial" w:hAnsi="Arial" w:cs="Arial"/>
        </w:rPr>
        <w:t>March</w:t>
      </w:r>
      <w:r w:rsidR="00B14AC6" w:rsidRPr="001B4C97">
        <w:rPr>
          <w:rFonts w:ascii="Arial" w:hAnsi="Arial" w:cs="Arial"/>
        </w:rPr>
        <w:t xml:space="preserve"> </w:t>
      </w:r>
      <w:r w:rsidR="00E21BE2" w:rsidRPr="001B4C97">
        <w:rPr>
          <w:rFonts w:ascii="Arial" w:hAnsi="Arial" w:cs="Arial"/>
        </w:rPr>
        <w:t>202</w:t>
      </w:r>
      <w:r w:rsidR="00007E62">
        <w:rPr>
          <w:rFonts w:ascii="Arial" w:hAnsi="Arial" w:cs="Arial"/>
        </w:rPr>
        <w:t>3</w:t>
      </w:r>
      <w:r w:rsidR="00317DA6" w:rsidRPr="001B4C97">
        <w:rPr>
          <w:rFonts w:ascii="Arial" w:hAnsi="Arial" w:cs="Arial"/>
        </w:rPr>
        <w:t xml:space="preserve">. </w:t>
      </w:r>
      <w:r w:rsidRPr="001B4C97">
        <w:rPr>
          <w:rFonts w:ascii="Arial" w:hAnsi="Arial" w:cs="Arial"/>
        </w:rPr>
        <w:t xml:space="preserve"> The PCC has borrowed and invested sums of money and is therefore exposed to financial risks including the loss of invested funds and the revenue effect of changing interest rates.  The successful identification, monitoring and control of risk are therefore central to the PCC’s treasury management strategy.</w:t>
      </w:r>
    </w:p>
    <w:p w14:paraId="2D264A5E" w14:textId="0B05C52A" w:rsidR="0051299B" w:rsidRPr="00EE2047" w:rsidRDefault="0051299B" w:rsidP="001D0F8E">
      <w:pPr>
        <w:pStyle w:val="ListParagraph"/>
        <w:numPr>
          <w:ilvl w:val="1"/>
          <w:numId w:val="2"/>
        </w:numPr>
        <w:spacing w:after="240"/>
        <w:ind w:left="720" w:hanging="720"/>
        <w:outlineLvl w:val="0"/>
        <w:rPr>
          <w:rFonts w:ascii="Arial" w:eastAsia="Calibri" w:hAnsi="Arial" w:cs="Arial"/>
        </w:rPr>
      </w:pPr>
      <w:r w:rsidRPr="00EE2047">
        <w:rPr>
          <w:rFonts w:ascii="Arial" w:hAnsi="Arial" w:cs="Arial"/>
        </w:rPr>
        <w:t>Treasury management in the context of this report is defined as:</w:t>
      </w:r>
      <w:r w:rsidR="00413F43" w:rsidRPr="00EE2047">
        <w:rPr>
          <w:rFonts w:ascii="Arial" w:hAnsi="Arial" w:cs="Arial"/>
        </w:rPr>
        <w:t xml:space="preserve"> </w:t>
      </w:r>
      <w:r w:rsidRPr="00EE2047">
        <w:rPr>
          <w:rFonts w:ascii="Arial" w:eastAsia="Calibri" w:hAnsi="Arial" w:cs="Arial"/>
        </w:rPr>
        <w:t>“The management of the organisation’s investments and cash flows, its banking, money market and capital market transactions; the effective control of the risks associated with those activities; and the pursuit of optimum performance consistent with those risks.”</w:t>
      </w:r>
    </w:p>
    <w:p w14:paraId="30FFB165" w14:textId="788B7B74"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lastRenderedPageBreak/>
        <w:t xml:space="preserve">This report sets out the performance of the treasury management function during </w:t>
      </w:r>
      <w:r w:rsidR="004535F5">
        <w:rPr>
          <w:rFonts w:ascii="Arial" w:hAnsi="Arial" w:cs="Arial"/>
        </w:rPr>
        <w:t>Q1 20</w:t>
      </w:r>
      <w:r w:rsidR="007042FB" w:rsidRPr="00EE2047">
        <w:rPr>
          <w:rFonts w:ascii="Arial" w:hAnsi="Arial" w:cs="Arial"/>
        </w:rPr>
        <w:t>2</w:t>
      </w:r>
      <w:r w:rsidR="00E83D61">
        <w:rPr>
          <w:rFonts w:ascii="Arial" w:hAnsi="Arial" w:cs="Arial"/>
        </w:rPr>
        <w:t>3</w:t>
      </w:r>
      <w:r w:rsidR="004535F5">
        <w:rPr>
          <w:rFonts w:ascii="Arial" w:hAnsi="Arial" w:cs="Arial"/>
        </w:rPr>
        <w:t>/24</w:t>
      </w:r>
      <w:r w:rsidRPr="00EE2047">
        <w:rPr>
          <w:rFonts w:ascii="Arial" w:hAnsi="Arial" w:cs="Arial"/>
        </w:rPr>
        <w:t>, to include the effects of the decisions taken and the transactions executed in the</w:t>
      </w:r>
      <w:r w:rsidR="00E52F61">
        <w:rPr>
          <w:rFonts w:ascii="Arial" w:hAnsi="Arial" w:cs="Arial"/>
        </w:rPr>
        <w:t xml:space="preserve"> first three months of the financial</w:t>
      </w:r>
      <w:r w:rsidRPr="00EE2047">
        <w:rPr>
          <w:rFonts w:ascii="Arial" w:hAnsi="Arial" w:cs="Arial"/>
        </w:rPr>
        <w:t xml:space="preserve"> year</w:t>
      </w:r>
      <w:r w:rsidR="00C52536">
        <w:rPr>
          <w:rFonts w:ascii="Arial" w:hAnsi="Arial" w:cs="Arial"/>
        </w:rPr>
        <w:t xml:space="preserve">, </w:t>
      </w:r>
      <w:proofErr w:type="gramStart"/>
      <w:r w:rsidR="00C52536">
        <w:rPr>
          <w:rFonts w:ascii="Arial" w:hAnsi="Arial" w:cs="Arial"/>
        </w:rPr>
        <w:t>and also</w:t>
      </w:r>
      <w:proofErr w:type="gramEnd"/>
      <w:r w:rsidR="00C52536">
        <w:rPr>
          <w:rFonts w:ascii="Arial" w:hAnsi="Arial" w:cs="Arial"/>
        </w:rPr>
        <w:t xml:space="preserve"> provides an update on key activity to date in </w:t>
      </w:r>
      <w:r w:rsidR="00F32DE5">
        <w:rPr>
          <w:rFonts w:ascii="Arial" w:hAnsi="Arial" w:cs="Arial"/>
        </w:rPr>
        <w:t>Q2</w:t>
      </w:r>
      <w:r w:rsidRPr="00EE2047">
        <w:rPr>
          <w:rFonts w:ascii="Arial" w:hAnsi="Arial" w:cs="Arial"/>
        </w:rPr>
        <w:t>.</w:t>
      </w:r>
    </w:p>
    <w:p w14:paraId="5C4540D6" w14:textId="04557344"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t>Overall responsibility for treasury management remains with the PCC.  No treasury management activity is without risk</w:t>
      </w:r>
      <w:r w:rsidR="00377E7F" w:rsidRPr="00EE2047">
        <w:rPr>
          <w:rFonts w:ascii="Arial" w:hAnsi="Arial" w:cs="Arial"/>
        </w:rPr>
        <w:t xml:space="preserve"> and </w:t>
      </w:r>
      <w:r w:rsidRPr="00EE2047">
        <w:rPr>
          <w:rFonts w:ascii="Arial" w:hAnsi="Arial" w:cs="Arial"/>
        </w:rPr>
        <w:t xml:space="preserve">the effective identification and management of risk are </w:t>
      </w:r>
      <w:r w:rsidR="00377E7F" w:rsidRPr="00EE2047">
        <w:rPr>
          <w:rFonts w:ascii="Arial" w:hAnsi="Arial" w:cs="Arial"/>
        </w:rPr>
        <w:t xml:space="preserve">therefore </w:t>
      </w:r>
      <w:r w:rsidRPr="00EE2047">
        <w:rPr>
          <w:rFonts w:ascii="Arial" w:hAnsi="Arial" w:cs="Arial"/>
        </w:rPr>
        <w:t>integral to the PCC’s treasury management objectives.</w:t>
      </w:r>
    </w:p>
    <w:p w14:paraId="67D54714" w14:textId="2DCF0966" w:rsidR="0051299B" w:rsidRPr="00EE2047" w:rsidRDefault="0051299B" w:rsidP="003C3808">
      <w:pPr>
        <w:pStyle w:val="ListParagraph"/>
        <w:numPr>
          <w:ilvl w:val="1"/>
          <w:numId w:val="2"/>
        </w:numPr>
        <w:spacing w:after="240"/>
        <w:ind w:left="720" w:hanging="720"/>
        <w:rPr>
          <w:rFonts w:ascii="Arial" w:hAnsi="Arial" w:cs="Arial"/>
        </w:rPr>
      </w:pPr>
      <w:r w:rsidRPr="00EE2047">
        <w:rPr>
          <w:rFonts w:ascii="Arial" w:hAnsi="Arial" w:cs="Arial"/>
        </w:rPr>
        <w:t>All treasury activity has complied with the PCC’s Treasury Management Strategy and Investment Strategy for 20</w:t>
      </w:r>
      <w:r w:rsidR="005D4882" w:rsidRPr="00EE2047">
        <w:rPr>
          <w:rFonts w:ascii="Arial" w:hAnsi="Arial" w:cs="Arial"/>
        </w:rPr>
        <w:t>2</w:t>
      </w:r>
      <w:r w:rsidR="00D94515">
        <w:rPr>
          <w:rFonts w:ascii="Arial" w:hAnsi="Arial" w:cs="Arial"/>
        </w:rPr>
        <w:t>3</w:t>
      </w:r>
      <w:r w:rsidR="00804E4F" w:rsidRPr="00EE2047">
        <w:rPr>
          <w:rFonts w:ascii="Arial" w:hAnsi="Arial" w:cs="Arial"/>
        </w:rPr>
        <w:t>/2</w:t>
      </w:r>
      <w:r w:rsidR="00D94515">
        <w:rPr>
          <w:rFonts w:ascii="Arial" w:hAnsi="Arial" w:cs="Arial"/>
        </w:rPr>
        <w:t>4</w:t>
      </w:r>
      <w:r w:rsidRPr="00EE2047">
        <w:rPr>
          <w:rFonts w:ascii="Arial" w:hAnsi="Arial" w:cs="Arial"/>
        </w:rPr>
        <w:t xml:space="preserve">, and all relevant statute, </w:t>
      </w:r>
      <w:proofErr w:type="gramStart"/>
      <w:r w:rsidRPr="00EE2047">
        <w:rPr>
          <w:rFonts w:ascii="Arial" w:hAnsi="Arial" w:cs="Arial"/>
        </w:rPr>
        <w:t>guidance</w:t>
      </w:r>
      <w:proofErr w:type="gramEnd"/>
      <w:r w:rsidRPr="00EE2047">
        <w:rPr>
          <w:rFonts w:ascii="Arial" w:hAnsi="Arial" w:cs="Arial"/>
        </w:rPr>
        <w:t xml:space="preserve"> and accounting standards.  In addition</w:t>
      </w:r>
      <w:r w:rsidR="00377E7F" w:rsidRPr="00EE2047">
        <w:rPr>
          <w:rFonts w:ascii="Arial" w:hAnsi="Arial" w:cs="Arial"/>
        </w:rPr>
        <w:t>, support in undertaking treasury management activities has been provided by</w:t>
      </w:r>
      <w:r w:rsidRPr="00EE2047">
        <w:rPr>
          <w:rFonts w:ascii="Arial" w:hAnsi="Arial" w:cs="Arial"/>
        </w:rPr>
        <w:t xml:space="preserve"> the PCC’s treasury advisers, Arlingclose</w:t>
      </w:r>
      <w:r w:rsidR="00377E7F" w:rsidRPr="00EE2047">
        <w:rPr>
          <w:rFonts w:ascii="Arial" w:hAnsi="Arial" w:cs="Arial"/>
        </w:rPr>
        <w:t xml:space="preserve">. </w:t>
      </w:r>
    </w:p>
    <w:p w14:paraId="7ED92704" w14:textId="0A133EB9" w:rsidR="00377E7F" w:rsidRPr="00142897" w:rsidRDefault="00377E7F" w:rsidP="003C3808">
      <w:pPr>
        <w:pStyle w:val="ListParagraph"/>
        <w:numPr>
          <w:ilvl w:val="1"/>
          <w:numId w:val="2"/>
        </w:numPr>
        <w:spacing w:after="240"/>
        <w:ind w:left="720" w:hanging="720"/>
        <w:rPr>
          <w:rFonts w:ascii="Arial" w:hAnsi="Arial" w:cs="Arial"/>
        </w:rPr>
      </w:pPr>
      <w:r w:rsidRPr="00142897">
        <w:rPr>
          <w:rFonts w:ascii="Arial" w:hAnsi="Arial" w:cs="Arial"/>
        </w:rPr>
        <w:t xml:space="preserve">The Prudential Code includes the requirement to produce and have approved a Capital Strategy, a summary document covering capital expenditure and financing, treasury management and non-treasury investments. The PCC’s </w:t>
      </w:r>
      <w:r w:rsidR="001A04A9" w:rsidRPr="00142897">
        <w:rPr>
          <w:rFonts w:ascii="Arial" w:hAnsi="Arial" w:cs="Arial"/>
        </w:rPr>
        <w:t>most recent</w:t>
      </w:r>
      <w:r w:rsidRPr="00142897">
        <w:rPr>
          <w:rFonts w:ascii="Arial" w:hAnsi="Arial" w:cs="Arial"/>
        </w:rPr>
        <w:t xml:space="preserve"> Capital and Investment Strategy, complying with CIPFA’s requirement, was approved by the PCC </w:t>
      </w:r>
      <w:r w:rsidR="005C4922" w:rsidRPr="00142897">
        <w:rPr>
          <w:rFonts w:ascii="Arial" w:hAnsi="Arial" w:cs="Arial"/>
        </w:rPr>
        <w:t>i</w:t>
      </w:r>
      <w:r w:rsidR="0023548B" w:rsidRPr="00142897">
        <w:rPr>
          <w:rFonts w:ascii="Arial" w:hAnsi="Arial" w:cs="Arial"/>
        </w:rPr>
        <w:t>n February 20</w:t>
      </w:r>
      <w:r w:rsidR="00140D97" w:rsidRPr="00142897">
        <w:rPr>
          <w:rFonts w:ascii="Arial" w:hAnsi="Arial" w:cs="Arial"/>
        </w:rPr>
        <w:t>2</w:t>
      </w:r>
      <w:r w:rsidR="003729C2">
        <w:rPr>
          <w:rFonts w:ascii="Arial" w:hAnsi="Arial" w:cs="Arial"/>
        </w:rPr>
        <w:t>3</w:t>
      </w:r>
      <w:r w:rsidR="0023548B" w:rsidRPr="00142897">
        <w:rPr>
          <w:rFonts w:ascii="Arial" w:hAnsi="Arial" w:cs="Arial"/>
        </w:rPr>
        <w:t>.</w:t>
      </w:r>
    </w:p>
    <w:p w14:paraId="7C14B556" w14:textId="4928D646" w:rsidR="005A60B2" w:rsidRPr="00142897" w:rsidRDefault="002F648B" w:rsidP="003C3808">
      <w:pPr>
        <w:keepNext/>
        <w:numPr>
          <w:ilvl w:val="0"/>
          <w:numId w:val="2"/>
        </w:numPr>
        <w:tabs>
          <w:tab w:val="num" w:pos="720"/>
        </w:tabs>
        <w:spacing w:after="240"/>
        <w:ind w:left="431" w:hanging="431"/>
        <w:outlineLvl w:val="0"/>
        <w:rPr>
          <w:rFonts w:ascii="Arial" w:hAnsi="Arial" w:cs="Arial"/>
          <w:b/>
        </w:rPr>
      </w:pPr>
      <w:r w:rsidRPr="00142897">
        <w:rPr>
          <w:rFonts w:ascii="Arial" w:hAnsi="Arial" w:cs="Arial"/>
          <w:b/>
        </w:rPr>
        <w:t>External Context</w:t>
      </w:r>
    </w:p>
    <w:p w14:paraId="3CCB5238" w14:textId="77777777" w:rsidR="00865810" w:rsidRDefault="003E0120" w:rsidP="00865810">
      <w:pPr>
        <w:pStyle w:val="ListParagraph"/>
        <w:numPr>
          <w:ilvl w:val="1"/>
          <w:numId w:val="2"/>
        </w:numPr>
        <w:spacing w:after="240"/>
        <w:ind w:left="720" w:hanging="720"/>
        <w:rPr>
          <w:rFonts w:ascii="Arial" w:hAnsi="Arial" w:cs="Arial"/>
        </w:rPr>
      </w:pPr>
      <w:r w:rsidRPr="00722CB9">
        <w:rPr>
          <w:rFonts w:ascii="Arial" w:hAnsi="Arial" w:cs="Arial"/>
        </w:rPr>
        <w:t xml:space="preserve">The following sections outline the key economic themes in the UK against which investment and borrowing decisions </w:t>
      </w:r>
      <w:r>
        <w:rPr>
          <w:rFonts w:ascii="Arial" w:hAnsi="Arial" w:cs="Arial"/>
        </w:rPr>
        <w:t>have been</w:t>
      </w:r>
      <w:r w:rsidRPr="00722CB9">
        <w:rPr>
          <w:rFonts w:ascii="Arial" w:hAnsi="Arial" w:cs="Arial"/>
        </w:rPr>
        <w:t xml:space="preserve"> made</w:t>
      </w:r>
      <w:r>
        <w:rPr>
          <w:rFonts w:ascii="Arial" w:hAnsi="Arial" w:cs="Arial"/>
        </w:rPr>
        <w:t xml:space="preserve"> so far</w:t>
      </w:r>
      <w:r w:rsidRPr="00722CB9">
        <w:rPr>
          <w:rFonts w:ascii="Arial" w:hAnsi="Arial" w:cs="Arial"/>
        </w:rPr>
        <w:t xml:space="preserve"> in 202</w:t>
      </w:r>
      <w:r>
        <w:rPr>
          <w:rFonts w:ascii="Arial" w:hAnsi="Arial" w:cs="Arial"/>
        </w:rPr>
        <w:t>3/24</w:t>
      </w:r>
      <w:r w:rsidR="0051299B" w:rsidRPr="00142897">
        <w:rPr>
          <w:rFonts w:ascii="Arial" w:hAnsi="Arial" w:cs="Arial"/>
        </w:rPr>
        <w:t>.</w:t>
      </w:r>
    </w:p>
    <w:p w14:paraId="3009DE0C" w14:textId="2597AB34" w:rsidR="00AA187F" w:rsidRPr="00AA187F" w:rsidRDefault="00AA187F" w:rsidP="00AA187F">
      <w:pPr>
        <w:pStyle w:val="ListParagraph"/>
        <w:spacing w:after="240"/>
        <w:rPr>
          <w:rFonts w:ascii="Arial" w:hAnsi="Arial" w:cs="Arial"/>
          <w:b/>
          <w:bCs/>
        </w:rPr>
      </w:pPr>
      <w:r w:rsidRPr="00AA187F">
        <w:rPr>
          <w:rFonts w:ascii="Arial" w:hAnsi="Arial" w:cs="Arial"/>
          <w:b/>
          <w:bCs/>
        </w:rPr>
        <w:t>Economic commentary</w:t>
      </w:r>
    </w:p>
    <w:p w14:paraId="4D8D5739" w14:textId="49D2F344" w:rsidR="00865810" w:rsidRPr="00865810" w:rsidRDefault="00865810" w:rsidP="00865810">
      <w:pPr>
        <w:pStyle w:val="ListParagraph"/>
        <w:numPr>
          <w:ilvl w:val="1"/>
          <w:numId w:val="2"/>
        </w:numPr>
        <w:spacing w:after="240"/>
        <w:ind w:left="720" w:hanging="720"/>
        <w:rPr>
          <w:rFonts w:ascii="Arial" w:hAnsi="Arial" w:cs="Arial"/>
        </w:rPr>
      </w:pPr>
      <w:r w:rsidRPr="00865810">
        <w:rPr>
          <w:rFonts w:ascii="Arial" w:hAnsi="Arial" w:cs="Arial"/>
        </w:rPr>
        <w:t xml:space="preserve">From the start of the quarter until </w:t>
      </w:r>
      <w:proofErr w:type="gramStart"/>
      <w:r w:rsidRPr="00865810">
        <w:rPr>
          <w:rFonts w:ascii="Arial" w:hAnsi="Arial" w:cs="Arial"/>
        </w:rPr>
        <w:t>May</w:t>
      </w:r>
      <w:proofErr w:type="gramEnd"/>
      <w:r w:rsidRPr="00865810">
        <w:rPr>
          <w:rFonts w:ascii="Arial" w:hAnsi="Arial" w:cs="Arial"/>
        </w:rPr>
        <w:t xml:space="preserve"> it looked like peak global monetary policy rates were in sight as inflation continued to ease and central banks turned more dovish in tone. Only a few weeks later, </w:t>
      </w:r>
      <w:proofErr w:type="gramStart"/>
      <w:r w:rsidRPr="00865810">
        <w:rPr>
          <w:rFonts w:ascii="Arial" w:hAnsi="Arial" w:cs="Arial"/>
        </w:rPr>
        <w:t>stronger</w:t>
      </w:r>
      <w:proofErr w:type="gramEnd"/>
      <w:r w:rsidRPr="00865810">
        <w:rPr>
          <w:rFonts w:ascii="Arial" w:hAnsi="Arial" w:cs="Arial"/>
        </w:rPr>
        <w:t xml:space="preserve"> and more persistent inflation data, particularly in the UK, changed the picture. Central Bank rhetoric and actions remained consistent with combatting inflation. The Bank of England, US Federal Reserve, and European Central Bank all increased interest rates over the period, even in the face of potential economic slowdowns in those regions.</w:t>
      </w:r>
    </w:p>
    <w:p w14:paraId="4257F85A" w14:textId="77777777" w:rsidR="00865810" w:rsidRPr="00B85E75" w:rsidRDefault="00865810" w:rsidP="00865810">
      <w:pPr>
        <w:pStyle w:val="ListParagraph"/>
        <w:numPr>
          <w:ilvl w:val="1"/>
          <w:numId w:val="2"/>
        </w:numPr>
        <w:spacing w:after="240"/>
        <w:ind w:left="720" w:hanging="720"/>
        <w:rPr>
          <w:rFonts w:ascii="Arial" w:hAnsi="Arial" w:cs="Arial"/>
        </w:rPr>
      </w:pPr>
      <w:r w:rsidRPr="00B85E75">
        <w:rPr>
          <w:rFonts w:ascii="Arial" w:hAnsi="Arial" w:cs="Arial"/>
        </w:rPr>
        <w:t>Inflation fell from its peak of 11.1% reached in October 2022, but annual headline CPI in May 2023 was higher than the consensus forecast at 8.7% (8.4% expected), largely driven by services inflation, while the annual measure of underlying core inflation rose to 7.1% from 6.8%.</w:t>
      </w:r>
    </w:p>
    <w:p w14:paraId="43DF7BF2" w14:textId="350FB63C" w:rsidR="00865810" w:rsidRPr="00B85E75" w:rsidRDefault="00865810" w:rsidP="00865810">
      <w:pPr>
        <w:pStyle w:val="ListParagraph"/>
        <w:numPr>
          <w:ilvl w:val="1"/>
          <w:numId w:val="2"/>
        </w:numPr>
        <w:spacing w:after="240"/>
        <w:ind w:left="720" w:hanging="720"/>
        <w:rPr>
          <w:rFonts w:ascii="Arial" w:hAnsi="Arial" w:cs="Arial"/>
        </w:rPr>
      </w:pPr>
      <w:r w:rsidRPr="00B85E75">
        <w:rPr>
          <w:rFonts w:ascii="Arial" w:hAnsi="Arial" w:cs="Arial"/>
        </w:rPr>
        <w:t xml:space="preserve">After a sharp rise in interest rate expectations, with clearly serious implications for mortgage markets due to higher inflation and wage data, the Bank of England’s Monetary Policy Committee </w:t>
      </w:r>
      <w:r w:rsidR="00056D9C">
        <w:rPr>
          <w:rFonts w:ascii="Arial" w:hAnsi="Arial" w:cs="Arial"/>
        </w:rPr>
        <w:t xml:space="preserve">(MPC) </w:t>
      </w:r>
      <w:r w:rsidRPr="00B85E75">
        <w:rPr>
          <w:rFonts w:ascii="Arial" w:hAnsi="Arial" w:cs="Arial"/>
        </w:rPr>
        <w:t xml:space="preserve">reaccelerated monetary policy tightening over the period with a 0.25% rise in May </w:t>
      </w:r>
      <w:proofErr w:type="gramStart"/>
      <w:r w:rsidR="00432728">
        <w:rPr>
          <w:rFonts w:ascii="Arial" w:hAnsi="Arial" w:cs="Arial"/>
        </w:rPr>
        <w:t xml:space="preserve">and </w:t>
      </w:r>
      <w:r w:rsidRPr="00B85E75">
        <w:rPr>
          <w:rFonts w:ascii="Arial" w:hAnsi="Arial" w:cs="Arial"/>
        </w:rPr>
        <w:t xml:space="preserve"> a</w:t>
      </w:r>
      <w:proofErr w:type="gramEnd"/>
      <w:r w:rsidRPr="00B85E75">
        <w:rPr>
          <w:rFonts w:ascii="Arial" w:hAnsi="Arial" w:cs="Arial"/>
        </w:rPr>
        <w:t xml:space="preserve"> 0.5% rise in June, taking the Bank Rate to 5.0%. At both meetings the vote was 7-2 in </w:t>
      </w:r>
      <w:r w:rsidRPr="00B85E75">
        <w:rPr>
          <w:rFonts w:ascii="Arial" w:hAnsi="Arial" w:cs="Arial"/>
        </w:rPr>
        <w:lastRenderedPageBreak/>
        <w:t>favour of increasing rates, with the two dissenters preferring to keep rates on hold.</w:t>
      </w:r>
    </w:p>
    <w:p w14:paraId="6FA2D84A" w14:textId="2D1ADAD0" w:rsidR="00865810" w:rsidRPr="00B85E75" w:rsidRDefault="00865810" w:rsidP="00865810">
      <w:pPr>
        <w:pStyle w:val="ListParagraph"/>
        <w:numPr>
          <w:ilvl w:val="1"/>
          <w:numId w:val="2"/>
        </w:numPr>
        <w:spacing w:after="240"/>
        <w:ind w:left="720" w:hanging="720"/>
        <w:rPr>
          <w:rFonts w:ascii="Arial" w:hAnsi="Arial" w:cs="Arial"/>
        </w:rPr>
      </w:pPr>
      <w:r w:rsidRPr="00B85E75">
        <w:rPr>
          <w:rFonts w:ascii="Arial" w:hAnsi="Arial" w:cs="Arial"/>
        </w:rPr>
        <w:t xml:space="preserve">Interest rate expectations priced in further hikes in policy rates. Arlingclose, the authority’s treasury adviser, revised its forecast to </w:t>
      </w:r>
      <w:r w:rsidR="00FF31DA">
        <w:rPr>
          <w:rFonts w:ascii="Arial" w:hAnsi="Arial" w:cs="Arial"/>
        </w:rPr>
        <w:t xml:space="preserve">include </w:t>
      </w:r>
      <w:r w:rsidRPr="00B85E75">
        <w:rPr>
          <w:rFonts w:ascii="Arial" w:hAnsi="Arial" w:cs="Arial"/>
        </w:rPr>
        <w:t>a further 0.5% of monetary tightening to take Bank Rate to 5.5</w:t>
      </w:r>
      <w:r w:rsidRPr="00A21F34">
        <w:rPr>
          <w:rFonts w:ascii="Arial" w:hAnsi="Arial" w:cs="Arial"/>
        </w:rPr>
        <w:t>%</w:t>
      </w:r>
      <w:r w:rsidR="00DB1EF9" w:rsidRPr="00A21F34">
        <w:rPr>
          <w:rFonts w:ascii="Arial" w:hAnsi="Arial" w:cs="Arial"/>
        </w:rPr>
        <w:t xml:space="preserve">; as at the date of this report, the </w:t>
      </w:r>
      <w:r w:rsidR="00EA1325" w:rsidRPr="00A21F34">
        <w:rPr>
          <w:rFonts w:ascii="Arial" w:hAnsi="Arial" w:cs="Arial"/>
        </w:rPr>
        <w:t xml:space="preserve">Bank Rate had increased by a further 0.25% in </w:t>
      </w:r>
      <w:r w:rsidR="00B34123" w:rsidRPr="007E5B34">
        <w:rPr>
          <w:rFonts w:ascii="Arial" w:hAnsi="Arial" w:cs="Arial"/>
        </w:rPr>
        <w:t>August</w:t>
      </w:r>
      <w:r w:rsidR="00EA1325" w:rsidRPr="00A21F34">
        <w:rPr>
          <w:rFonts w:ascii="Arial" w:hAnsi="Arial" w:cs="Arial"/>
        </w:rPr>
        <w:t>, taking the rate to 5.25%</w:t>
      </w:r>
      <w:r w:rsidRPr="00A21F34">
        <w:rPr>
          <w:rFonts w:ascii="Arial" w:hAnsi="Arial" w:cs="Arial"/>
        </w:rPr>
        <w:t>.</w:t>
      </w:r>
      <w:r w:rsidRPr="00B85E75">
        <w:rPr>
          <w:rFonts w:ascii="Arial" w:hAnsi="Arial" w:cs="Arial"/>
        </w:rPr>
        <w:t xml:space="preserve"> The risks, however, are that rates could be higher; financial markets are forecasting policy interest rates above 6%.</w:t>
      </w:r>
      <w:r w:rsidR="00056D9C">
        <w:rPr>
          <w:rFonts w:ascii="Arial" w:hAnsi="Arial" w:cs="Arial"/>
        </w:rPr>
        <w:t xml:space="preserve"> The MPC are next scheduled to meet to consider the Bank Rate on the </w:t>
      </w:r>
      <w:proofErr w:type="gramStart"/>
      <w:r w:rsidR="00056D9C">
        <w:rPr>
          <w:rFonts w:ascii="Arial" w:hAnsi="Arial" w:cs="Arial"/>
        </w:rPr>
        <w:t>21</w:t>
      </w:r>
      <w:r w:rsidR="00056D9C" w:rsidRPr="007E5B34">
        <w:rPr>
          <w:rFonts w:ascii="Arial" w:hAnsi="Arial" w:cs="Arial"/>
          <w:vertAlign w:val="superscript"/>
        </w:rPr>
        <w:t>st</w:t>
      </w:r>
      <w:proofErr w:type="gramEnd"/>
      <w:r w:rsidR="00056D9C">
        <w:rPr>
          <w:rFonts w:ascii="Arial" w:hAnsi="Arial" w:cs="Arial"/>
        </w:rPr>
        <w:t xml:space="preserve"> September</w:t>
      </w:r>
      <w:r w:rsidR="007E5B34">
        <w:rPr>
          <w:rFonts w:ascii="Arial" w:hAnsi="Arial" w:cs="Arial"/>
        </w:rPr>
        <w:t xml:space="preserve"> 2023</w:t>
      </w:r>
      <w:r w:rsidR="00056D9C">
        <w:rPr>
          <w:rFonts w:ascii="Arial" w:hAnsi="Arial" w:cs="Arial"/>
        </w:rPr>
        <w:t>, and a verbal update will be provided to th</w:t>
      </w:r>
      <w:r w:rsidR="002A072A">
        <w:rPr>
          <w:rFonts w:ascii="Arial" w:hAnsi="Arial" w:cs="Arial"/>
        </w:rPr>
        <w:t>is meeting.</w:t>
      </w:r>
    </w:p>
    <w:p w14:paraId="555085DE" w14:textId="0D825C3B" w:rsidR="00865810" w:rsidRPr="00B85E75" w:rsidRDefault="00865810" w:rsidP="00865810">
      <w:pPr>
        <w:pStyle w:val="ListParagraph"/>
        <w:numPr>
          <w:ilvl w:val="1"/>
          <w:numId w:val="2"/>
        </w:numPr>
        <w:spacing w:after="240"/>
        <w:ind w:left="720" w:hanging="720"/>
        <w:rPr>
          <w:rFonts w:ascii="Arial" w:hAnsi="Arial" w:cs="Arial"/>
        </w:rPr>
      </w:pPr>
      <w:r w:rsidRPr="00B85E75">
        <w:rPr>
          <w:rFonts w:ascii="Arial" w:hAnsi="Arial" w:cs="Arial"/>
        </w:rPr>
        <w:t xml:space="preserve">With many mortgages at low fixed rates now systematically being re-set over the next 12-24 months at higher rates there has been a lagged effect of the feed through of monetary policy on households’ disposable income.  The economic slowdown is expected to develop over time and therefore, despite the GfK measure of consumer confidence </w:t>
      </w:r>
      <w:r w:rsidR="00726148">
        <w:rPr>
          <w:rFonts w:ascii="Arial" w:hAnsi="Arial" w:cs="Arial"/>
        </w:rPr>
        <w:t>improving</w:t>
      </w:r>
      <w:r w:rsidR="00726148" w:rsidRPr="00B85E75">
        <w:rPr>
          <w:rFonts w:ascii="Arial" w:hAnsi="Arial" w:cs="Arial"/>
        </w:rPr>
        <w:t xml:space="preserve"> </w:t>
      </w:r>
      <w:r w:rsidRPr="00B85E75">
        <w:rPr>
          <w:rFonts w:ascii="Arial" w:hAnsi="Arial" w:cs="Arial"/>
        </w:rPr>
        <w:t>to -24 in June, it is likely confidence will be negatively affected at some point. The manufacturing sector contracted during the quarter according to survey data, which will eventually feed into services, whose expansion is slowing.</w:t>
      </w:r>
    </w:p>
    <w:p w14:paraId="0D2C8093" w14:textId="77777777" w:rsidR="00865810" w:rsidRPr="005D7935" w:rsidRDefault="00865810" w:rsidP="005D7935">
      <w:pPr>
        <w:pStyle w:val="ListParagraph"/>
        <w:spacing w:after="240"/>
        <w:rPr>
          <w:rFonts w:ascii="Arial" w:hAnsi="Arial" w:cs="Arial"/>
          <w:b/>
          <w:bCs/>
        </w:rPr>
      </w:pPr>
      <w:r w:rsidRPr="005D7935">
        <w:rPr>
          <w:rFonts w:ascii="Arial" w:hAnsi="Arial" w:cs="Arial"/>
          <w:b/>
          <w:bCs/>
        </w:rPr>
        <w:t>Financial markets</w:t>
      </w:r>
    </w:p>
    <w:p w14:paraId="7F4D4298" w14:textId="77777777" w:rsidR="00865810" w:rsidRPr="00B85E75" w:rsidRDefault="00865810" w:rsidP="00865810">
      <w:pPr>
        <w:pStyle w:val="ListParagraph"/>
        <w:numPr>
          <w:ilvl w:val="1"/>
          <w:numId w:val="2"/>
        </w:numPr>
        <w:spacing w:after="240"/>
        <w:ind w:left="720" w:hanging="720"/>
        <w:rPr>
          <w:rFonts w:ascii="Arial" w:hAnsi="Arial" w:cs="Arial"/>
        </w:rPr>
      </w:pPr>
      <w:r w:rsidRPr="00B85E75">
        <w:rPr>
          <w:rFonts w:ascii="Arial" w:hAnsi="Arial" w:cs="Arial"/>
        </w:rPr>
        <w:t>Financial market sentiment and bond yields remained volatile, the latter continuing their general upward trend as uncertainty and concern over higher inflation and higher interest rates continued to dominate.</w:t>
      </w:r>
    </w:p>
    <w:p w14:paraId="5200AE17" w14:textId="77777777" w:rsidR="00865810" w:rsidRPr="00B85E75" w:rsidRDefault="00865810" w:rsidP="00865810">
      <w:pPr>
        <w:pStyle w:val="ListParagraph"/>
        <w:numPr>
          <w:ilvl w:val="1"/>
          <w:numId w:val="2"/>
        </w:numPr>
        <w:spacing w:after="240"/>
        <w:ind w:left="720" w:hanging="720"/>
        <w:rPr>
          <w:rFonts w:ascii="Arial" w:hAnsi="Arial" w:cs="Arial"/>
        </w:rPr>
      </w:pPr>
      <w:r w:rsidRPr="00B85E75">
        <w:rPr>
          <w:rFonts w:ascii="Arial" w:hAnsi="Arial" w:cs="Arial"/>
        </w:rPr>
        <w:t>Gilt yields rose over the period. The 5-year UK benchmark gilt yield rose from 3.30% to 4.67%, the 10-year gilt yield from 3.43% to 4.39%, and the 20-year yield from 3.75% to 4.51%.</w:t>
      </w:r>
    </w:p>
    <w:p w14:paraId="7F237F58" w14:textId="77777777" w:rsidR="00865810" w:rsidRPr="005D7935" w:rsidRDefault="00865810" w:rsidP="005D7935">
      <w:pPr>
        <w:pStyle w:val="ListParagraph"/>
        <w:spacing w:after="240"/>
        <w:rPr>
          <w:rFonts w:ascii="Arial" w:hAnsi="Arial" w:cs="Arial"/>
          <w:b/>
          <w:bCs/>
        </w:rPr>
      </w:pPr>
      <w:r w:rsidRPr="005D7935">
        <w:rPr>
          <w:rFonts w:ascii="Arial" w:hAnsi="Arial" w:cs="Arial"/>
          <w:b/>
          <w:bCs/>
        </w:rPr>
        <w:t>Credit review</w:t>
      </w:r>
    </w:p>
    <w:p w14:paraId="0FD94EC1" w14:textId="68DAB1A9" w:rsidR="00865810" w:rsidRPr="00B85E75" w:rsidRDefault="00865810" w:rsidP="00865810">
      <w:pPr>
        <w:pStyle w:val="ListParagraph"/>
        <w:numPr>
          <w:ilvl w:val="1"/>
          <w:numId w:val="2"/>
        </w:numPr>
        <w:spacing w:after="240"/>
        <w:ind w:left="720" w:hanging="720"/>
        <w:rPr>
          <w:rFonts w:ascii="Arial" w:hAnsi="Arial" w:cs="Arial"/>
        </w:rPr>
      </w:pPr>
      <w:r w:rsidRPr="00B85E75">
        <w:rPr>
          <w:rFonts w:ascii="Arial" w:hAnsi="Arial" w:cs="Arial"/>
        </w:rPr>
        <w:t xml:space="preserve">Having completed a review of its credit advice on unsecured deposits at UK and non-UK banks following concerns of a wider financial crisis after the collapse of Silicon Valley Bank </w:t>
      </w:r>
      <w:r w:rsidR="005050FA">
        <w:rPr>
          <w:rFonts w:ascii="Arial" w:hAnsi="Arial" w:cs="Arial"/>
        </w:rPr>
        <w:t xml:space="preserve">and the </w:t>
      </w:r>
      <w:r w:rsidRPr="00B85E75">
        <w:rPr>
          <w:rFonts w:ascii="Arial" w:hAnsi="Arial" w:cs="Arial"/>
        </w:rPr>
        <w:t>purchase of Credit Suisse by UBS, as well as other well-publicised banking sector issues, in March 2023 Arlingclose reduced the advised maximum duration limit for all banks on its recommended counterparty list to 35 days. No changes were made to the names on the list.</w:t>
      </w:r>
    </w:p>
    <w:p w14:paraId="62693E0E" w14:textId="1EAEF84A" w:rsidR="00431E02" w:rsidRPr="009C2D4B" w:rsidRDefault="00865810" w:rsidP="00865810">
      <w:pPr>
        <w:pStyle w:val="ListParagraph"/>
        <w:numPr>
          <w:ilvl w:val="1"/>
          <w:numId w:val="2"/>
        </w:numPr>
        <w:spacing w:after="240"/>
        <w:ind w:left="720" w:hanging="720"/>
        <w:rPr>
          <w:rFonts w:ascii="Arial" w:hAnsi="Arial" w:cs="Arial"/>
        </w:rPr>
      </w:pPr>
      <w:r w:rsidRPr="00B85E75">
        <w:rPr>
          <w:rFonts w:ascii="Arial" w:hAnsi="Arial" w:cs="Arial"/>
        </w:rPr>
        <w:t>Arlingclose continued to monitor and assess credit default swap levels for signs of ongoing credit stress but made no changes to the counterparty list or recommended durations over the quarter. Nevertheless, heightened market volatility is expected to remain a feature, at least in the near term and, as ever, the institutions and durations on the Council’s counterparty list recommended by Arlingclose remains under constant review</w:t>
      </w:r>
      <w:r w:rsidR="002F273A" w:rsidRPr="009C2D4B">
        <w:rPr>
          <w:rFonts w:ascii="Arial" w:hAnsi="Arial" w:cs="Arial"/>
        </w:rPr>
        <w:t>.</w:t>
      </w:r>
      <w:r w:rsidR="007D26FE" w:rsidRPr="009C2D4B" w:rsidDel="007D26FE">
        <w:rPr>
          <w:rFonts w:ascii="Arial" w:hAnsi="Arial" w:cs="Arial"/>
        </w:rPr>
        <w:t xml:space="preserve"> </w:t>
      </w:r>
    </w:p>
    <w:p w14:paraId="1CEE9B4E" w14:textId="77777777" w:rsidR="00A042BB" w:rsidRPr="00D750B2" w:rsidRDefault="00A042BB" w:rsidP="003C3808">
      <w:pPr>
        <w:keepNext/>
        <w:numPr>
          <w:ilvl w:val="0"/>
          <w:numId w:val="2"/>
        </w:numPr>
        <w:tabs>
          <w:tab w:val="num" w:pos="720"/>
        </w:tabs>
        <w:spacing w:after="240"/>
        <w:ind w:left="431" w:hanging="431"/>
        <w:outlineLvl w:val="0"/>
        <w:rPr>
          <w:rFonts w:ascii="Arial" w:hAnsi="Arial" w:cs="Arial"/>
          <w:b/>
        </w:rPr>
      </w:pPr>
      <w:r w:rsidRPr="00D750B2">
        <w:rPr>
          <w:rFonts w:ascii="Arial" w:hAnsi="Arial" w:cs="Arial"/>
          <w:b/>
        </w:rPr>
        <w:lastRenderedPageBreak/>
        <w:t>Local Context</w:t>
      </w:r>
    </w:p>
    <w:p w14:paraId="08C8C15A" w14:textId="6AA6405E" w:rsidR="009A520B" w:rsidRPr="000105AF" w:rsidRDefault="009A520B" w:rsidP="003C3808">
      <w:pPr>
        <w:pStyle w:val="ListParagraph"/>
        <w:numPr>
          <w:ilvl w:val="1"/>
          <w:numId w:val="2"/>
        </w:numPr>
        <w:spacing w:after="240"/>
        <w:ind w:left="720" w:hanging="720"/>
        <w:rPr>
          <w:rFonts w:ascii="Arial" w:hAnsi="Arial" w:cs="Arial"/>
        </w:rPr>
      </w:pPr>
      <w:proofErr w:type="gramStart"/>
      <w:r w:rsidRPr="000105AF">
        <w:rPr>
          <w:rFonts w:ascii="Arial" w:hAnsi="Arial" w:cs="Arial"/>
        </w:rPr>
        <w:t>At</w:t>
      </w:r>
      <w:proofErr w:type="gramEnd"/>
      <w:r w:rsidRPr="000105AF">
        <w:rPr>
          <w:rFonts w:ascii="Arial" w:hAnsi="Arial" w:cs="Arial"/>
        </w:rPr>
        <w:t xml:space="preserve"> 31</w:t>
      </w:r>
      <w:r w:rsidR="00EC6236" w:rsidRPr="000105AF">
        <w:rPr>
          <w:rFonts w:ascii="Arial" w:hAnsi="Arial" w:cs="Arial"/>
        </w:rPr>
        <w:t xml:space="preserve"> March </w:t>
      </w:r>
      <w:r w:rsidRPr="000105AF">
        <w:rPr>
          <w:rFonts w:ascii="Arial" w:hAnsi="Arial" w:cs="Arial"/>
        </w:rPr>
        <w:t>20</w:t>
      </w:r>
      <w:r w:rsidR="00A9602D" w:rsidRPr="000105AF">
        <w:rPr>
          <w:rFonts w:ascii="Arial" w:hAnsi="Arial" w:cs="Arial"/>
        </w:rPr>
        <w:t>2</w:t>
      </w:r>
      <w:r w:rsidR="00657716" w:rsidRPr="000105AF">
        <w:rPr>
          <w:rFonts w:ascii="Arial" w:hAnsi="Arial" w:cs="Arial"/>
        </w:rPr>
        <w:t>3</w:t>
      </w:r>
      <w:r w:rsidRPr="000105AF">
        <w:rPr>
          <w:rFonts w:ascii="Arial" w:hAnsi="Arial" w:cs="Arial"/>
        </w:rPr>
        <w:t xml:space="preserve"> t</w:t>
      </w:r>
      <w:r w:rsidR="00A042BB" w:rsidRPr="000105AF">
        <w:rPr>
          <w:rFonts w:ascii="Arial" w:hAnsi="Arial" w:cs="Arial"/>
        </w:rPr>
        <w:t xml:space="preserve">he </w:t>
      </w:r>
      <w:r w:rsidR="00564BE3" w:rsidRPr="000105AF">
        <w:rPr>
          <w:rFonts w:ascii="Arial" w:hAnsi="Arial" w:cs="Arial"/>
        </w:rPr>
        <w:t>PCC</w:t>
      </w:r>
      <w:r w:rsidR="00A042BB" w:rsidRPr="000105AF">
        <w:rPr>
          <w:rFonts w:ascii="Arial" w:hAnsi="Arial" w:cs="Arial"/>
        </w:rPr>
        <w:t xml:space="preserve">’s underlying need to borrow for capital purposes </w:t>
      </w:r>
      <w:r w:rsidR="00DD2792" w:rsidRPr="000105AF">
        <w:rPr>
          <w:rFonts w:ascii="Arial" w:hAnsi="Arial" w:cs="Arial"/>
        </w:rPr>
        <w:t>was £</w:t>
      </w:r>
      <w:r w:rsidR="00C964A6" w:rsidRPr="000105AF">
        <w:rPr>
          <w:rFonts w:ascii="Arial" w:hAnsi="Arial" w:cs="Arial"/>
        </w:rPr>
        <w:t>53.</w:t>
      </w:r>
      <w:r w:rsidR="00BF2C6C">
        <w:rPr>
          <w:rFonts w:ascii="Arial" w:hAnsi="Arial" w:cs="Arial"/>
        </w:rPr>
        <w:t>74</w:t>
      </w:r>
      <w:r w:rsidR="00DD2792" w:rsidRPr="000105AF">
        <w:rPr>
          <w:rFonts w:ascii="Arial" w:hAnsi="Arial" w:cs="Arial"/>
        </w:rPr>
        <w:t xml:space="preserve">m </w:t>
      </w:r>
      <w:r w:rsidRPr="000105AF">
        <w:rPr>
          <w:rFonts w:ascii="Arial" w:hAnsi="Arial" w:cs="Arial"/>
        </w:rPr>
        <w:t>as</w:t>
      </w:r>
      <w:r w:rsidR="00A042BB" w:rsidRPr="000105AF">
        <w:rPr>
          <w:rFonts w:ascii="Arial" w:hAnsi="Arial" w:cs="Arial"/>
        </w:rPr>
        <w:t xml:space="preserve"> measured by the Capital Financing Requirement (CFR), while </w:t>
      </w:r>
      <w:r w:rsidR="00B76A6B" w:rsidRPr="000105AF">
        <w:rPr>
          <w:rFonts w:ascii="Arial" w:hAnsi="Arial" w:cs="Arial"/>
        </w:rPr>
        <w:t>balance sheet resources</w:t>
      </w:r>
      <w:r w:rsidR="00DD2792" w:rsidRPr="000105AF">
        <w:rPr>
          <w:rFonts w:ascii="Arial" w:hAnsi="Arial" w:cs="Arial"/>
        </w:rPr>
        <w:t>,</w:t>
      </w:r>
      <w:r w:rsidR="00A042BB" w:rsidRPr="000105AF">
        <w:rPr>
          <w:rFonts w:ascii="Arial" w:hAnsi="Arial" w:cs="Arial"/>
        </w:rPr>
        <w:t xml:space="preserve"> </w:t>
      </w:r>
      <w:r w:rsidRPr="000105AF">
        <w:rPr>
          <w:rFonts w:ascii="Arial" w:hAnsi="Arial" w:cs="Arial"/>
        </w:rPr>
        <w:t xml:space="preserve">which </w:t>
      </w:r>
      <w:r w:rsidR="00A042BB" w:rsidRPr="000105AF">
        <w:rPr>
          <w:rFonts w:ascii="Arial" w:hAnsi="Arial" w:cs="Arial"/>
        </w:rPr>
        <w:t>are the underlying resources available for investment</w:t>
      </w:r>
      <w:r w:rsidR="00DD2792" w:rsidRPr="000105AF">
        <w:rPr>
          <w:rFonts w:ascii="Arial" w:hAnsi="Arial" w:cs="Arial"/>
        </w:rPr>
        <w:t>,</w:t>
      </w:r>
      <w:r w:rsidRPr="000105AF">
        <w:rPr>
          <w:rFonts w:ascii="Arial" w:hAnsi="Arial" w:cs="Arial"/>
        </w:rPr>
        <w:t xml:space="preserve"> </w:t>
      </w:r>
      <w:r w:rsidR="00F3179B" w:rsidRPr="000105AF">
        <w:rPr>
          <w:rFonts w:ascii="Arial" w:hAnsi="Arial" w:cs="Arial"/>
        </w:rPr>
        <w:t>amounted to</w:t>
      </w:r>
      <w:r w:rsidRPr="000105AF">
        <w:rPr>
          <w:rFonts w:ascii="Arial" w:hAnsi="Arial" w:cs="Arial"/>
        </w:rPr>
        <w:t xml:space="preserve"> </w:t>
      </w:r>
      <w:r w:rsidRPr="000E5EB4">
        <w:rPr>
          <w:rFonts w:ascii="Arial" w:hAnsi="Arial" w:cs="Arial"/>
        </w:rPr>
        <w:t>£</w:t>
      </w:r>
      <w:r w:rsidR="00B01C4F" w:rsidRPr="000E5EB4">
        <w:rPr>
          <w:rFonts w:ascii="Arial" w:hAnsi="Arial" w:cs="Arial"/>
        </w:rPr>
        <w:t>13</w:t>
      </w:r>
      <w:r w:rsidR="000A3405" w:rsidRPr="00003353">
        <w:rPr>
          <w:rFonts w:ascii="Arial" w:hAnsi="Arial" w:cs="Arial"/>
        </w:rPr>
        <w:t>1</w:t>
      </w:r>
      <w:r w:rsidR="00B01C4F" w:rsidRPr="000E5EB4">
        <w:rPr>
          <w:rFonts w:ascii="Arial" w:hAnsi="Arial" w:cs="Arial"/>
        </w:rPr>
        <w:t>.</w:t>
      </w:r>
      <w:r w:rsidR="000A3405" w:rsidRPr="00003353">
        <w:rPr>
          <w:rFonts w:ascii="Arial" w:hAnsi="Arial" w:cs="Arial"/>
        </w:rPr>
        <w:t>1</w:t>
      </w:r>
      <w:r w:rsidR="00657716" w:rsidRPr="000E5EB4">
        <w:rPr>
          <w:rFonts w:ascii="Arial" w:hAnsi="Arial" w:cs="Arial"/>
        </w:rPr>
        <w:t>m</w:t>
      </w:r>
      <w:r w:rsidR="007E37AA" w:rsidRPr="000E5EB4">
        <w:rPr>
          <w:rFonts w:ascii="Arial" w:hAnsi="Arial" w:cs="Arial"/>
        </w:rPr>
        <w:t xml:space="preserve"> (</w:t>
      </w:r>
      <w:r w:rsidR="001777CE" w:rsidRPr="000E5EB4">
        <w:rPr>
          <w:rFonts w:ascii="Arial" w:hAnsi="Arial" w:cs="Arial"/>
        </w:rPr>
        <w:t>usable reserves £146.29m less working capital £15.</w:t>
      </w:r>
      <w:r w:rsidR="000E5EB4" w:rsidRPr="00003353">
        <w:rPr>
          <w:rFonts w:ascii="Arial" w:hAnsi="Arial" w:cs="Arial"/>
        </w:rPr>
        <w:t>19</w:t>
      </w:r>
      <w:r w:rsidR="001777CE" w:rsidRPr="000E5EB4">
        <w:rPr>
          <w:rFonts w:ascii="Arial" w:hAnsi="Arial" w:cs="Arial"/>
        </w:rPr>
        <w:t>m)</w:t>
      </w:r>
      <w:r w:rsidR="00B01C4F" w:rsidRPr="000E5EB4">
        <w:rPr>
          <w:rFonts w:ascii="Arial" w:hAnsi="Arial" w:cs="Arial"/>
        </w:rPr>
        <w:t>.</w:t>
      </w:r>
      <w:r w:rsidR="000105AF" w:rsidRPr="000105AF">
        <w:rPr>
          <w:rFonts w:ascii="Arial" w:hAnsi="Arial" w:cs="Arial"/>
        </w:rPr>
        <w:t xml:space="preserve"> </w:t>
      </w:r>
      <w:r w:rsidR="00EC6236" w:rsidRPr="000105AF">
        <w:rPr>
          <w:rFonts w:ascii="Arial" w:hAnsi="Arial" w:cs="Arial"/>
        </w:rPr>
        <w:t>These factors are summarised in Table 1.</w:t>
      </w:r>
    </w:p>
    <w:tbl>
      <w:tblPr>
        <w:tblW w:w="7257" w:type="dxa"/>
        <w:jc w:val="center"/>
        <w:tblLayout w:type="fixed"/>
        <w:tblLook w:val="04A0" w:firstRow="1" w:lastRow="0" w:firstColumn="1" w:lastColumn="0" w:noHBand="0" w:noVBand="1"/>
      </w:tblPr>
      <w:tblGrid>
        <w:gridCol w:w="4707"/>
        <w:gridCol w:w="1275"/>
        <w:gridCol w:w="1275"/>
      </w:tblGrid>
      <w:tr w:rsidR="003F6E5F" w:rsidRPr="00D750B2" w14:paraId="10551DDA" w14:textId="77777777" w:rsidTr="003F6E5F">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tcPr>
          <w:p w14:paraId="6F1000FF" w14:textId="25531B18" w:rsidR="003F6E5F" w:rsidRPr="00D750B2" w:rsidRDefault="003F6E5F" w:rsidP="003F6E5F">
            <w:pPr>
              <w:pStyle w:val="ListParagraph"/>
              <w:keepNext/>
              <w:ind w:left="0"/>
              <w:rPr>
                <w:rFonts w:ascii="Arial" w:hAnsi="Arial" w:cs="Arial"/>
                <w:b/>
                <w:bCs/>
              </w:rPr>
            </w:pPr>
            <w:r w:rsidRPr="00D750B2">
              <w:rPr>
                <w:rFonts w:ascii="Arial" w:hAnsi="Arial" w:cs="Arial"/>
                <w:b/>
                <w:bCs/>
              </w:rPr>
              <w:t>Table 1:  Balance sheet summary</w:t>
            </w:r>
          </w:p>
        </w:tc>
        <w:tc>
          <w:tcPr>
            <w:tcW w:w="1275" w:type="dxa"/>
            <w:tcBorders>
              <w:top w:val="single" w:sz="4" w:space="0" w:color="auto"/>
              <w:left w:val="single" w:sz="4" w:space="0" w:color="auto"/>
              <w:bottom w:val="single" w:sz="4" w:space="0" w:color="auto"/>
              <w:right w:val="single" w:sz="4" w:space="0" w:color="auto"/>
            </w:tcBorders>
            <w:vAlign w:val="bottom"/>
          </w:tcPr>
          <w:p w14:paraId="45ECF97F" w14:textId="10EBD92E" w:rsidR="003F6E5F" w:rsidRPr="00D750B2" w:rsidRDefault="003F6E5F" w:rsidP="003F6E5F">
            <w:pPr>
              <w:pStyle w:val="ListParagraph"/>
              <w:keepNext/>
              <w:ind w:left="0"/>
              <w:jc w:val="right"/>
              <w:rPr>
                <w:rFonts w:ascii="Arial" w:hAnsi="Arial" w:cs="Arial"/>
                <w:b/>
                <w:bCs/>
              </w:rPr>
            </w:pPr>
            <w:r w:rsidRPr="0067079C">
              <w:rPr>
                <w:rFonts w:ascii="Arial" w:hAnsi="Arial" w:cs="Arial"/>
                <w:b/>
                <w:bCs/>
              </w:rPr>
              <w:t>31/03/2</w:t>
            </w:r>
            <w:r>
              <w:rPr>
                <w:rFonts w:ascii="Arial" w:hAnsi="Arial" w:cs="Arial"/>
                <w:b/>
                <w:bCs/>
              </w:rPr>
              <w:t>3</w:t>
            </w:r>
            <w:r w:rsidRPr="0067079C">
              <w:rPr>
                <w:rFonts w:ascii="Arial" w:hAnsi="Arial" w:cs="Arial"/>
                <w:b/>
                <w:bCs/>
              </w:rPr>
              <w:br/>
              <w:t>Balance</w:t>
            </w:r>
            <w:r w:rsidRPr="0067079C">
              <w:rPr>
                <w:rFonts w:ascii="Arial" w:hAnsi="Arial" w:cs="Arial"/>
                <w:b/>
                <w:bCs/>
              </w:rPr>
              <w:br/>
              <w:t>£m</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4C089F5" w14:textId="7F544AC7" w:rsidR="003F6E5F" w:rsidRPr="00D750B2" w:rsidRDefault="003F6E5F" w:rsidP="003F6E5F">
            <w:pPr>
              <w:pStyle w:val="ListParagraph"/>
              <w:keepNext/>
              <w:ind w:left="0"/>
              <w:jc w:val="right"/>
              <w:rPr>
                <w:rFonts w:ascii="Arial" w:hAnsi="Arial" w:cs="Arial"/>
                <w:b/>
                <w:bCs/>
              </w:rPr>
            </w:pPr>
            <w:r w:rsidRPr="00D750B2">
              <w:rPr>
                <w:rFonts w:ascii="Arial" w:hAnsi="Arial" w:cs="Arial"/>
                <w:b/>
                <w:bCs/>
              </w:rPr>
              <w:t>31/03/2</w:t>
            </w:r>
            <w:r>
              <w:rPr>
                <w:rFonts w:ascii="Arial" w:hAnsi="Arial" w:cs="Arial"/>
                <w:b/>
                <w:bCs/>
              </w:rPr>
              <w:t>4</w:t>
            </w:r>
            <w:r w:rsidRPr="00D750B2">
              <w:rPr>
                <w:rFonts w:ascii="Arial" w:hAnsi="Arial" w:cs="Arial"/>
                <w:b/>
                <w:bCs/>
              </w:rPr>
              <w:br/>
            </w:r>
            <w:r>
              <w:rPr>
                <w:rFonts w:ascii="Arial" w:hAnsi="Arial" w:cs="Arial"/>
                <w:b/>
                <w:bCs/>
              </w:rPr>
              <w:t>Forecast</w:t>
            </w:r>
            <w:r w:rsidRPr="00D750B2">
              <w:rPr>
                <w:rFonts w:ascii="Arial" w:hAnsi="Arial" w:cs="Arial"/>
                <w:b/>
                <w:bCs/>
              </w:rPr>
              <w:br/>
              <w:t>£m</w:t>
            </w:r>
          </w:p>
        </w:tc>
      </w:tr>
      <w:tr w:rsidR="00E676AD" w:rsidRPr="00D750B2" w14:paraId="2EC00FE1" w14:textId="77777777" w:rsidTr="003F6E5F">
        <w:trPr>
          <w:trHeight w:val="73"/>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568006D7" w14:textId="47AD5BC4" w:rsidR="00E676AD" w:rsidRPr="00D750B2" w:rsidRDefault="00E676AD" w:rsidP="00E676AD">
            <w:pPr>
              <w:pStyle w:val="ListParagraph"/>
              <w:keepNext/>
              <w:ind w:left="0"/>
              <w:rPr>
                <w:rFonts w:ascii="Arial" w:hAnsi="Arial" w:cs="Arial"/>
              </w:rPr>
            </w:pPr>
            <w:r>
              <w:rPr>
                <w:rFonts w:ascii="Arial" w:hAnsi="Arial" w:cs="Arial"/>
              </w:rPr>
              <w:t>Total CFR</w:t>
            </w:r>
          </w:p>
        </w:tc>
        <w:tc>
          <w:tcPr>
            <w:tcW w:w="1275" w:type="dxa"/>
            <w:tcBorders>
              <w:top w:val="single" w:sz="4" w:space="0" w:color="auto"/>
              <w:left w:val="single" w:sz="4" w:space="0" w:color="auto"/>
              <w:bottom w:val="single" w:sz="4" w:space="0" w:color="auto"/>
              <w:right w:val="single" w:sz="4" w:space="0" w:color="auto"/>
            </w:tcBorders>
            <w:vAlign w:val="center"/>
          </w:tcPr>
          <w:p w14:paraId="08935740" w14:textId="142E82DD" w:rsidR="00E676AD" w:rsidRDefault="00E676AD" w:rsidP="00E676AD">
            <w:pPr>
              <w:pStyle w:val="ListParagraph"/>
              <w:keepNext/>
              <w:ind w:left="0"/>
              <w:jc w:val="right"/>
              <w:rPr>
                <w:rFonts w:ascii="Arial" w:hAnsi="Arial" w:cs="Arial"/>
              </w:rPr>
            </w:pPr>
            <w:r>
              <w:rPr>
                <w:rFonts w:ascii="Arial" w:hAnsi="Arial" w:cs="Arial"/>
              </w:rPr>
              <w:t>53.74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86F05E" w14:textId="36748947" w:rsidR="00E676AD" w:rsidRPr="00003353" w:rsidDel="00D43395" w:rsidRDefault="00E676AD" w:rsidP="00E676AD">
            <w:pPr>
              <w:pStyle w:val="ListParagraph"/>
              <w:keepNext/>
              <w:ind w:left="0"/>
              <w:jc w:val="right"/>
              <w:rPr>
                <w:rFonts w:ascii="Arial" w:hAnsi="Arial" w:cs="Arial"/>
              </w:rPr>
            </w:pPr>
            <w:r w:rsidRPr="00003353">
              <w:rPr>
                <w:rFonts w:ascii="Arial" w:hAnsi="Arial" w:cs="Arial"/>
              </w:rPr>
              <w:t>51.18</w:t>
            </w:r>
          </w:p>
        </w:tc>
      </w:tr>
      <w:tr w:rsidR="00E676AD" w:rsidRPr="00D750B2" w14:paraId="6C00DE81" w14:textId="77777777" w:rsidTr="003F6E5F">
        <w:trPr>
          <w:trHeight w:val="73"/>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0A1DE77" w14:textId="694B9E49" w:rsidR="00E676AD" w:rsidRPr="00D750B2" w:rsidRDefault="00E676AD" w:rsidP="00E676AD">
            <w:pPr>
              <w:pStyle w:val="ListParagraph"/>
              <w:keepNext/>
              <w:ind w:left="0"/>
              <w:rPr>
                <w:rFonts w:ascii="Arial" w:hAnsi="Arial" w:cs="Arial"/>
              </w:rPr>
            </w:pPr>
            <w:r>
              <w:rPr>
                <w:rFonts w:ascii="Arial" w:hAnsi="Arial" w:cs="Arial"/>
              </w:rPr>
              <w:t>Less: finance leases</w:t>
            </w:r>
          </w:p>
        </w:tc>
        <w:tc>
          <w:tcPr>
            <w:tcW w:w="1275" w:type="dxa"/>
            <w:tcBorders>
              <w:top w:val="single" w:sz="4" w:space="0" w:color="auto"/>
              <w:left w:val="single" w:sz="4" w:space="0" w:color="auto"/>
              <w:bottom w:val="single" w:sz="4" w:space="0" w:color="auto"/>
              <w:right w:val="single" w:sz="4" w:space="0" w:color="auto"/>
            </w:tcBorders>
            <w:vAlign w:val="center"/>
          </w:tcPr>
          <w:p w14:paraId="4CE05777" w14:textId="718C8AC3" w:rsidR="00E676AD" w:rsidRDefault="00E676AD" w:rsidP="00E676AD">
            <w:pPr>
              <w:pStyle w:val="ListParagraph"/>
              <w:keepNext/>
              <w:ind w:left="0"/>
              <w:jc w:val="right"/>
              <w:rPr>
                <w:rFonts w:ascii="Arial" w:hAnsi="Arial" w:cs="Arial"/>
              </w:rPr>
            </w:pPr>
            <w:r>
              <w:rPr>
                <w:rFonts w:ascii="Arial" w:hAnsi="Arial" w:cs="Arial"/>
              </w:rPr>
              <w:t>(2.04)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5886112" w14:textId="1A74E502" w:rsidR="00E676AD" w:rsidRPr="00003353" w:rsidDel="00D43395" w:rsidRDefault="00E676AD" w:rsidP="00E676AD">
            <w:pPr>
              <w:pStyle w:val="ListParagraph"/>
              <w:keepNext/>
              <w:ind w:left="0"/>
              <w:jc w:val="right"/>
              <w:rPr>
                <w:rFonts w:ascii="Arial" w:hAnsi="Arial" w:cs="Arial"/>
              </w:rPr>
            </w:pPr>
            <w:r w:rsidRPr="00003353">
              <w:rPr>
                <w:rFonts w:ascii="Arial" w:hAnsi="Arial" w:cs="Arial"/>
              </w:rPr>
              <w:t>(1.14)</w:t>
            </w:r>
          </w:p>
        </w:tc>
      </w:tr>
      <w:tr w:rsidR="003F6E5F" w:rsidRPr="00D750B2" w14:paraId="7F3563D0" w14:textId="77777777" w:rsidTr="003F6E5F">
        <w:trPr>
          <w:trHeight w:val="73"/>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2C66DCF5" w14:textId="734A179B" w:rsidR="003F6E5F" w:rsidRPr="00003353" w:rsidRDefault="00E676AD" w:rsidP="003F6E5F">
            <w:pPr>
              <w:pStyle w:val="ListParagraph"/>
              <w:keepNext/>
              <w:ind w:left="0"/>
              <w:rPr>
                <w:rFonts w:ascii="Arial" w:hAnsi="Arial" w:cs="Arial"/>
                <w:b/>
              </w:rPr>
            </w:pPr>
            <w:r w:rsidRPr="00003353">
              <w:rPr>
                <w:rFonts w:ascii="Arial" w:hAnsi="Arial" w:cs="Arial"/>
                <w:b/>
              </w:rPr>
              <w:t xml:space="preserve">Loan </w:t>
            </w:r>
            <w:r w:rsidR="003F6E5F" w:rsidRPr="00003353">
              <w:rPr>
                <w:rFonts w:ascii="Arial" w:hAnsi="Arial" w:cs="Arial"/>
                <w:b/>
              </w:rPr>
              <w:t>CFR</w:t>
            </w:r>
          </w:p>
        </w:tc>
        <w:tc>
          <w:tcPr>
            <w:tcW w:w="1275" w:type="dxa"/>
            <w:tcBorders>
              <w:top w:val="single" w:sz="4" w:space="0" w:color="auto"/>
              <w:left w:val="single" w:sz="4" w:space="0" w:color="auto"/>
              <w:bottom w:val="single" w:sz="4" w:space="0" w:color="auto"/>
              <w:right w:val="single" w:sz="4" w:space="0" w:color="auto"/>
            </w:tcBorders>
            <w:vAlign w:val="center"/>
          </w:tcPr>
          <w:p w14:paraId="672C1AED" w14:textId="2972413F" w:rsidR="003F6E5F" w:rsidRPr="00003353" w:rsidRDefault="00E676AD" w:rsidP="003F6E5F">
            <w:pPr>
              <w:pStyle w:val="ListParagraph"/>
              <w:keepNext/>
              <w:ind w:left="0"/>
              <w:jc w:val="right"/>
              <w:rPr>
                <w:rFonts w:ascii="Arial" w:hAnsi="Arial" w:cs="Arial"/>
                <w:b/>
              </w:rPr>
            </w:pPr>
            <w:r w:rsidRPr="0088314B">
              <w:rPr>
                <w:rFonts w:ascii="Arial" w:hAnsi="Arial" w:cs="Arial"/>
                <w:b/>
                <w:bCs/>
              </w:rPr>
              <w:t>5</w:t>
            </w:r>
            <w:r>
              <w:rPr>
                <w:rFonts w:ascii="Arial" w:hAnsi="Arial" w:cs="Arial"/>
                <w:b/>
                <w:bCs/>
              </w:rPr>
              <w:t>1</w:t>
            </w:r>
            <w:r w:rsidRPr="0088314B">
              <w:rPr>
                <w:rFonts w:ascii="Arial" w:hAnsi="Arial" w:cs="Arial"/>
                <w:b/>
                <w:bCs/>
              </w:rPr>
              <w:t>.</w:t>
            </w:r>
            <w:r>
              <w:rPr>
                <w:rFonts w:ascii="Arial" w:hAnsi="Arial" w:cs="Arial"/>
                <w:b/>
                <w:bCs/>
              </w:rPr>
              <w:t>70</w:t>
            </w:r>
            <w:r w:rsidRPr="0088314B">
              <w:rPr>
                <w:rFonts w:ascii="Arial" w:hAnsi="Arial" w:cs="Arial"/>
                <w:b/>
                <w:bC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1937735" w14:textId="6A734C7B" w:rsidR="003F6E5F" w:rsidRPr="00003353" w:rsidRDefault="00E676AD" w:rsidP="003F6E5F">
            <w:pPr>
              <w:pStyle w:val="ListParagraph"/>
              <w:keepNext/>
              <w:ind w:left="0"/>
              <w:jc w:val="right"/>
              <w:rPr>
                <w:rFonts w:ascii="Arial" w:hAnsi="Arial" w:cs="Arial"/>
                <w:b/>
              </w:rPr>
            </w:pPr>
            <w:r>
              <w:rPr>
                <w:rFonts w:ascii="Arial" w:hAnsi="Arial" w:cs="Arial"/>
                <w:b/>
                <w:bCs/>
              </w:rPr>
              <w:t>50.04</w:t>
            </w:r>
            <w:r w:rsidRPr="0088314B">
              <w:rPr>
                <w:rFonts w:ascii="Arial" w:hAnsi="Arial" w:cs="Arial"/>
                <w:b/>
                <w:bCs/>
              </w:rPr>
              <w:t xml:space="preserve"> </w:t>
            </w:r>
          </w:p>
        </w:tc>
      </w:tr>
      <w:tr w:rsidR="003F6E5F" w:rsidRPr="00D750B2" w14:paraId="34A6585D" w14:textId="77777777" w:rsidTr="003F6E5F">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E432BD5" w14:textId="0A0081B5" w:rsidR="003F6E5F" w:rsidRPr="00DD17E9" w:rsidRDefault="003F6E5F" w:rsidP="003F6E5F">
            <w:pPr>
              <w:pStyle w:val="ListParagraph"/>
              <w:keepNext/>
              <w:ind w:left="0"/>
              <w:rPr>
                <w:rFonts w:ascii="Arial" w:hAnsi="Arial" w:cs="Arial"/>
                <w:b/>
              </w:rPr>
            </w:pPr>
            <w:r w:rsidRPr="00DD17E9">
              <w:rPr>
                <w:rFonts w:ascii="Arial" w:hAnsi="Arial" w:cs="Arial"/>
                <w:b/>
              </w:rPr>
              <w:t>External borrowing</w:t>
            </w:r>
          </w:p>
        </w:tc>
        <w:tc>
          <w:tcPr>
            <w:tcW w:w="1275" w:type="dxa"/>
            <w:tcBorders>
              <w:top w:val="single" w:sz="4" w:space="0" w:color="auto"/>
              <w:left w:val="single" w:sz="4" w:space="0" w:color="auto"/>
              <w:bottom w:val="single" w:sz="4" w:space="0" w:color="auto"/>
              <w:right w:val="single" w:sz="4" w:space="0" w:color="auto"/>
            </w:tcBorders>
            <w:vAlign w:val="center"/>
          </w:tcPr>
          <w:p w14:paraId="3F8C44E9" w14:textId="28F0DE70" w:rsidR="003F6E5F" w:rsidRDefault="003F6E5F" w:rsidP="003F6E5F">
            <w:pPr>
              <w:pStyle w:val="ListParagraph"/>
              <w:keepNext/>
              <w:ind w:left="0"/>
              <w:jc w:val="right"/>
              <w:rPr>
                <w:rFonts w:ascii="Arial" w:hAnsi="Arial" w:cs="Arial"/>
              </w:rPr>
            </w:pPr>
            <w:r>
              <w:rPr>
                <w:rFonts w:ascii="Arial" w:hAnsi="Arial" w:cs="Arial"/>
              </w:rPr>
              <w:t>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87C3670" w14:textId="75F7D3FB" w:rsidR="003F6E5F" w:rsidRPr="00D750B2" w:rsidRDefault="003F6E5F" w:rsidP="003F6E5F">
            <w:pPr>
              <w:pStyle w:val="ListParagraph"/>
              <w:keepNext/>
              <w:ind w:left="0"/>
              <w:jc w:val="right"/>
              <w:rPr>
                <w:rFonts w:ascii="Arial" w:hAnsi="Arial" w:cs="Arial"/>
              </w:rPr>
            </w:pPr>
            <w:r>
              <w:rPr>
                <w:rFonts w:ascii="Arial" w:hAnsi="Arial" w:cs="Arial"/>
              </w:rPr>
              <w:t> </w:t>
            </w:r>
          </w:p>
        </w:tc>
      </w:tr>
      <w:tr w:rsidR="003F6E5F" w:rsidRPr="00D750B2" w14:paraId="120FB942" w14:textId="77777777" w:rsidTr="003F6E5F">
        <w:trPr>
          <w:trHeight w:val="355"/>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51832E1C" w14:textId="11BD60CB" w:rsidR="003F6E5F" w:rsidRPr="00D750B2" w:rsidRDefault="003F6E5F" w:rsidP="003F6E5F">
            <w:pPr>
              <w:pStyle w:val="ListParagraph"/>
              <w:keepNext/>
              <w:ind w:left="0"/>
              <w:rPr>
                <w:rFonts w:ascii="Arial" w:hAnsi="Arial" w:cs="Arial"/>
              </w:rPr>
            </w:pPr>
            <w:r w:rsidRPr="00D750B2">
              <w:rPr>
                <w:rFonts w:ascii="Arial" w:hAnsi="Arial" w:cs="Arial"/>
              </w:rPr>
              <w:t>Public Works Loan Board</w:t>
            </w:r>
          </w:p>
        </w:tc>
        <w:tc>
          <w:tcPr>
            <w:tcW w:w="1275" w:type="dxa"/>
            <w:tcBorders>
              <w:top w:val="single" w:sz="4" w:space="0" w:color="auto"/>
              <w:left w:val="single" w:sz="4" w:space="0" w:color="auto"/>
              <w:bottom w:val="single" w:sz="4" w:space="0" w:color="auto"/>
              <w:right w:val="single" w:sz="4" w:space="0" w:color="auto"/>
            </w:tcBorders>
            <w:vAlign w:val="center"/>
          </w:tcPr>
          <w:p w14:paraId="2C3A9384" w14:textId="6449F0F5" w:rsidR="003F6E5F" w:rsidRPr="00D750B2" w:rsidRDefault="003F6E5F" w:rsidP="003F6E5F">
            <w:pPr>
              <w:pStyle w:val="ListParagraph"/>
              <w:keepNext/>
              <w:ind w:left="0"/>
              <w:jc w:val="right"/>
              <w:rPr>
                <w:rFonts w:ascii="Arial" w:hAnsi="Arial" w:cs="Arial"/>
              </w:rPr>
            </w:pPr>
            <w:r>
              <w:rPr>
                <w:rFonts w:ascii="Arial" w:hAnsi="Arial" w:cs="Arial"/>
              </w:rPr>
              <w:t>(29.7</w:t>
            </w:r>
            <w:r w:rsidR="00541F22">
              <w:rPr>
                <w:rFonts w:ascii="Arial" w:hAnsi="Arial" w:cs="Arial"/>
              </w:rPr>
              <w:t>0</w:t>
            </w:r>
            <w:r>
              <w:rPr>
                <w:rFonts w:ascii="Arial" w:hAnsi="Arial" w:cs="Arial"/>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D3349AF" w14:textId="60F6C768" w:rsidR="003F6E5F" w:rsidRPr="00D750B2" w:rsidRDefault="003F6E5F" w:rsidP="003F6E5F">
            <w:pPr>
              <w:pStyle w:val="ListParagraph"/>
              <w:keepNext/>
              <w:ind w:left="0"/>
              <w:jc w:val="right"/>
              <w:rPr>
                <w:rFonts w:ascii="Arial" w:hAnsi="Arial" w:cs="Arial"/>
              </w:rPr>
            </w:pPr>
            <w:r w:rsidRPr="00D750B2">
              <w:rPr>
                <w:rFonts w:ascii="Arial" w:hAnsi="Arial" w:cs="Arial"/>
              </w:rPr>
              <w:t>(</w:t>
            </w:r>
            <w:r w:rsidR="005B0382">
              <w:rPr>
                <w:rFonts w:ascii="Arial" w:hAnsi="Arial" w:cs="Arial"/>
              </w:rPr>
              <w:t>1</w:t>
            </w:r>
            <w:r w:rsidR="005B0382" w:rsidRPr="00D750B2">
              <w:rPr>
                <w:rFonts w:ascii="Arial" w:hAnsi="Arial" w:cs="Arial"/>
              </w:rPr>
              <w:t>9</w:t>
            </w:r>
            <w:r w:rsidRPr="00D750B2">
              <w:rPr>
                <w:rFonts w:ascii="Arial" w:hAnsi="Arial" w:cs="Arial"/>
              </w:rPr>
              <w:t>.</w:t>
            </w:r>
            <w:r w:rsidR="0077627D">
              <w:rPr>
                <w:rFonts w:ascii="Arial" w:hAnsi="Arial" w:cs="Arial"/>
              </w:rPr>
              <w:t>35</w:t>
            </w:r>
            <w:r w:rsidR="00034A31">
              <w:rPr>
                <w:rFonts w:ascii="Arial" w:hAnsi="Arial" w:cs="Arial"/>
              </w:rPr>
              <w:t>)</w:t>
            </w:r>
            <w:r>
              <w:rPr>
                <w:rFonts w:ascii="Arial" w:hAnsi="Arial" w:cs="Arial"/>
              </w:rPr>
              <w:t xml:space="preserve"> </w:t>
            </w:r>
          </w:p>
        </w:tc>
      </w:tr>
      <w:tr w:rsidR="003F6E5F" w:rsidRPr="00D750B2" w14:paraId="395A288C" w14:textId="77777777" w:rsidTr="003F6E5F">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79C78EC1" w14:textId="08111412" w:rsidR="003F6E5F" w:rsidRPr="00D750B2" w:rsidRDefault="003F6E5F" w:rsidP="003F6E5F">
            <w:pPr>
              <w:pStyle w:val="ListParagraph"/>
              <w:keepNext/>
              <w:ind w:left="0"/>
              <w:rPr>
                <w:rFonts w:ascii="Arial" w:hAnsi="Arial" w:cs="Arial"/>
                <w:b/>
                <w:bCs/>
              </w:rPr>
            </w:pPr>
            <w:r w:rsidRPr="00D750B2">
              <w:rPr>
                <w:rFonts w:ascii="Arial" w:hAnsi="Arial" w:cs="Arial"/>
                <w:b/>
                <w:bCs/>
              </w:rPr>
              <w:t>Internal borrowing</w:t>
            </w:r>
          </w:p>
        </w:tc>
        <w:tc>
          <w:tcPr>
            <w:tcW w:w="1275" w:type="dxa"/>
            <w:tcBorders>
              <w:top w:val="single" w:sz="4" w:space="0" w:color="auto"/>
              <w:left w:val="single" w:sz="4" w:space="0" w:color="auto"/>
              <w:bottom w:val="single" w:sz="4" w:space="0" w:color="auto"/>
              <w:right w:val="single" w:sz="4" w:space="0" w:color="auto"/>
            </w:tcBorders>
            <w:vAlign w:val="center"/>
          </w:tcPr>
          <w:p w14:paraId="35EC3766" w14:textId="413291EF" w:rsidR="003F6E5F" w:rsidRPr="0067079C" w:rsidRDefault="003F6E5F" w:rsidP="003F6E5F">
            <w:pPr>
              <w:pStyle w:val="ListParagraph"/>
              <w:keepNext/>
              <w:ind w:left="0"/>
              <w:jc w:val="right"/>
              <w:rPr>
                <w:rFonts w:ascii="Arial" w:hAnsi="Arial" w:cs="Arial"/>
                <w:b/>
                <w:bCs/>
              </w:rPr>
            </w:pPr>
            <w:r w:rsidRPr="00FF3F58">
              <w:rPr>
                <w:rFonts w:ascii="Arial" w:hAnsi="Arial" w:cs="Arial"/>
                <w:b/>
                <w:bCs/>
              </w:rPr>
              <w:t>2</w:t>
            </w:r>
            <w:r w:rsidR="007471F9">
              <w:rPr>
                <w:rFonts w:ascii="Arial" w:hAnsi="Arial" w:cs="Arial"/>
                <w:b/>
                <w:bCs/>
              </w:rPr>
              <w:t>2.00</w:t>
            </w:r>
            <w:r w:rsidRPr="00FF3F58">
              <w:rPr>
                <w:rFonts w:ascii="Arial" w:hAnsi="Arial" w:cs="Arial"/>
                <w:b/>
                <w:bC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0BE9D2D" w14:textId="44FA4F87" w:rsidR="003F6E5F" w:rsidRPr="00D750B2" w:rsidRDefault="00355487" w:rsidP="003F6E5F">
            <w:pPr>
              <w:pStyle w:val="ListParagraph"/>
              <w:keepNext/>
              <w:ind w:left="0"/>
              <w:jc w:val="right"/>
              <w:rPr>
                <w:rFonts w:ascii="Arial" w:hAnsi="Arial" w:cs="Arial"/>
                <w:b/>
                <w:bCs/>
              </w:rPr>
            </w:pPr>
            <w:r>
              <w:rPr>
                <w:rFonts w:ascii="Arial" w:hAnsi="Arial" w:cs="Arial"/>
                <w:b/>
                <w:bCs/>
              </w:rPr>
              <w:t>30</w:t>
            </w:r>
            <w:r w:rsidR="00034A31" w:rsidRPr="005B0382">
              <w:rPr>
                <w:rFonts w:ascii="Arial" w:hAnsi="Arial" w:cs="Arial"/>
                <w:b/>
              </w:rPr>
              <w:t>.</w:t>
            </w:r>
            <w:r>
              <w:rPr>
                <w:rFonts w:ascii="Arial" w:hAnsi="Arial" w:cs="Arial"/>
                <w:b/>
                <w:bCs/>
              </w:rPr>
              <w:t>69</w:t>
            </w:r>
            <w:r w:rsidR="00D532BA" w:rsidRPr="005B0382">
              <w:rPr>
                <w:rFonts w:ascii="Arial" w:hAnsi="Arial" w:cs="Arial"/>
                <w:b/>
                <w:bCs/>
              </w:rPr>
              <w:t xml:space="preserve"> </w:t>
            </w:r>
          </w:p>
        </w:tc>
      </w:tr>
      <w:tr w:rsidR="003F6E5F" w:rsidRPr="00B9643F" w14:paraId="66B180C9" w14:textId="77777777" w:rsidTr="003F6E5F">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3AE891FA" w14:textId="04D4DA42" w:rsidR="003F6E5F" w:rsidRPr="00B9643F" w:rsidRDefault="003F6E5F" w:rsidP="003F6E5F">
            <w:pPr>
              <w:pStyle w:val="ListParagraph"/>
              <w:keepNext/>
              <w:ind w:left="0"/>
              <w:rPr>
                <w:rFonts w:ascii="Arial" w:hAnsi="Arial" w:cs="Arial"/>
              </w:rPr>
            </w:pPr>
            <w:r>
              <w:rPr>
                <w:rFonts w:ascii="Arial" w:hAnsi="Arial" w:cs="Arial"/>
              </w:rPr>
              <w:t xml:space="preserve">Less: </w:t>
            </w:r>
            <w:r w:rsidR="00034A31">
              <w:rPr>
                <w:rFonts w:ascii="Arial" w:hAnsi="Arial" w:cs="Arial"/>
              </w:rPr>
              <w:t>Balance sheet resources</w:t>
            </w:r>
          </w:p>
        </w:tc>
        <w:tc>
          <w:tcPr>
            <w:tcW w:w="1275" w:type="dxa"/>
            <w:tcBorders>
              <w:top w:val="single" w:sz="4" w:space="0" w:color="auto"/>
              <w:left w:val="single" w:sz="4" w:space="0" w:color="auto"/>
              <w:bottom w:val="single" w:sz="4" w:space="0" w:color="auto"/>
              <w:right w:val="single" w:sz="4" w:space="0" w:color="auto"/>
            </w:tcBorders>
            <w:vAlign w:val="center"/>
          </w:tcPr>
          <w:p w14:paraId="2DF36F5C" w14:textId="46AF67A2" w:rsidR="003F6E5F" w:rsidRDefault="003F6E5F" w:rsidP="003F6E5F">
            <w:pPr>
              <w:pStyle w:val="ListParagraph"/>
              <w:keepNext/>
              <w:ind w:left="0"/>
              <w:jc w:val="right"/>
              <w:rPr>
                <w:rFonts w:ascii="Arial" w:hAnsi="Arial" w:cs="Arial"/>
              </w:rPr>
            </w:pPr>
            <w:r>
              <w:rPr>
                <w:rFonts w:ascii="Arial" w:hAnsi="Arial" w:cs="Arial"/>
              </w:rPr>
              <w:t>(1</w:t>
            </w:r>
            <w:r w:rsidR="006A46FF">
              <w:rPr>
                <w:rFonts w:ascii="Arial" w:hAnsi="Arial" w:cs="Arial"/>
              </w:rPr>
              <w:t>3</w:t>
            </w:r>
            <w:r w:rsidR="00F237F4">
              <w:rPr>
                <w:rFonts w:ascii="Arial" w:hAnsi="Arial" w:cs="Arial"/>
              </w:rPr>
              <w:t>1</w:t>
            </w:r>
            <w:r w:rsidR="006A46FF">
              <w:rPr>
                <w:rFonts w:ascii="Arial" w:hAnsi="Arial" w:cs="Arial"/>
              </w:rPr>
              <w:t>.</w:t>
            </w:r>
            <w:r w:rsidR="000A3405">
              <w:rPr>
                <w:rFonts w:ascii="Arial" w:hAnsi="Arial" w:cs="Arial"/>
              </w:rPr>
              <w:t>1</w:t>
            </w:r>
            <w:r w:rsidR="007471F9">
              <w:rPr>
                <w:rFonts w:ascii="Arial" w:hAnsi="Arial" w:cs="Arial"/>
              </w:rPr>
              <w:t>0</w:t>
            </w:r>
            <w:r>
              <w:rPr>
                <w:rFonts w:ascii="Arial" w:hAnsi="Arial" w:cs="Arial"/>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3F6241" w14:textId="52AB1106" w:rsidR="003F6E5F" w:rsidRPr="00B9643F" w:rsidRDefault="003F6E5F" w:rsidP="003F6E5F">
            <w:pPr>
              <w:pStyle w:val="ListParagraph"/>
              <w:keepNext/>
              <w:ind w:left="0"/>
              <w:jc w:val="right"/>
              <w:rPr>
                <w:rFonts w:ascii="Arial" w:hAnsi="Arial" w:cs="Arial"/>
              </w:rPr>
            </w:pPr>
            <w:r>
              <w:rPr>
                <w:rFonts w:ascii="Arial" w:hAnsi="Arial" w:cs="Arial"/>
              </w:rPr>
              <w:t>(</w:t>
            </w:r>
            <w:r w:rsidR="00E102C9" w:rsidDel="00583CC1">
              <w:rPr>
                <w:rFonts w:ascii="Arial" w:hAnsi="Arial" w:cs="Arial"/>
              </w:rPr>
              <w:t>130</w:t>
            </w:r>
            <w:r>
              <w:rPr>
                <w:rFonts w:ascii="Arial" w:hAnsi="Arial" w:cs="Arial"/>
              </w:rPr>
              <w:t>.</w:t>
            </w:r>
            <w:r w:rsidR="006A46FF">
              <w:rPr>
                <w:rFonts w:ascii="Arial" w:hAnsi="Arial" w:cs="Arial"/>
              </w:rPr>
              <w:t>4</w:t>
            </w:r>
            <w:r w:rsidR="00702B4F">
              <w:rPr>
                <w:rFonts w:ascii="Arial" w:hAnsi="Arial" w:cs="Arial"/>
              </w:rPr>
              <w:t>0</w:t>
            </w:r>
            <w:r>
              <w:rPr>
                <w:rFonts w:ascii="Arial" w:hAnsi="Arial" w:cs="Arial"/>
              </w:rPr>
              <w:t>)</w:t>
            </w:r>
          </w:p>
        </w:tc>
      </w:tr>
      <w:tr w:rsidR="003F6E5F" w:rsidRPr="00B9643F" w14:paraId="766727D5" w14:textId="77777777" w:rsidTr="003F6E5F">
        <w:trPr>
          <w:jc w:val="center"/>
        </w:trPr>
        <w:tc>
          <w:tcPr>
            <w:tcW w:w="4707" w:type="dxa"/>
            <w:tcBorders>
              <w:top w:val="single" w:sz="4" w:space="0" w:color="auto"/>
              <w:left w:val="single" w:sz="4" w:space="0" w:color="auto"/>
              <w:bottom w:val="single" w:sz="4" w:space="0" w:color="auto"/>
              <w:right w:val="single" w:sz="4" w:space="0" w:color="auto"/>
            </w:tcBorders>
            <w:shd w:val="clear" w:color="auto" w:fill="auto"/>
            <w:vAlign w:val="center"/>
          </w:tcPr>
          <w:p w14:paraId="6C98B422" w14:textId="0246A618" w:rsidR="003F6E5F" w:rsidRPr="00B9643F" w:rsidRDefault="003F6E5F" w:rsidP="003F6E5F">
            <w:pPr>
              <w:pStyle w:val="ListParagraph"/>
              <w:keepNext/>
              <w:ind w:left="0"/>
              <w:rPr>
                <w:rFonts w:ascii="Arial" w:hAnsi="Arial" w:cs="Arial"/>
                <w:b/>
                <w:bCs/>
              </w:rPr>
            </w:pPr>
            <w:r w:rsidRPr="00B9643F">
              <w:rPr>
                <w:rFonts w:ascii="Arial" w:hAnsi="Arial" w:cs="Arial"/>
                <w:b/>
                <w:bCs/>
              </w:rPr>
              <w:t>Net investments</w:t>
            </w:r>
          </w:p>
        </w:tc>
        <w:tc>
          <w:tcPr>
            <w:tcW w:w="1275" w:type="dxa"/>
            <w:tcBorders>
              <w:top w:val="single" w:sz="4" w:space="0" w:color="auto"/>
              <w:left w:val="single" w:sz="4" w:space="0" w:color="auto"/>
              <w:bottom w:val="single" w:sz="4" w:space="0" w:color="auto"/>
              <w:right w:val="single" w:sz="4" w:space="0" w:color="auto"/>
            </w:tcBorders>
            <w:vAlign w:val="center"/>
          </w:tcPr>
          <w:p w14:paraId="5D7BB030" w14:textId="5CAEA762" w:rsidR="003F6E5F" w:rsidRPr="00FF3F58" w:rsidRDefault="003F6E5F" w:rsidP="003F6E5F">
            <w:pPr>
              <w:pStyle w:val="ListParagraph"/>
              <w:keepNext/>
              <w:ind w:left="0"/>
              <w:jc w:val="right"/>
              <w:rPr>
                <w:rFonts w:ascii="Arial" w:hAnsi="Arial" w:cs="Arial"/>
                <w:b/>
                <w:bCs/>
              </w:rPr>
            </w:pPr>
            <w:r>
              <w:rPr>
                <w:rFonts w:ascii="Arial" w:hAnsi="Arial" w:cs="Arial"/>
                <w:b/>
                <w:bCs/>
              </w:rPr>
              <w:t>(10</w:t>
            </w:r>
            <w:r w:rsidR="004E7F90">
              <w:rPr>
                <w:rFonts w:ascii="Arial" w:hAnsi="Arial" w:cs="Arial"/>
                <w:b/>
                <w:bCs/>
              </w:rPr>
              <w:t>9</w:t>
            </w:r>
            <w:r>
              <w:rPr>
                <w:rFonts w:ascii="Arial" w:hAnsi="Arial" w:cs="Arial"/>
                <w:b/>
                <w:bCs/>
              </w:rPr>
              <w:t>.</w:t>
            </w:r>
            <w:r w:rsidR="000A3405">
              <w:rPr>
                <w:rFonts w:ascii="Arial" w:hAnsi="Arial" w:cs="Arial"/>
                <w:b/>
                <w:bCs/>
              </w:rPr>
              <w:t>1</w:t>
            </w:r>
            <w:r w:rsidR="004E7F90">
              <w:rPr>
                <w:rFonts w:ascii="Arial" w:hAnsi="Arial" w:cs="Arial"/>
                <w:b/>
                <w:bCs/>
              </w:rPr>
              <w:t>0</w:t>
            </w:r>
            <w:r w:rsidRPr="00FF3F58">
              <w:rPr>
                <w:rFonts w:ascii="Arial" w:hAnsi="Arial" w:cs="Arial"/>
                <w:b/>
                <w:bCs/>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110EA7D" w14:textId="799B5463" w:rsidR="003F6E5F" w:rsidRPr="00B9643F" w:rsidRDefault="003F6E5F" w:rsidP="003F6E5F">
            <w:pPr>
              <w:pStyle w:val="ListParagraph"/>
              <w:keepNext/>
              <w:ind w:left="0"/>
              <w:jc w:val="right"/>
              <w:rPr>
                <w:rFonts w:ascii="Arial" w:hAnsi="Arial" w:cs="Arial"/>
                <w:b/>
                <w:bCs/>
              </w:rPr>
            </w:pPr>
            <w:r w:rsidRPr="00FF3F58">
              <w:rPr>
                <w:rFonts w:ascii="Arial" w:hAnsi="Arial" w:cs="Arial"/>
                <w:b/>
                <w:bCs/>
              </w:rPr>
              <w:t>(</w:t>
            </w:r>
            <w:r w:rsidR="00D3137B">
              <w:rPr>
                <w:rFonts w:ascii="Arial" w:hAnsi="Arial" w:cs="Arial"/>
                <w:b/>
                <w:bCs/>
              </w:rPr>
              <w:t>99.71</w:t>
            </w:r>
            <w:r w:rsidRPr="00FF3F58">
              <w:rPr>
                <w:rFonts w:ascii="Arial" w:hAnsi="Arial" w:cs="Arial"/>
                <w:b/>
                <w:bCs/>
              </w:rPr>
              <w:t xml:space="preserve">) </w:t>
            </w:r>
          </w:p>
        </w:tc>
      </w:tr>
    </w:tbl>
    <w:p w14:paraId="6E700B1D" w14:textId="77777777" w:rsidR="00EC6236" w:rsidRPr="00B9643F" w:rsidRDefault="00EC6236" w:rsidP="00EC6236">
      <w:pPr>
        <w:pStyle w:val="ListParagraph"/>
        <w:spacing w:after="240"/>
        <w:ind w:left="0"/>
        <w:rPr>
          <w:rFonts w:ascii="Arial" w:hAnsi="Arial" w:cs="Arial"/>
        </w:rPr>
      </w:pPr>
    </w:p>
    <w:p w14:paraId="0CC4D924" w14:textId="55670DB6" w:rsidR="00F613B7" w:rsidRPr="00A64D0F" w:rsidRDefault="00062959" w:rsidP="00A64D0F">
      <w:pPr>
        <w:pStyle w:val="ListParagraph"/>
        <w:numPr>
          <w:ilvl w:val="1"/>
          <w:numId w:val="2"/>
        </w:numPr>
        <w:spacing w:after="240"/>
        <w:ind w:left="720" w:hanging="720"/>
        <w:rPr>
          <w:rFonts w:ascii="Arial" w:hAnsi="Arial" w:cs="Arial"/>
        </w:rPr>
      </w:pPr>
      <w:r w:rsidRPr="00062959">
        <w:rPr>
          <w:rFonts w:ascii="Arial" w:hAnsi="Arial" w:cs="Arial"/>
        </w:rPr>
        <w:t xml:space="preserve">The treasury management position </w:t>
      </w:r>
      <w:proofErr w:type="gramStart"/>
      <w:r w:rsidRPr="00062959">
        <w:rPr>
          <w:rFonts w:ascii="Arial" w:hAnsi="Arial" w:cs="Arial"/>
        </w:rPr>
        <w:t>at</w:t>
      </w:r>
      <w:proofErr w:type="gramEnd"/>
      <w:r w:rsidRPr="00062959">
        <w:rPr>
          <w:rFonts w:ascii="Arial" w:hAnsi="Arial" w:cs="Arial"/>
        </w:rPr>
        <w:t xml:space="preserve"> 30th June and the change over the quarter is shown in Table 2 below</w:t>
      </w:r>
      <w:r w:rsidR="00F613B7" w:rsidRPr="00A64D0F">
        <w:rPr>
          <w:rFonts w:ascii="Arial" w:hAnsi="Arial" w:cs="Arial"/>
        </w:rPr>
        <w:t>.</w:t>
      </w:r>
    </w:p>
    <w:tbl>
      <w:tblPr>
        <w:tblW w:w="8895" w:type="dxa"/>
        <w:tblLayout w:type="fixed"/>
        <w:tblLook w:val="04A0" w:firstRow="1" w:lastRow="0" w:firstColumn="1" w:lastColumn="0" w:noHBand="0" w:noVBand="1"/>
      </w:tblPr>
      <w:tblGrid>
        <w:gridCol w:w="3227"/>
        <w:gridCol w:w="1417"/>
        <w:gridCol w:w="1417"/>
        <w:gridCol w:w="1417"/>
        <w:gridCol w:w="1417"/>
      </w:tblGrid>
      <w:tr w:rsidR="000A4678" w:rsidRPr="00656C63" w14:paraId="49627AD5"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068DD25A" w14:textId="1045D88C" w:rsidR="000A4678" w:rsidRPr="00656C63" w:rsidRDefault="000A4678" w:rsidP="000A4678">
            <w:pPr>
              <w:pStyle w:val="ListParagraph"/>
              <w:keepNext/>
              <w:ind w:left="0"/>
              <w:rPr>
                <w:rFonts w:ascii="Arial" w:hAnsi="Arial" w:cs="Arial"/>
                <w:b/>
                <w:bCs/>
              </w:rPr>
            </w:pPr>
            <w:r w:rsidRPr="00656C63">
              <w:rPr>
                <w:rFonts w:ascii="Arial" w:hAnsi="Arial" w:cs="Arial"/>
                <w:b/>
                <w:bCs/>
              </w:rPr>
              <w:t>Table 2: Treasury management summary</w:t>
            </w:r>
          </w:p>
        </w:tc>
        <w:tc>
          <w:tcPr>
            <w:tcW w:w="1417" w:type="dxa"/>
            <w:tcBorders>
              <w:top w:val="single" w:sz="4" w:space="0" w:color="auto"/>
              <w:left w:val="single" w:sz="4" w:space="0" w:color="auto"/>
              <w:bottom w:val="single" w:sz="4" w:space="0" w:color="auto"/>
              <w:right w:val="single" w:sz="4" w:space="0" w:color="auto"/>
            </w:tcBorders>
            <w:vAlign w:val="bottom"/>
          </w:tcPr>
          <w:p w14:paraId="398C7046" w14:textId="24D8E66D" w:rsidR="000A4678" w:rsidRPr="00656C63" w:rsidRDefault="000A4678" w:rsidP="000A4678">
            <w:pPr>
              <w:pStyle w:val="ListParagraph"/>
              <w:keepNext/>
              <w:ind w:left="0"/>
              <w:jc w:val="right"/>
              <w:rPr>
                <w:rFonts w:ascii="Arial" w:hAnsi="Arial" w:cs="Arial"/>
                <w:b/>
                <w:bCs/>
              </w:rPr>
            </w:pPr>
            <w:r w:rsidRPr="00656C63">
              <w:rPr>
                <w:rFonts w:ascii="Arial" w:hAnsi="Arial" w:cs="Arial"/>
                <w:b/>
                <w:bCs/>
              </w:rPr>
              <w:t>31/03/2</w:t>
            </w:r>
            <w:r w:rsidR="00062959">
              <w:rPr>
                <w:rFonts w:ascii="Arial" w:hAnsi="Arial" w:cs="Arial"/>
                <w:b/>
                <w:bCs/>
              </w:rPr>
              <w:t>3</w:t>
            </w:r>
            <w:r w:rsidRPr="00656C63">
              <w:rPr>
                <w:rFonts w:ascii="Arial" w:hAnsi="Arial" w:cs="Arial"/>
                <w:b/>
                <w:bCs/>
              </w:rPr>
              <w:br/>
              <w:t>Balance</w:t>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127310" w14:textId="38C015C7" w:rsidR="000A4678" w:rsidRPr="00656C63" w:rsidRDefault="000A4678" w:rsidP="000A4678">
            <w:pPr>
              <w:pStyle w:val="ListParagraph"/>
              <w:keepNext/>
              <w:ind w:left="0"/>
              <w:jc w:val="right"/>
              <w:rPr>
                <w:rFonts w:ascii="Arial" w:hAnsi="Arial" w:cs="Arial"/>
                <w:b/>
                <w:bCs/>
              </w:rPr>
            </w:pPr>
            <w:r w:rsidRPr="00656C63">
              <w:rPr>
                <w:rFonts w:ascii="Arial" w:hAnsi="Arial" w:cs="Arial"/>
                <w:b/>
                <w:bCs/>
              </w:rPr>
              <w:t>Movement</w:t>
            </w:r>
            <w:r w:rsidRPr="00656C63">
              <w:rPr>
                <w:rFonts w:ascii="Arial" w:hAnsi="Arial" w:cs="Arial"/>
                <w:b/>
                <w:bCs/>
              </w:rPr>
              <w:br/>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4AD51736" w14:textId="387561D0" w:rsidR="000A4678" w:rsidRPr="00656C63" w:rsidRDefault="000A4678" w:rsidP="000A4678">
            <w:pPr>
              <w:pStyle w:val="ListParagraph"/>
              <w:keepNext/>
              <w:ind w:left="0"/>
              <w:jc w:val="right"/>
              <w:rPr>
                <w:rFonts w:ascii="Arial" w:hAnsi="Arial" w:cs="Arial"/>
                <w:b/>
                <w:bCs/>
              </w:rPr>
            </w:pPr>
            <w:r w:rsidRPr="00656C63">
              <w:rPr>
                <w:rFonts w:ascii="Arial" w:hAnsi="Arial" w:cs="Arial"/>
                <w:b/>
                <w:bCs/>
              </w:rPr>
              <w:t>3</w:t>
            </w:r>
            <w:r w:rsidR="00062959">
              <w:rPr>
                <w:rFonts w:ascii="Arial" w:hAnsi="Arial" w:cs="Arial"/>
                <w:b/>
                <w:bCs/>
              </w:rPr>
              <w:t>0</w:t>
            </w:r>
            <w:r w:rsidRPr="00656C63">
              <w:rPr>
                <w:rFonts w:ascii="Arial" w:hAnsi="Arial" w:cs="Arial"/>
                <w:b/>
                <w:bCs/>
              </w:rPr>
              <w:t>/0</w:t>
            </w:r>
            <w:r w:rsidR="00062959">
              <w:rPr>
                <w:rFonts w:ascii="Arial" w:hAnsi="Arial" w:cs="Arial"/>
                <w:b/>
                <w:bCs/>
              </w:rPr>
              <w:t>6</w:t>
            </w:r>
            <w:r w:rsidRPr="00656C63">
              <w:rPr>
                <w:rFonts w:ascii="Arial" w:hAnsi="Arial" w:cs="Arial"/>
                <w:b/>
                <w:bCs/>
              </w:rPr>
              <w:t>/2</w:t>
            </w:r>
            <w:r w:rsidR="00E529CD">
              <w:rPr>
                <w:rFonts w:ascii="Arial" w:hAnsi="Arial" w:cs="Arial"/>
                <w:b/>
                <w:bCs/>
              </w:rPr>
              <w:t>3</w:t>
            </w:r>
            <w:r w:rsidRPr="00656C63">
              <w:rPr>
                <w:rFonts w:ascii="Arial" w:hAnsi="Arial" w:cs="Arial"/>
                <w:b/>
                <w:bCs/>
              </w:rPr>
              <w:br/>
              <w:t>Balance</w:t>
            </w:r>
            <w:r w:rsidRPr="00656C63">
              <w:rPr>
                <w:rFonts w:ascii="Arial" w:hAnsi="Arial" w:cs="Arial"/>
                <w:b/>
                <w:bCs/>
              </w:rPr>
              <w:br/>
              <w:t>£m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BE849C2" w14:textId="32AB9DB1" w:rsidR="000A4678" w:rsidRPr="00656C63" w:rsidRDefault="00062959" w:rsidP="000A4678">
            <w:pPr>
              <w:pStyle w:val="ListParagraph"/>
              <w:keepNext/>
              <w:ind w:left="0"/>
              <w:jc w:val="right"/>
              <w:rPr>
                <w:rFonts w:ascii="Arial" w:hAnsi="Arial" w:cs="Arial"/>
                <w:b/>
                <w:bCs/>
              </w:rPr>
            </w:pPr>
            <w:r w:rsidRPr="00656C63">
              <w:rPr>
                <w:rFonts w:ascii="Arial" w:hAnsi="Arial" w:cs="Arial"/>
                <w:b/>
                <w:bCs/>
              </w:rPr>
              <w:t>3</w:t>
            </w:r>
            <w:r>
              <w:rPr>
                <w:rFonts w:ascii="Arial" w:hAnsi="Arial" w:cs="Arial"/>
                <w:b/>
                <w:bCs/>
              </w:rPr>
              <w:t>0</w:t>
            </w:r>
            <w:r w:rsidRPr="00656C63">
              <w:rPr>
                <w:rFonts w:ascii="Arial" w:hAnsi="Arial" w:cs="Arial"/>
                <w:b/>
                <w:bCs/>
              </w:rPr>
              <w:t>/0</w:t>
            </w:r>
            <w:r>
              <w:rPr>
                <w:rFonts w:ascii="Arial" w:hAnsi="Arial" w:cs="Arial"/>
                <w:b/>
                <w:bCs/>
              </w:rPr>
              <w:t>6</w:t>
            </w:r>
            <w:r w:rsidRPr="00656C63">
              <w:rPr>
                <w:rFonts w:ascii="Arial" w:hAnsi="Arial" w:cs="Arial"/>
                <w:b/>
                <w:bCs/>
              </w:rPr>
              <w:t>/2</w:t>
            </w:r>
            <w:r>
              <w:rPr>
                <w:rFonts w:ascii="Arial" w:hAnsi="Arial" w:cs="Arial"/>
                <w:b/>
                <w:bCs/>
              </w:rPr>
              <w:t>3</w:t>
            </w:r>
            <w:r w:rsidR="000A4678" w:rsidRPr="00656C63">
              <w:rPr>
                <w:rFonts w:ascii="Arial" w:hAnsi="Arial" w:cs="Arial"/>
                <w:b/>
                <w:bCs/>
              </w:rPr>
              <w:br/>
              <w:t>Rate</w:t>
            </w:r>
            <w:r w:rsidR="000A4678" w:rsidRPr="00656C63">
              <w:rPr>
                <w:rFonts w:ascii="Arial" w:hAnsi="Arial" w:cs="Arial"/>
                <w:b/>
                <w:bCs/>
              </w:rPr>
              <w:br/>
              <w:t>%</w:t>
            </w:r>
          </w:p>
        </w:tc>
      </w:tr>
      <w:tr w:rsidR="00062959" w:rsidRPr="00656C63" w14:paraId="4BF52C7A" w14:textId="77777777" w:rsidTr="000A4678">
        <w:tc>
          <w:tcPr>
            <w:tcW w:w="3227" w:type="dxa"/>
            <w:tcBorders>
              <w:top w:val="single" w:sz="4" w:space="0" w:color="auto"/>
              <w:left w:val="single" w:sz="4" w:space="0" w:color="auto"/>
              <w:right w:val="single" w:sz="4" w:space="0" w:color="auto"/>
            </w:tcBorders>
            <w:shd w:val="clear" w:color="auto" w:fill="auto"/>
          </w:tcPr>
          <w:p w14:paraId="620F11D2" w14:textId="77777777" w:rsidR="00062959" w:rsidRPr="00656C63" w:rsidRDefault="00062959" w:rsidP="00062959">
            <w:pPr>
              <w:pStyle w:val="ListParagraph"/>
              <w:keepNext/>
              <w:ind w:left="0"/>
              <w:rPr>
                <w:rFonts w:ascii="Arial" w:hAnsi="Arial" w:cs="Arial"/>
              </w:rPr>
            </w:pPr>
            <w:r w:rsidRPr="00656C63">
              <w:rPr>
                <w:rFonts w:ascii="Arial" w:hAnsi="Arial" w:cs="Arial"/>
              </w:rPr>
              <w:t>Long-term borrowing</w:t>
            </w:r>
          </w:p>
        </w:tc>
        <w:tc>
          <w:tcPr>
            <w:tcW w:w="1417" w:type="dxa"/>
            <w:tcBorders>
              <w:top w:val="single" w:sz="4" w:space="0" w:color="auto"/>
              <w:left w:val="single" w:sz="4" w:space="0" w:color="auto"/>
              <w:right w:val="single" w:sz="4" w:space="0" w:color="auto"/>
            </w:tcBorders>
            <w:vAlign w:val="center"/>
          </w:tcPr>
          <w:p w14:paraId="41D1F06D" w14:textId="5F26B89F" w:rsidR="00062959" w:rsidRPr="00656C63" w:rsidRDefault="00062959" w:rsidP="00062959">
            <w:pPr>
              <w:pStyle w:val="ListParagraph"/>
              <w:keepNext/>
              <w:ind w:left="0"/>
              <w:jc w:val="right"/>
              <w:rPr>
                <w:rFonts w:ascii="Arial" w:hAnsi="Arial" w:cs="Arial"/>
              </w:rPr>
            </w:pPr>
            <w:r w:rsidRPr="00656C63">
              <w:rPr>
                <w:rFonts w:ascii="Arial" w:hAnsi="Arial" w:cs="Arial"/>
              </w:rPr>
              <w:t>(29.</w:t>
            </w:r>
            <w:r w:rsidR="002E577C">
              <w:rPr>
                <w:rFonts w:ascii="Arial" w:hAnsi="Arial" w:cs="Arial"/>
              </w:rPr>
              <w:t>35</w:t>
            </w:r>
            <w:r w:rsidRPr="00656C63">
              <w:rPr>
                <w:rFonts w:ascii="Arial" w:hAnsi="Arial" w:cs="Arial"/>
              </w:rPr>
              <w:t>)</w:t>
            </w:r>
          </w:p>
        </w:tc>
        <w:tc>
          <w:tcPr>
            <w:tcW w:w="1417" w:type="dxa"/>
            <w:tcBorders>
              <w:top w:val="single" w:sz="4" w:space="0" w:color="auto"/>
              <w:left w:val="single" w:sz="4" w:space="0" w:color="auto"/>
              <w:right w:val="single" w:sz="4" w:space="0" w:color="auto"/>
            </w:tcBorders>
            <w:shd w:val="clear" w:color="auto" w:fill="auto"/>
            <w:vAlign w:val="center"/>
          </w:tcPr>
          <w:p w14:paraId="5ECC57B7" w14:textId="5654344B" w:rsidR="00062959" w:rsidRPr="00656C63" w:rsidRDefault="008B75C3" w:rsidP="00062959">
            <w:pPr>
              <w:pStyle w:val="ListParagraph"/>
              <w:keepNext/>
              <w:ind w:left="0"/>
              <w:jc w:val="right"/>
              <w:rPr>
                <w:rFonts w:ascii="Arial" w:hAnsi="Arial" w:cs="Arial"/>
              </w:rPr>
            </w:pPr>
            <w:r>
              <w:rPr>
                <w:rFonts w:ascii="Arial" w:hAnsi="Arial" w:cs="Arial"/>
              </w:rPr>
              <w:t>0.0</w:t>
            </w:r>
            <w:r w:rsidR="002E577C">
              <w:rPr>
                <w:rFonts w:ascii="Arial" w:hAnsi="Arial" w:cs="Arial"/>
              </w:rPr>
              <w:t>0</w:t>
            </w:r>
          </w:p>
        </w:tc>
        <w:tc>
          <w:tcPr>
            <w:tcW w:w="1417" w:type="dxa"/>
            <w:tcBorders>
              <w:top w:val="single" w:sz="4" w:space="0" w:color="auto"/>
              <w:left w:val="single" w:sz="4" w:space="0" w:color="auto"/>
              <w:right w:val="single" w:sz="4" w:space="0" w:color="auto"/>
            </w:tcBorders>
            <w:shd w:val="clear" w:color="auto" w:fill="auto"/>
            <w:vAlign w:val="center"/>
          </w:tcPr>
          <w:p w14:paraId="604DE12B" w14:textId="55D8F6AE" w:rsidR="00062959" w:rsidRPr="00656C63" w:rsidRDefault="00F713EA" w:rsidP="00062959">
            <w:pPr>
              <w:pStyle w:val="ListParagraph"/>
              <w:keepNext/>
              <w:ind w:left="0"/>
              <w:jc w:val="right"/>
              <w:rPr>
                <w:rFonts w:ascii="Arial" w:hAnsi="Arial" w:cs="Arial"/>
              </w:rPr>
            </w:pPr>
            <w:r>
              <w:rPr>
                <w:rFonts w:ascii="Arial" w:hAnsi="Arial" w:cs="Arial"/>
              </w:rPr>
              <w:t>(</w:t>
            </w:r>
            <w:r w:rsidR="002C13D1">
              <w:rPr>
                <w:rFonts w:ascii="Arial" w:hAnsi="Arial" w:cs="Arial"/>
              </w:rPr>
              <w:t>2</w:t>
            </w:r>
            <w:r>
              <w:rPr>
                <w:rFonts w:ascii="Arial" w:hAnsi="Arial" w:cs="Arial"/>
              </w:rPr>
              <w:t>9.</w:t>
            </w:r>
            <w:r w:rsidR="002E577C">
              <w:rPr>
                <w:rFonts w:ascii="Arial" w:hAnsi="Arial" w:cs="Arial"/>
              </w:rPr>
              <w:t>35</w:t>
            </w:r>
            <w:r>
              <w:rPr>
                <w:rFonts w:ascii="Arial" w:hAnsi="Arial" w:cs="Arial"/>
              </w:rPr>
              <w:t>)</w:t>
            </w:r>
          </w:p>
        </w:tc>
        <w:tc>
          <w:tcPr>
            <w:tcW w:w="1417" w:type="dxa"/>
            <w:tcBorders>
              <w:top w:val="single" w:sz="4" w:space="0" w:color="auto"/>
              <w:left w:val="single" w:sz="4" w:space="0" w:color="auto"/>
              <w:right w:val="single" w:sz="4" w:space="0" w:color="auto"/>
            </w:tcBorders>
            <w:shd w:val="clear" w:color="auto" w:fill="auto"/>
            <w:vAlign w:val="center"/>
          </w:tcPr>
          <w:p w14:paraId="26C418B9" w14:textId="26625EFA" w:rsidR="00062959" w:rsidRPr="00656C63" w:rsidRDefault="002C13D1" w:rsidP="00062959">
            <w:pPr>
              <w:pStyle w:val="ListParagraph"/>
              <w:keepNext/>
              <w:ind w:left="0"/>
              <w:jc w:val="right"/>
              <w:rPr>
                <w:rFonts w:ascii="Arial" w:hAnsi="Arial" w:cs="Arial"/>
              </w:rPr>
            </w:pPr>
            <w:r>
              <w:rPr>
                <w:rFonts w:ascii="Arial" w:hAnsi="Arial" w:cs="Arial"/>
              </w:rPr>
              <w:t>4.28</w:t>
            </w:r>
          </w:p>
        </w:tc>
      </w:tr>
      <w:tr w:rsidR="00062959" w:rsidRPr="00656C63" w14:paraId="47EADD66" w14:textId="77777777" w:rsidTr="000A4678">
        <w:tc>
          <w:tcPr>
            <w:tcW w:w="3227" w:type="dxa"/>
            <w:tcBorders>
              <w:left w:val="single" w:sz="4" w:space="0" w:color="auto"/>
              <w:bottom w:val="single" w:sz="4" w:space="0" w:color="auto"/>
              <w:right w:val="single" w:sz="4" w:space="0" w:color="auto"/>
            </w:tcBorders>
            <w:shd w:val="clear" w:color="auto" w:fill="auto"/>
          </w:tcPr>
          <w:p w14:paraId="17B811CD" w14:textId="77777777" w:rsidR="00062959" w:rsidRPr="00656C63" w:rsidRDefault="00062959" w:rsidP="00062959">
            <w:pPr>
              <w:pStyle w:val="ListParagraph"/>
              <w:keepNext/>
              <w:ind w:left="0"/>
              <w:rPr>
                <w:rFonts w:ascii="Arial" w:hAnsi="Arial" w:cs="Arial"/>
              </w:rPr>
            </w:pPr>
            <w:r w:rsidRPr="00656C63">
              <w:rPr>
                <w:rFonts w:ascii="Arial" w:hAnsi="Arial" w:cs="Arial"/>
              </w:rPr>
              <w:t>Short-term borrowing</w:t>
            </w:r>
          </w:p>
        </w:tc>
        <w:tc>
          <w:tcPr>
            <w:tcW w:w="1417" w:type="dxa"/>
            <w:tcBorders>
              <w:left w:val="single" w:sz="4" w:space="0" w:color="auto"/>
              <w:bottom w:val="single" w:sz="4" w:space="0" w:color="auto"/>
              <w:right w:val="single" w:sz="4" w:space="0" w:color="auto"/>
            </w:tcBorders>
            <w:vAlign w:val="center"/>
          </w:tcPr>
          <w:p w14:paraId="1300B5FD" w14:textId="3C27AE13" w:rsidR="00062959" w:rsidRPr="00656C63" w:rsidRDefault="00062959" w:rsidP="00062959">
            <w:pPr>
              <w:pStyle w:val="ListParagraph"/>
              <w:keepNext/>
              <w:ind w:left="0"/>
              <w:jc w:val="right"/>
              <w:rPr>
                <w:rFonts w:ascii="Arial" w:hAnsi="Arial" w:cs="Arial"/>
              </w:rPr>
            </w:pPr>
            <w:r>
              <w:rPr>
                <w:rFonts w:ascii="Arial" w:hAnsi="Arial" w:cs="Arial"/>
              </w:rPr>
              <w:t>(0.</w:t>
            </w:r>
            <w:r w:rsidR="002E577C">
              <w:rPr>
                <w:rFonts w:ascii="Arial" w:hAnsi="Arial" w:cs="Arial"/>
              </w:rPr>
              <w:t>35</w:t>
            </w:r>
            <w:r>
              <w:rPr>
                <w:rFonts w:ascii="Arial" w:hAnsi="Arial" w:cs="Arial"/>
              </w:rPr>
              <w:t>)</w:t>
            </w:r>
          </w:p>
        </w:tc>
        <w:tc>
          <w:tcPr>
            <w:tcW w:w="1417" w:type="dxa"/>
            <w:tcBorders>
              <w:left w:val="single" w:sz="4" w:space="0" w:color="auto"/>
              <w:bottom w:val="single" w:sz="4" w:space="0" w:color="auto"/>
              <w:right w:val="single" w:sz="4" w:space="0" w:color="auto"/>
            </w:tcBorders>
            <w:shd w:val="clear" w:color="auto" w:fill="auto"/>
            <w:vAlign w:val="center"/>
          </w:tcPr>
          <w:p w14:paraId="1DDD401C" w14:textId="44EF0A56" w:rsidR="00062959" w:rsidRPr="00656C63" w:rsidRDefault="008B75C3" w:rsidP="00062959">
            <w:pPr>
              <w:pStyle w:val="ListParagraph"/>
              <w:keepNext/>
              <w:ind w:left="0"/>
              <w:jc w:val="right"/>
              <w:rPr>
                <w:rFonts w:ascii="Arial" w:hAnsi="Arial" w:cs="Arial"/>
              </w:rPr>
            </w:pPr>
            <w:r>
              <w:rPr>
                <w:rFonts w:ascii="Arial" w:hAnsi="Arial" w:cs="Arial"/>
              </w:rPr>
              <w:t>0.0</w:t>
            </w:r>
            <w:r w:rsidR="002E577C">
              <w:rPr>
                <w:rFonts w:ascii="Arial" w:hAnsi="Arial" w:cs="Arial"/>
              </w:rPr>
              <w:t>0</w:t>
            </w:r>
          </w:p>
        </w:tc>
        <w:tc>
          <w:tcPr>
            <w:tcW w:w="1417" w:type="dxa"/>
            <w:tcBorders>
              <w:left w:val="single" w:sz="4" w:space="0" w:color="auto"/>
              <w:bottom w:val="single" w:sz="4" w:space="0" w:color="auto"/>
              <w:right w:val="single" w:sz="4" w:space="0" w:color="auto"/>
            </w:tcBorders>
            <w:shd w:val="clear" w:color="auto" w:fill="auto"/>
            <w:vAlign w:val="center"/>
          </w:tcPr>
          <w:p w14:paraId="4BF128F2" w14:textId="7F7C4A4C" w:rsidR="00062959" w:rsidRPr="00656C63" w:rsidRDefault="003D029D" w:rsidP="00062959">
            <w:pPr>
              <w:pStyle w:val="ListParagraph"/>
              <w:keepNext/>
              <w:ind w:left="0"/>
              <w:jc w:val="right"/>
              <w:rPr>
                <w:rFonts w:ascii="Arial" w:hAnsi="Arial" w:cs="Arial"/>
              </w:rPr>
            </w:pPr>
            <w:r>
              <w:rPr>
                <w:rFonts w:ascii="Arial" w:hAnsi="Arial" w:cs="Arial"/>
              </w:rPr>
              <w:t>(0.</w:t>
            </w:r>
            <w:r w:rsidR="002E577C">
              <w:rPr>
                <w:rFonts w:ascii="Arial" w:hAnsi="Arial" w:cs="Arial"/>
              </w:rPr>
              <w:t>35</w:t>
            </w:r>
            <w:r>
              <w:rPr>
                <w:rFonts w:ascii="Arial" w:hAnsi="Arial" w:cs="Arial"/>
              </w:rPr>
              <w:t>)</w:t>
            </w:r>
          </w:p>
        </w:tc>
        <w:tc>
          <w:tcPr>
            <w:tcW w:w="1417" w:type="dxa"/>
            <w:tcBorders>
              <w:left w:val="single" w:sz="4" w:space="0" w:color="auto"/>
              <w:bottom w:val="single" w:sz="4" w:space="0" w:color="auto"/>
              <w:right w:val="single" w:sz="4" w:space="0" w:color="auto"/>
            </w:tcBorders>
            <w:shd w:val="clear" w:color="auto" w:fill="auto"/>
            <w:vAlign w:val="center"/>
          </w:tcPr>
          <w:p w14:paraId="7DBC9D48" w14:textId="16E3ED19" w:rsidR="00062959" w:rsidRPr="00656C63" w:rsidRDefault="002C13D1" w:rsidP="00062959">
            <w:pPr>
              <w:pStyle w:val="ListParagraph"/>
              <w:keepNext/>
              <w:ind w:left="0"/>
              <w:jc w:val="right"/>
              <w:rPr>
                <w:rFonts w:ascii="Arial" w:hAnsi="Arial" w:cs="Arial"/>
              </w:rPr>
            </w:pPr>
            <w:r>
              <w:rPr>
                <w:rFonts w:ascii="Arial" w:hAnsi="Arial" w:cs="Arial"/>
              </w:rPr>
              <w:t>6.00</w:t>
            </w:r>
          </w:p>
        </w:tc>
      </w:tr>
      <w:tr w:rsidR="00062959" w:rsidRPr="00656C63" w14:paraId="518B43D5"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183C70D7" w14:textId="77777777" w:rsidR="00062959" w:rsidRPr="00656C63" w:rsidRDefault="00062959" w:rsidP="00062959">
            <w:pPr>
              <w:pStyle w:val="ListParagraph"/>
              <w:keepNext/>
              <w:ind w:left="0"/>
              <w:rPr>
                <w:rFonts w:ascii="Arial" w:hAnsi="Arial" w:cs="Arial"/>
                <w:b/>
                <w:bCs/>
              </w:rPr>
            </w:pPr>
            <w:r w:rsidRPr="00656C63">
              <w:rPr>
                <w:rFonts w:ascii="Arial" w:hAnsi="Arial" w:cs="Arial"/>
                <w:b/>
                <w:bCs/>
              </w:rPr>
              <w:t>Total borrowing</w:t>
            </w:r>
          </w:p>
        </w:tc>
        <w:tc>
          <w:tcPr>
            <w:tcW w:w="1417" w:type="dxa"/>
            <w:tcBorders>
              <w:top w:val="single" w:sz="4" w:space="0" w:color="auto"/>
              <w:left w:val="single" w:sz="4" w:space="0" w:color="auto"/>
              <w:bottom w:val="single" w:sz="4" w:space="0" w:color="auto"/>
              <w:right w:val="single" w:sz="4" w:space="0" w:color="auto"/>
            </w:tcBorders>
            <w:vAlign w:val="center"/>
          </w:tcPr>
          <w:p w14:paraId="6D51D698" w14:textId="594DDB8E" w:rsidR="00062959" w:rsidRPr="00656C63" w:rsidRDefault="00062959" w:rsidP="00062959">
            <w:pPr>
              <w:pStyle w:val="ListParagraph"/>
              <w:keepNext/>
              <w:ind w:left="0"/>
              <w:jc w:val="right"/>
              <w:rPr>
                <w:rFonts w:ascii="Arial" w:hAnsi="Arial" w:cs="Arial"/>
                <w:b/>
                <w:bCs/>
              </w:rPr>
            </w:pPr>
            <w:r w:rsidRPr="00656C63">
              <w:rPr>
                <w:rFonts w:ascii="Arial" w:hAnsi="Arial" w:cs="Arial"/>
                <w:b/>
                <w:bCs/>
              </w:rPr>
              <w:t>(29.7</w:t>
            </w:r>
            <w:r w:rsidR="002E577C">
              <w:rPr>
                <w:rFonts w:ascii="Arial" w:hAnsi="Arial" w:cs="Arial"/>
                <w:b/>
                <w:bCs/>
              </w:rPr>
              <w:t>0</w:t>
            </w:r>
            <w:r w:rsidRPr="00656C63">
              <w:rPr>
                <w:rFonts w:ascii="Arial" w:hAnsi="Arial" w:cs="Arial"/>
                <w:b/>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EFA175" w14:textId="6ED493BB" w:rsidR="00062959" w:rsidRPr="00656C63" w:rsidRDefault="0014300F" w:rsidP="00062959">
            <w:pPr>
              <w:pStyle w:val="ListParagraph"/>
              <w:keepNext/>
              <w:ind w:left="0"/>
              <w:jc w:val="right"/>
              <w:rPr>
                <w:rFonts w:ascii="Arial" w:hAnsi="Arial" w:cs="Arial"/>
                <w:b/>
                <w:bCs/>
              </w:rPr>
            </w:pPr>
            <w:r>
              <w:rPr>
                <w:rFonts w:ascii="Arial" w:hAnsi="Arial" w:cs="Arial"/>
                <w:b/>
                <w:bCs/>
              </w:rPr>
              <w:t>0.</w:t>
            </w:r>
            <w:r w:rsidR="002E577C">
              <w:rPr>
                <w:rFonts w:ascii="Arial" w:hAnsi="Arial" w:cs="Arial"/>
                <w:b/>
                <w:bCs/>
              </w:rPr>
              <w:t>0</w:t>
            </w:r>
            <w:r>
              <w:rPr>
                <w:rFonts w:ascii="Arial" w:hAnsi="Arial" w:cs="Arial"/>
                <w:b/>
                <w:bCs/>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11EC76" w14:textId="458D8923" w:rsidR="00062959" w:rsidRPr="00656C63" w:rsidRDefault="003D029D" w:rsidP="00062959">
            <w:pPr>
              <w:pStyle w:val="ListParagraph"/>
              <w:keepNext/>
              <w:ind w:left="0"/>
              <w:jc w:val="right"/>
              <w:rPr>
                <w:rFonts w:ascii="Arial" w:hAnsi="Arial" w:cs="Arial"/>
                <w:b/>
                <w:bCs/>
              </w:rPr>
            </w:pPr>
            <w:r>
              <w:rPr>
                <w:rFonts w:ascii="Arial" w:hAnsi="Arial" w:cs="Arial"/>
                <w:b/>
                <w:bCs/>
              </w:rPr>
              <w:t>(29.7</w:t>
            </w:r>
            <w:r w:rsidR="002E577C">
              <w:rPr>
                <w:rFonts w:ascii="Arial" w:hAnsi="Arial" w:cs="Arial"/>
                <w:b/>
                <w:bCs/>
              </w:rPr>
              <w:t>0</w:t>
            </w:r>
            <w:r>
              <w:rPr>
                <w:rFonts w:ascii="Arial" w:hAnsi="Arial" w:cs="Arial"/>
                <w:b/>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A90E02" w14:textId="2A3EA4D5" w:rsidR="00062959" w:rsidRPr="00656C63" w:rsidRDefault="00776F7C" w:rsidP="00062959">
            <w:pPr>
              <w:pStyle w:val="ListParagraph"/>
              <w:keepNext/>
              <w:ind w:left="0"/>
              <w:jc w:val="right"/>
              <w:rPr>
                <w:rFonts w:ascii="Arial" w:hAnsi="Arial" w:cs="Arial"/>
                <w:b/>
                <w:bCs/>
              </w:rPr>
            </w:pPr>
            <w:r>
              <w:rPr>
                <w:rFonts w:ascii="Arial" w:hAnsi="Arial" w:cs="Arial"/>
                <w:b/>
                <w:bCs/>
              </w:rPr>
              <w:t>4.30</w:t>
            </w:r>
          </w:p>
        </w:tc>
      </w:tr>
      <w:tr w:rsidR="00062959" w:rsidRPr="00656C63" w14:paraId="5819FB47" w14:textId="77777777" w:rsidTr="002B3B36">
        <w:tc>
          <w:tcPr>
            <w:tcW w:w="3227" w:type="dxa"/>
            <w:tcBorders>
              <w:top w:val="single" w:sz="4" w:space="0" w:color="auto"/>
              <w:left w:val="single" w:sz="4" w:space="0" w:color="auto"/>
              <w:right w:val="single" w:sz="4" w:space="0" w:color="auto"/>
            </w:tcBorders>
            <w:shd w:val="clear" w:color="auto" w:fill="auto"/>
          </w:tcPr>
          <w:p w14:paraId="66B62BCD" w14:textId="77777777" w:rsidR="00062959" w:rsidRPr="00656C63" w:rsidRDefault="00062959" w:rsidP="00062959">
            <w:pPr>
              <w:pStyle w:val="ListParagraph"/>
              <w:keepNext/>
              <w:ind w:left="0"/>
              <w:rPr>
                <w:rFonts w:ascii="Arial" w:hAnsi="Arial" w:cs="Arial"/>
              </w:rPr>
            </w:pPr>
            <w:r w:rsidRPr="00656C63">
              <w:rPr>
                <w:rFonts w:ascii="Arial" w:hAnsi="Arial" w:cs="Arial"/>
              </w:rPr>
              <w:t>Long-term investments</w:t>
            </w:r>
          </w:p>
        </w:tc>
        <w:tc>
          <w:tcPr>
            <w:tcW w:w="1417" w:type="dxa"/>
            <w:tcBorders>
              <w:top w:val="single" w:sz="4" w:space="0" w:color="auto"/>
              <w:left w:val="single" w:sz="4" w:space="0" w:color="auto"/>
              <w:right w:val="single" w:sz="4" w:space="0" w:color="auto"/>
            </w:tcBorders>
            <w:vAlign w:val="center"/>
          </w:tcPr>
          <w:p w14:paraId="68F16376" w14:textId="6AAA139F" w:rsidR="00062959" w:rsidRPr="00656C63" w:rsidRDefault="00062959" w:rsidP="00062959">
            <w:pPr>
              <w:pStyle w:val="ListParagraph"/>
              <w:keepNext/>
              <w:ind w:left="0"/>
              <w:jc w:val="right"/>
              <w:rPr>
                <w:rFonts w:ascii="Arial" w:hAnsi="Arial" w:cs="Arial"/>
              </w:rPr>
            </w:pPr>
            <w:r>
              <w:rPr>
                <w:rFonts w:ascii="Arial" w:hAnsi="Arial" w:cs="Arial"/>
              </w:rPr>
              <w:t>15.</w:t>
            </w:r>
            <w:r w:rsidR="002E577C">
              <w:rPr>
                <w:rFonts w:ascii="Arial" w:hAnsi="Arial" w:cs="Arial"/>
              </w:rPr>
              <w:t>09</w:t>
            </w:r>
          </w:p>
        </w:tc>
        <w:tc>
          <w:tcPr>
            <w:tcW w:w="1417" w:type="dxa"/>
            <w:tcBorders>
              <w:top w:val="single" w:sz="4" w:space="0" w:color="auto"/>
              <w:left w:val="single" w:sz="4" w:space="0" w:color="auto"/>
              <w:right w:val="single" w:sz="4" w:space="0" w:color="auto"/>
            </w:tcBorders>
            <w:shd w:val="clear" w:color="auto" w:fill="auto"/>
            <w:vAlign w:val="center"/>
          </w:tcPr>
          <w:p w14:paraId="2CA4161A" w14:textId="6C346DE2" w:rsidR="00062959" w:rsidRPr="00656C63" w:rsidRDefault="0014300F" w:rsidP="00062959">
            <w:pPr>
              <w:pStyle w:val="ListParagraph"/>
              <w:keepNext/>
              <w:ind w:left="0"/>
              <w:jc w:val="right"/>
              <w:rPr>
                <w:rFonts w:ascii="Arial" w:hAnsi="Arial" w:cs="Arial"/>
              </w:rPr>
            </w:pPr>
            <w:r>
              <w:rPr>
                <w:rFonts w:ascii="Arial" w:hAnsi="Arial" w:cs="Arial"/>
              </w:rPr>
              <w:t>8.9</w:t>
            </w:r>
            <w:r w:rsidR="002E577C">
              <w:rPr>
                <w:rFonts w:ascii="Arial" w:hAnsi="Arial" w:cs="Arial"/>
              </w:rPr>
              <w:t>1</w:t>
            </w:r>
          </w:p>
        </w:tc>
        <w:tc>
          <w:tcPr>
            <w:tcW w:w="1417" w:type="dxa"/>
            <w:tcBorders>
              <w:top w:val="single" w:sz="4" w:space="0" w:color="auto"/>
              <w:left w:val="single" w:sz="4" w:space="0" w:color="auto"/>
              <w:right w:val="single" w:sz="4" w:space="0" w:color="auto"/>
            </w:tcBorders>
            <w:shd w:val="clear" w:color="auto" w:fill="auto"/>
            <w:vAlign w:val="center"/>
          </w:tcPr>
          <w:p w14:paraId="2DF0B2F2" w14:textId="6F12F6A8" w:rsidR="00062959" w:rsidRPr="00656C63" w:rsidRDefault="003D029D" w:rsidP="00062959">
            <w:pPr>
              <w:pStyle w:val="ListParagraph"/>
              <w:ind w:left="0"/>
              <w:jc w:val="right"/>
              <w:rPr>
                <w:rFonts w:ascii="Arial" w:hAnsi="Arial" w:cs="Arial"/>
              </w:rPr>
            </w:pPr>
            <w:r>
              <w:rPr>
                <w:rFonts w:ascii="Arial" w:hAnsi="Arial" w:cs="Arial"/>
              </w:rPr>
              <w:t>24.0</w:t>
            </w:r>
            <w:r w:rsidR="002E577C">
              <w:rPr>
                <w:rFonts w:ascii="Arial" w:hAnsi="Arial" w:cs="Arial"/>
              </w:rPr>
              <w:t>0</w:t>
            </w:r>
          </w:p>
        </w:tc>
        <w:tc>
          <w:tcPr>
            <w:tcW w:w="1417" w:type="dxa"/>
            <w:tcBorders>
              <w:top w:val="single" w:sz="4" w:space="0" w:color="auto"/>
              <w:left w:val="single" w:sz="4" w:space="0" w:color="auto"/>
              <w:right w:val="single" w:sz="4" w:space="0" w:color="auto"/>
            </w:tcBorders>
            <w:shd w:val="clear" w:color="auto" w:fill="auto"/>
            <w:vAlign w:val="center"/>
          </w:tcPr>
          <w:p w14:paraId="060DBD0B" w14:textId="160DCF94" w:rsidR="00062959" w:rsidRPr="00656C63" w:rsidRDefault="00776F7C" w:rsidP="00062959">
            <w:pPr>
              <w:pStyle w:val="ListParagraph"/>
              <w:keepNext/>
              <w:ind w:left="0"/>
              <w:jc w:val="right"/>
              <w:rPr>
                <w:rFonts w:ascii="Arial" w:hAnsi="Arial" w:cs="Arial"/>
              </w:rPr>
            </w:pPr>
            <w:r>
              <w:rPr>
                <w:rFonts w:ascii="Arial" w:hAnsi="Arial" w:cs="Arial"/>
              </w:rPr>
              <w:t>4.22</w:t>
            </w:r>
          </w:p>
        </w:tc>
      </w:tr>
      <w:tr w:rsidR="00062959" w:rsidRPr="00656C63" w14:paraId="78C0D782" w14:textId="77777777" w:rsidTr="000A4678">
        <w:tc>
          <w:tcPr>
            <w:tcW w:w="3227" w:type="dxa"/>
            <w:tcBorders>
              <w:left w:val="single" w:sz="4" w:space="0" w:color="auto"/>
              <w:right w:val="single" w:sz="4" w:space="0" w:color="auto"/>
            </w:tcBorders>
            <w:shd w:val="clear" w:color="auto" w:fill="auto"/>
          </w:tcPr>
          <w:p w14:paraId="77C9BA0B" w14:textId="77777777" w:rsidR="00062959" w:rsidRPr="00656C63" w:rsidRDefault="00062959" w:rsidP="00062959">
            <w:pPr>
              <w:pStyle w:val="ListParagraph"/>
              <w:ind w:left="0"/>
              <w:rPr>
                <w:rFonts w:ascii="Arial" w:hAnsi="Arial" w:cs="Arial"/>
              </w:rPr>
            </w:pPr>
            <w:r w:rsidRPr="00656C63">
              <w:rPr>
                <w:rFonts w:ascii="Arial" w:hAnsi="Arial" w:cs="Arial"/>
              </w:rPr>
              <w:t>Short-term investments</w:t>
            </w:r>
          </w:p>
        </w:tc>
        <w:tc>
          <w:tcPr>
            <w:tcW w:w="1417" w:type="dxa"/>
            <w:tcBorders>
              <w:left w:val="single" w:sz="4" w:space="0" w:color="auto"/>
              <w:right w:val="single" w:sz="4" w:space="0" w:color="auto"/>
            </w:tcBorders>
            <w:vAlign w:val="center"/>
          </w:tcPr>
          <w:p w14:paraId="0E9320B4" w14:textId="19BFB2E0" w:rsidR="00062959" w:rsidRPr="00656C63" w:rsidRDefault="00062959" w:rsidP="00062959">
            <w:pPr>
              <w:pStyle w:val="ListParagraph"/>
              <w:ind w:left="0"/>
              <w:jc w:val="right"/>
              <w:rPr>
                <w:rFonts w:ascii="Arial" w:hAnsi="Arial" w:cs="Arial"/>
              </w:rPr>
            </w:pPr>
            <w:r>
              <w:rPr>
                <w:rFonts w:ascii="Arial" w:hAnsi="Arial" w:cs="Arial"/>
              </w:rPr>
              <w:t>25.0</w:t>
            </w:r>
            <w:r w:rsidR="002E577C">
              <w:rPr>
                <w:rFonts w:ascii="Arial" w:hAnsi="Arial" w:cs="Arial"/>
              </w:rPr>
              <w:t>2</w:t>
            </w:r>
          </w:p>
        </w:tc>
        <w:tc>
          <w:tcPr>
            <w:tcW w:w="1417" w:type="dxa"/>
            <w:tcBorders>
              <w:left w:val="single" w:sz="4" w:space="0" w:color="auto"/>
              <w:right w:val="single" w:sz="4" w:space="0" w:color="auto"/>
            </w:tcBorders>
            <w:shd w:val="clear" w:color="auto" w:fill="auto"/>
            <w:vAlign w:val="center"/>
          </w:tcPr>
          <w:p w14:paraId="59BABC92" w14:textId="3268682B" w:rsidR="00062959" w:rsidRPr="00656C63" w:rsidRDefault="0014300F" w:rsidP="00062959">
            <w:pPr>
              <w:pStyle w:val="ListParagraph"/>
              <w:ind w:left="0"/>
              <w:jc w:val="right"/>
              <w:rPr>
                <w:rFonts w:ascii="Arial" w:hAnsi="Arial" w:cs="Arial"/>
              </w:rPr>
            </w:pPr>
            <w:r>
              <w:rPr>
                <w:rFonts w:ascii="Arial" w:hAnsi="Arial" w:cs="Arial"/>
              </w:rPr>
              <w:t>(3.9</w:t>
            </w:r>
            <w:r w:rsidR="002E577C">
              <w:rPr>
                <w:rFonts w:ascii="Arial" w:hAnsi="Arial" w:cs="Arial"/>
              </w:rPr>
              <w:t>0</w:t>
            </w:r>
            <w:r>
              <w:rPr>
                <w:rFonts w:ascii="Arial" w:hAnsi="Arial" w:cs="Arial"/>
              </w:rPr>
              <w:t>)</w:t>
            </w:r>
          </w:p>
        </w:tc>
        <w:tc>
          <w:tcPr>
            <w:tcW w:w="1417" w:type="dxa"/>
            <w:tcBorders>
              <w:left w:val="single" w:sz="4" w:space="0" w:color="auto"/>
              <w:right w:val="single" w:sz="4" w:space="0" w:color="auto"/>
            </w:tcBorders>
            <w:shd w:val="clear" w:color="auto" w:fill="auto"/>
            <w:vAlign w:val="center"/>
          </w:tcPr>
          <w:p w14:paraId="6BE11EED" w14:textId="1FF758B6" w:rsidR="00062959" w:rsidRPr="00656C63" w:rsidRDefault="003D029D" w:rsidP="00062959">
            <w:pPr>
              <w:pStyle w:val="ListParagraph"/>
              <w:ind w:left="0"/>
              <w:jc w:val="right"/>
              <w:rPr>
                <w:rFonts w:ascii="Arial" w:hAnsi="Arial" w:cs="Arial"/>
              </w:rPr>
            </w:pPr>
            <w:r>
              <w:rPr>
                <w:rFonts w:ascii="Arial" w:hAnsi="Arial" w:cs="Arial"/>
              </w:rPr>
              <w:t>21.1</w:t>
            </w:r>
            <w:r w:rsidR="002E577C">
              <w:rPr>
                <w:rFonts w:ascii="Arial" w:hAnsi="Arial" w:cs="Arial"/>
              </w:rPr>
              <w:t>2</w:t>
            </w:r>
          </w:p>
        </w:tc>
        <w:tc>
          <w:tcPr>
            <w:tcW w:w="1417" w:type="dxa"/>
            <w:tcBorders>
              <w:left w:val="single" w:sz="4" w:space="0" w:color="auto"/>
              <w:right w:val="single" w:sz="4" w:space="0" w:color="auto"/>
            </w:tcBorders>
            <w:shd w:val="clear" w:color="auto" w:fill="auto"/>
            <w:vAlign w:val="center"/>
          </w:tcPr>
          <w:p w14:paraId="366C6DE6" w14:textId="6A045DC4" w:rsidR="00062959" w:rsidRPr="00656C63" w:rsidRDefault="00776F7C" w:rsidP="00062959">
            <w:pPr>
              <w:pStyle w:val="ListParagraph"/>
              <w:ind w:left="0"/>
              <w:jc w:val="right"/>
              <w:rPr>
                <w:rFonts w:ascii="Arial" w:hAnsi="Arial" w:cs="Arial"/>
              </w:rPr>
            </w:pPr>
            <w:r>
              <w:rPr>
                <w:rFonts w:ascii="Arial" w:hAnsi="Arial" w:cs="Arial"/>
              </w:rPr>
              <w:t>4.47</w:t>
            </w:r>
          </w:p>
        </w:tc>
      </w:tr>
      <w:tr w:rsidR="00062959" w:rsidRPr="00656C63" w14:paraId="5C6983EC" w14:textId="77777777" w:rsidTr="000A4678">
        <w:tc>
          <w:tcPr>
            <w:tcW w:w="3227" w:type="dxa"/>
            <w:tcBorders>
              <w:left w:val="single" w:sz="4" w:space="0" w:color="auto"/>
              <w:bottom w:val="single" w:sz="4" w:space="0" w:color="auto"/>
              <w:right w:val="single" w:sz="4" w:space="0" w:color="auto"/>
            </w:tcBorders>
            <w:shd w:val="clear" w:color="auto" w:fill="auto"/>
          </w:tcPr>
          <w:p w14:paraId="191896F5" w14:textId="77777777" w:rsidR="00062959" w:rsidRPr="00656C63" w:rsidRDefault="00062959" w:rsidP="00062959">
            <w:pPr>
              <w:pStyle w:val="ListParagraph"/>
              <w:ind w:left="0"/>
              <w:rPr>
                <w:rFonts w:ascii="Arial" w:hAnsi="Arial" w:cs="Arial"/>
              </w:rPr>
            </w:pPr>
            <w:r w:rsidRPr="00656C63">
              <w:rPr>
                <w:rFonts w:ascii="Arial" w:hAnsi="Arial" w:cs="Arial"/>
              </w:rPr>
              <w:t>Cash and cash equivalents</w:t>
            </w:r>
          </w:p>
        </w:tc>
        <w:tc>
          <w:tcPr>
            <w:tcW w:w="1417" w:type="dxa"/>
            <w:tcBorders>
              <w:left w:val="single" w:sz="4" w:space="0" w:color="auto"/>
              <w:bottom w:val="single" w:sz="4" w:space="0" w:color="auto"/>
              <w:right w:val="single" w:sz="4" w:space="0" w:color="auto"/>
            </w:tcBorders>
            <w:vAlign w:val="center"/>
          </w:tcPr>
          <w:p w14:paraId="16A21FCB" w14:textId="6A600486" w:rsidR="00062959" w:rsidRPr="00656C63" w:rsidRDefault="00062959" w:rsidP="00062959">
            <w:pPr>
              <w:pStyle w:val="ListParagraph"/>
              <w:ind w:left="0"/>
              <w:jc w:val="right"/>
              <w:rPr>
                <w:rFonts w:ascii="Arial" w:hAnsi="Arial" w:cs="Arial"/>
              </w:rPr>
            </w:pPr>
            <w:r>
              <w:rPr>
                <w:rFonts w:ascii="Arial" w:hAnsi="Arial" w:cs="Arial"/>
              </w:rPr>
              <w:t>66.8</w:t>
            </w:r>
            <w:r w:rsidR="002E577C">
              <w:rPr>
                <w:rFonts w:ascii="Arial" w:hAnsi="Arial" w:cs="Arial"/>
              </w:rPr>
              <w:t>0</w:t>
            </w:r>
          </w:p>
        </w:tc>
        <w:tc>
          <w:tcPr>
            <w:tcW w:w="1417" w:type="dxa"/>
            <w:tcBorders>
              <w:left w:val="single" w:sz="4" w:space="0" w:color="auto"/>
              <w:bottom w:val="single" w:sz="4" w:space="0" w:color="auto"/>
              <w:right w:val="single" w:sz="4" w:space="0" w:color="auto"/>
            </w:tcBorders>
            <w:shd w:val="clear" w:color="auto" w:fill="auto"/>
            <w:vAlign w:val="center"/>
          </w:tcPr>
          <w:p w14:paraId="17368438" w14:textId="40C5A10E" w:rsidR="00062959" w:rsidRPr="00656C63" w:rsidRDefault="0014300F" w:rsidP="00062959">
            <w:pPr>
              <w:pStyle w:val="ListParagraph"/>
              <w:ind w:left="0"/>
              <w:jc w:val="right"/>
              <w:rPr>
                <w:rFonts w:ascii="Arial" w:hAnsi="Arial" w:cs="Arial"/>
              </w:rPr>
            </w:pPr>
            <w:r>
              <w:rPr>
                <w:rFonts w:ascii="Arial" w:hAnsi="Arial" w:cs="Arial"/>
              </w:rPr>
              <w:t>(28.</w:t>
            </w:r>
            <w:r w:rsidR="002E577C">
              <w:rPr>
                <w:rFonts w:ascii="Arial" w:hAnsi="Arial" w:cs="Arial"/>
              </w:rPr>
              <w:t>18</w:t>
            </w:r>
            <w:r>
              <w:rPr>
                <w:rFonts w:ascii="Arial" w:hAnsi="Arial" w:cs="Arial"/>
              </w:rPr>
              <w:t>)</w:t>
            </w:r>
          </w:p>
        </w:tc>
        <w:tc>
          <w:tcPr>
            <w:tcW w:w="1417" w:type="dxa"/>
            <w:tcBorders>
              <w:left w:val="single" w:sz="4" w:space="0" w:color="auto"/>
              <w:bottom w:val="single" w:sz="4" w:space="0" w:color="auto"/>
              <w:right w:val="single" w:sz="4" w:space="0" w:color="auto"/>
            </w:tcBorders>
            <w:shd w:val="clear" w:color="auto" w:fill="auto"/>
            <w:vAlign w:val="center"/>
          </w:tcPr>
          <w:p w14:paraId="217B20F4" w14:textId="08C59BD1" w:rsidR="00062959" w:rsidRPr="00656C63" w:rsidRDefault="003D029D" w:rsidP="00062959">
            <w:pPr>
              <w:pStyle w:val="ListParagraph"/>
              <w:ind w:left="0"/>
              <w:jc w:val="right"/>
              <w:rPr>
                <w:rFonts w:ascii="Arial" w:hAnsi="Arial" w:cs="Arial"/>
              </w:rPr>
            </w:pPr>
            <w:r>
              <w:rPr>
                <w:rFonts w:ascii="Arial" w:hAnsi="Arial" w:cs="Arial"/>
              </w:rPr>
              <w:t>38.6</w:t>
            </w:r>
            <w:r w:rsidR="002E577C">
              <w:rPr>
                <w:rFonts w:ascii="Arial" w:hAnsi="Arial" w:cs="Arial"/>
              </w:rPr>
              <w:t>2</w:t>
            </w:r>
          </w:p>
        </w:tc>
        <w:tc>
          <w:tcPr>
            <w:tcW w:w="1417" w:type="dxa"/>
            <w:tcBorders>
              <w:left w:val="single" w:sz="4" w:space="0" w:color="auto"/>
              <w:bottom w:val="single" w:sz="4" w:space="0" w:color="auto"/>
              <w:right w:val="single" w:sz="4" w:space="0" w:color="auto"/>
            </w:tcBorders>
            <w:shd w:val="clear" w:color="auto" w:fill="auto"/>
            <w:vAlign w:val="center"/>
          </w:tcPr>
          <w:p w14:paraId="0BABE47F" w14:textId="7ABAD6A4" w:rsidR="00062959" w:rsidRPr="00656C63" w:rsidRDefault="00776F7C" w:rsidP="00062959">
            <w:pPr>
              <w:pStyle w:val="ListParagraph"/>
              <w:ind w:left="0"/>
              <w:jc w:val="right"/>
              <w:rPr>
                <w:rFonts w:ascii="Arial" w:hAnsi="Arial" w:cs="Arial"/>
              </w:rPr>
            </w:pPr>
            <w:r>
              <w:rPr>
                <w:rFonts w:ascii="Arial" w:hAnsi="Arial" w:cs="Arial"/>
              </w:rPr>
              <w:t>4.69</w:t>
            </w:r>
          </w:p>
        </w:tc>
      </w:tr>
      <w:tr w:rsidR="00062959" w:rsidRPr="00656C63" w14:paraId="2EBD86A2"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56F6DFE1" w14:textId="77777777" w:rsidR="00062959" w:rsidRPr="00656C63" w:rsidRDefault="00062959" w:rsidP="00062959">
            <w:pPr>
              <w:pStyle w:val="ListParagraph"/>
              <w:ind w:left="0"/>
              <w:rPr>
                <w:rFonts w:ascii="Arial" w:hAnsi="Arial" w:cs="Arial"/>
                <w:b/>
                <w:bCs/>
              </w:rPr>
            </w:pPr>
            <w:r w:rsidRPr="00656C63">
              <w:rPr>
                <w:rFonts w:ascii="Arial" w:hAnsi="Arial" w:cs="Arial"/>
                <w:b/>
                <w:bCs/>
              </w:rPr>
              <w:t>Total investments</w:t>
            </w:r>
          </w:p>
        </w:tc>
        <w:tc>
          <w:tcPr>
            <w:tcW w:w="1417" w:type="dxa"/>
            <w:tcBorders>
              <w:top w:val="single" w:sz="4" w:space="0" w:color="auto"/>
              <w:left w:val="single" w:sz="4" w:space="0" w:color="auto"/>
              <w:bottom w:val="single" w:sz="4" w:space="0" w:color="auto"/>
              <w:right w:val="single" w:sz="4" w:space="0" w:color="auto"/>
            </w:tcBorders>
            <w:vAlign w:val="center"/>
          </w:tcPr>
          <w:p w14:paraId="4F3AD328" w14:textId="009A7781" w:rsidR="00062959" w:rsidRPr="00656C63" w:rsidRDefault="00062959" w:rsidP="00062959">
            <w:pPr>
              <w:pStyle w:val="ListParagraph"/>
              <w:ind w:left="0"/>
              <w:jc w:val="right"/>
              <w:rPr>
                <w:rFonts w:ascii="Arial" w:hAnsi="Arial" w:cs="Arial"/>
                <w:b/>
                <w:bCs/>
              </w:rPr>
            </w:pPr>
            <w:r>
              <w:rPr>
                <w:rFonts w:ascii="Arial" w:hAnsi="Arial" w:cs="Arial"/>
                <w:b/>
                <w:bCs/>
              </w:rPr>
              <w:t>106.9</w:t>
            </w:r>
            <w:r w:rsidR="002E577C">
              <w:rPr>
                <w:rFonts w:ascii="Arial" w:hAnsi="Arial" w:cs="Arial"/>
                <w:b/>
                <w:bCs/>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55D209" w14:textId="44AF506D" w:rsidR="00062959" w:rsidRPr="00656C63" w:rsidRDefault="0014300F" w:rsidP="00062959">
            <w:pPr>
              <w:pStyle w:val="ListParagraph"/>
              <w:ind w:left="0"/>
              <w:jc w:val="right"/>
              <w:rPr>
                <w:rFonts w:ascii="Arial" w:hAnsi="Arial" w:cs="Arial"/>
                <w:b/>
                <w:bCs/>
              </w:rPr>
            </w:pPr>
            <w:r>
              <w:rPr>
                <w:rFonts w:ascii="Arial" w:hAnsi="Arial" w:cs="Arial"/>
                <w:b/>
                <w:bCs/>
              </w:rPr>
              <w:t>(23.</w:t>
            </w:r>
            <w:r w:rsidR="00176F6A">
              <w:rPr>
                <w:rFonts w:ascii="Arial" w:hAnsi="Arial" w:cs="Arial"/>
                <w:b/>
                <w:bCs/>
              </w:rPr>
              <w:t>17</w:t>
            </w:r>
            <w:r>
              <w:rPr>
                <w:rFonts w:ascii="Arial" w:hAnsi="Arial" w:cs="Arial"/>
                <w:b/>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677B4F" w14:textId="013FD471" w:rsidR="00062959" w:rsidRPr="00656C63" w:rsidRDefault="003D029D" w:rsidP="00062959">
            <w:pPr>
              <w:pStyle w:val="ListParagraph"/>
              <w:ind w:left="0"/>
              <w:jc w:val="right"/>
              <w:rPr>
                <w:rFonts w:ascii="Arial" w:hAnsi="Arial" w:cs="Arial"/>
                <w:b/>
                <w:bCs/>
              </w:rPr>
            </w:pPr>
            <w:r>
              <w:rPr>
                <w:rFonts w:ascii="Arial" w:hAnsi="Arial" w:cs="Arial"/>
                <w:b/>
                <w:bCs/>
              </w:rPr>
              <w:t>83.7</w:t>
            </w:r>
            <w:r w:rsidR="002E577C">
              <w:rPr>
                <w:rFonts w:ascii="Arial" w:hAnsi="Arial" w:cs="Arial"/>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F26FF2" w14:textId="1CF59085" w:rsidR="00062959" w:rsidRPr="00656C63" w:rsidRDefault="00776F7C" w:rsidP="00062959">
            <w:pPr>
              <w:pStyle w:val="ListParagraph"/>
              <w:ind w:left="0"/>
              <w:jc w:val="right"/>
              <w:rPr>
                <w:rFonts w:ascii="Arial" w:hAnsi="Arial" w:cs="Arial"/>
                <w:b/>
                <w:bCs/>
              </w:rPr>
            </w:pPr>
            <w:r>
              <w:rPr>
                <w:rFonts w:ascii="Arial" w:hAnsi="Arial" w:cs="Arial"/>
                <w:b/>
                <w:bCs/>
              </w:rPr>
              <w:t>4.50</w:t>
            </w:r>
          </w:p>
        </w:tc>
      </w:tr>
      <w:tr w:rsidR="00062959" w:rsidRPr="00BA4271" w14:paraId="6BE2E810" w14:textId="77777777" w:rsidTr="000A4678">
        <w:tc>
          <w:tcPr>
            <w:tcW w:w="3227" w:type="dxa"/>
            <w:tcBorders>
              <w:top w:val="single" w:sz="4" w:space="0" w:color="auto"/>
              <w:left w:val="single" w:sz="4" w:space="0" w:color="auto"/>
              <w:bottom w:val="single" w:sz="4" w:space="0" w:color="auto"/>
              <w:right w:val="single" w:sz="4" w:space="0" w:color="auto"/>
            </w:tcBorders>
            <w:shd w:val="clear" w:color="auto" w:fill="auto"/>
          </w:tcPr>
          <w:p w14:paraId="37E2C806" w14:textId="6EAA4ED2" w:rsidR="00062959" w:rsidRPr="00656C63" w:rsidRDefault="00062959" w:rsidP="00062959">
            <w:pPr>
              <w:pStyle w:val="ListParagraph"/>
              <w:ind w:left="0"/>
              <w:rPr>
                <w:rFonts w:ascii="Arial" w:hAnsi="Arial" w:cs="Arial"/>
                <w:b/>
                <w:bCs/>
              </w:rPr>
            </w:pPr>
            <w:r w:rsidRPr="00656C63">
              <w:rPr>
                <w:rFonts w:ascii="Arial" w:hAnsi="Arial" w:cs="Arial"/>
                <w:b/>
                <w:bCs/>
              </w:rPr>
              <w:t>Net treasury management investments</w:t>
            </w:r>
          </w:p>
        </w:tc>
        <w:tc>
          <w:tcPr>
            <w:tcW w:w="1417" w:type="dxa"/>
            <w:tcBorders>
              <w:top w:val="single" w:sz="4" w:space="0" w:color="auto"/>
              <w:left w:val="single" w:sz="4" w:space="0" w:color="auto"/>
              <w:bottom w:val="single" w:sz="4" w:space="0" w:color="auto"/>
              <w:right w:val="single" w:sz="4" w:space="0" w:color="auto"/>
            </w:tcBorders>
            <w:vAlign w:val="center"/>
          </w:tcPr>
          <w:p w14:paraId="75AD4EE5" w14:textId="40E735C7" w:rsidR="00062959" w:rsidRPr="00656C63" w:rsidRDefault="00062959" w:rsidP="00062959">
            <w:pPr>
              <w:pStyle w:val="ListParagraph"/>
              <w:ind w:left="0"/>
              <w:jc w:val="right"/>
              <w:rPr>
                <w:rFonts w:ascii="Arial" w:hAnsi="Arial" w:cs="Arial"/>
                <w:b/>
                <w:bCs/>
              </w:rPr>
            </w:pPr>
            <w:r>
              <w:rPr>
                <w:rFonts w:ascii="Arial" w:hAnsi="Arial" w:cs="Arial"/>
                <w:b/>
                <w:bCs/>
              </w:rPr>
              <w:t>77.2</w:t>
            </w:r>
            <w:r w:rsidR="002E577C">
              <w:rPr>
                <w:rFonts w:ascii="Arial" w:hAnsi="Arial" w:cs="Arial"/>
                <w:b/>
                <w:bCs/>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5B293" w14:textId="3186EA14" w:rsidR="00062959" w:rsidRPr="00656C63" w:rsidRDefault="0014300F" w:rsidP="00062959">
            <w:pPr>
              <w:pStyle w:val="ListParagraph"/>
              <w:ind w:left="0"/>
              <w:jc w:val="right"/>
              <w:rPr>
                <w:rFonts w:ascii="Arial" w:hAnsi="Arial" w:cs="Arial"/>
                <w:b/>
                <w:bCs/>
              </w:rPr>
            </w:pPr>
            <w:r>
              <w:rPr>
                <w:rFonts w:ascii="Arial" w:hAnsi="Arial" w:cs="Arial"/>
                <w:b/>
                <w:bCs/>
              </w:rPr>
              <w:t>(23.</w:t>
            </w:r>
            <w:r w:rsidR="00176F6A">
              <w:rPr>
                <w:rFonts w:ascii="Arial" w:hAnsi="Arial" w:cs="Arial"/>
                <w:b/>
                <w:bCs/>
              </w:rPr>
              <w:t>17</w:t>
            </w:r>
            <w:r>
              <w:rPr>
                <w:rFonts w:ascii="Arial" w:hAnsi="Arial" w:cs="Arial"/>
                <w:b/>
                <w:bCs/>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0AB03" w14:textId="0106E9B1" w:rsidR="00062959" w:rsidRPr="00656C63" w:rsidRDefault="0014300F" w:rsidP="00062959">
            <w:pPr>
              <w:pStyle w:val="ListParagraph"/>
              <w:ind w:left="0"/>
              <w:jc w:val="right"/>
              <w:rPr>
                <w:rFonts w:ascii="Arial" w:hAnsi="Arial" w:cs="Arial"/>
                <w:b/>
                <w:bCs/>
              </w:rPr>
            </w:pPr>
            <w:r>
              <w:rPr>
                <w:rFonts w:ascii="Arial" w:hAnsi="Arial" w:cs="Arial"/>
                <w:b/>
                <w:bCs/>
              </w:rPr>
              <w:t>54.0</w:t>
            </w:r>
            <w:r w:rsidR="002E577C">
              <w:rPr>
                <w:rFonts w:ascii="Arial" w:hAnsi="Arial" w:cs="Arial"/>
                <w:b/>
                <w:bCs/>
              </w:rPr>
              <w:t>4</w:t>
            </w:r>
          </w:p>
        </w:tc>
        <w:tc>
          <w:tcPr>
            <w:tcW w:w="1417" w:type="dxa"/>
            <w:tcBorders>
              <w:top w:val="single" w:sz="4" w:space="0" w:color="auto"/>
              <w:left w:val="single" w:sz="4" w:space="0" w:color="auto"/>
              <w:bottom w:val="single" w:sz="4" w:space="0" w:color="auto"/>
              <w:right w:val="single" w:sz="4" w:space="0" w:color="auto"/>
            </w:tcBorders>
            <w:shd w:val="clear" w:color="auto" w:fill="BFBFBF"/>
            <w:vAlign w:val="center"/>
          </w:tcPr>
          <w:p w14:paraId="7A5D646F" w14:textId="77777777" w:rsidR="00062959" w:rsidRPr="00656C63" w:rsidRDefault="00062959" w:rsidP="00062959">
            <w:pPr>
              <w:pStyle w:val="ListParagraph"/>
              <w:ind w:left="0"/>
              <w:jc w:val="right"/>
              <w:rPr>
                <w:rFonts w:ascii="Arial" w:hAnsi="Arial" w:cs="Arial"/>
                <w:b/>
                <w:bCs/>
              </w:rPr>
            </w:pPr>
          </w:p>
        </w:tc>
      </w:tr>
    </w:tbl>
    <w:p w14:paraId="7AEDA3D2" w14:textId="2DDFAACF" w:rsidR="00F613B7" w:rsidRPr="000A4678" w:rsidRDefault="00F613B7" w:rsidP="00F613B7">
      <w:pPr>
        <w:pStyle w:val="ListParagraph"/>
        <w:spacing w:after="240"/>
        <w:rPr>
          <w:rFonts w:ascii="Arial" w:hAnsi="Arial" w:cs="Arial"/>
          <w:sz w:val="20"/>
          <w:szCs w:val="20"/>
        </w:rPr>
      </w:pPr>
      <w:r w:rsidRPr="000A4678">
        <w:rPr>
          <w:rFonts w:ascii="Arial" w:hAnsi="Arial" w:cs="Arial"/>
          <w:sz w:val="20"/>
          <w:szCs w:val="20"/>
        </w:rPr>
        <w:t xml:space="preserve">Note: </w:t>
      </w:r>
      <w:proofErr w:type="gramStart"/>
      <w:r w:rsidRPr="000A4678">
        <w:rPr>
          <w:rFonts w:ascii="Arial" w:hAnsi="Arial" w:cs="Arial"/>
          <w:sz w:val="20"/>
          <w:szCs w:val="20"/>
        </w:rPr>
        <w:t>the</w:t>
      </w:r>
      <w:proofErr w:type="gramEnd"/>
      <w:r w:rsidR="00A81C99" w:rsidRPr="00A81C99">
        <w:rPr>
          <w:rFonts w:ascii="Arial" w:hAnsi="Arial" w:cs="Arial"/>
          <w:sz w:val="20"/>
          <w:szCs w:val="20"/>
        </w:rPr>
        <w:t xml:space="preserve"> 31 March</w:t>
      </w:r>
      <w:r w:rsidR="00AA1EF1" w:rsidRPr="000A4678">
        <w:rPr>
          <w:rFonts w:ascii="Arial" w:hAnsi="Arial" w:cs="Arial"/>
          <w:sz w:val="20"/>
          <w:szCs w:val="20"/>
        </w:rPr>
        <w:t xml:space="preserve"> </w:t>
      </w:r>
      <w:r w:rsidR="00DB4437" w:rsidRPr="000A4678">
        <w:rPr>
          <w:rFonts w:ascii="Arial" w:hAnsi="Arial" w:cs="Arial"/>
          <w:sz w:val="20"/>
          <w:szCs w:val="20"/>
        </w:rPr>
        <w:t xml:space="preserve">figures </w:t>
      </w:r>
      <w:r w:rsidRPr="000A4678">
        <w:rPr>
          <w:rFonts w:ascii="Arial" w:hAnsi="Arial" w:cs="Arial"/>
          <w:sz w:val="20"/>
          <w:szCs w:val="20"/>
        </w:rPr>
        <w:t xml:space="preserve">in </w:t>
      </w:r>
      <w:r w:rsidR="00C657AA" w:rsidRPr="000A4678">
        <w:rPr>
          <w:rFonts w:ascii="Arial" w:hAnsi="Arial" w:cs="Arial"/>
          <w:sz w:val="20"/>
          <w:szCs w:val="20"/>
        </w:rPr>
        <w:t>T</w:t>
      </w:r>
      <w:r w:rsidRPr="000A4678">
        <w:rPr>
          <w:rFonts w:ascii="Arial" w:hAnsi="Arial" w:cs="Arial"/>
          <w:sz w:val="20"/>
          <w:szCs w:val="20"/>
        </w:rPr>
        <w:t>able</w:t>
      </w:r>
      <w:r w:rsidR="00C657AA" w:rsidRPr="000A4678">
        <w:rPr>
          <w:rFonts w:ascii="Arial" w:hAnsi="Arial" w:cs="Arial"/>
          <w:sz w:val="20"/>
          <w:szCs w:val="20"/>
        </w:rPr>
        <w:t xml:space="preserve"> 2</w:t>
      </w:r>
      <w:r w:rsidRPr="000A4678">
        <w:rPr>
          <w:rFonts w:ascii="Arial" w:hAnsi="Arial" w:cs="Arial"/>
          <w:sz w:val="20"/>
          <w:szCs w:val="20"/>
        </w:rPr>
        <w:t xml:space="preserve"> are</w:t>
      </w:r>
      <w:r w:rsidR="005904B3" w:rsidRPr="000A4678">
        <w:rPr>
          <w:rFonts w:ascii="Arial" w:hAnsi="Arial" w:cs="Arial"/>
          <w:sz w:val="20"/>
          <w:szCs w:val="20"/>
        </w:rPr>
        <w:t xml:space="preserve"> taken</w:t>
      </w:r>
      <w:r w:rsidRPr="000A4678">
        <w:rPr>
          <w:rFonts w:ascii="Arial" w:hAnsi="Arial" w:cs="Arial"/>
          <w:sz w:val="20"/>
          <w:szCs w:val="20"/>
        </w:rPr>
        <w:t xml:space="preserve"> from the balance sheet in the PCC’s accounts, but adjusted to exclude operational cash, accrued interest and other accounting adjustments</w:t>
      </w:r>
      <w:r w:rsidR="009D7EAA">
        <w:rPr>
          <w:rFonts w:ascii="Arial" w:hAnsi="Arial" w:cs="Arial"/>
          <w:sz w:val="20"/>
          <w:szCs w:val="20"/>
        </w:rPr>
        <w:t>, and therefore differ from Table 1</w:t>
      </w:r>
      <w:r w:rsidRPr="000A4678">
        <w:rPr>
          <w:rFonts w:ascii="Arial" w:hAnsi="Arial" w:cs="Arial"/>
          <w:sz w:val="20"/>
          <w:szCs w:val="20"/>
        </w:rPr>
        <w:t>.</w:t>
      </w:r>
    </w:p>
    <w:p w14:paraId="29071664" w14:textId="2FC0C617" w:rsidR="00315C49" w:rsidRPr="00D165EC" w:rsidRDefault="002D57AA" w:rsidP="003C3808">
      <w:pPr>
        <w:pStyle w:val="ListParagraph"/>
        <w:numPr>
          <w:ilvl w:val="1"/>
          <w:numId w:val="2"/>
        </w:numPr>
        <w:spacing w:after="240"/>
        <w:ind w:left="720" w:hanging="720"/>
        <w:rPr>
          <w:rFonts w:ascii="Arial" w:hAnsi="Arial" w:cs="Arial"/>
        </w:rPr>
      </w:pPr>
      <w:r w:rsidRPr="00D165EC">
        <w:rPr>
          <w:rFonts w:ascii="Arial" w:hAnsi="Arial" w:cs="Arial"/>
        </w:rPr>
        <w:t xml:space="preserve">The </w:t>
      </w:r>
      <w:r w:rsidR="00176F6A">
        <w:rPr>
          <w:rFonts w:ascii="Arial" w:hAnsi="Arial" w:cs="Arial"/>
        </w:rPr>
        <w:t>decrease</w:t>
      </w:r>
      <w:r w:rsidRPr="00D165EC">
        <w:rPr>
          <w:rFonts w:ascii="Arial" w:hAnsi="Arial" w:cs="Arial"/>
        </w:rPr>
        <w:t xml:space="preserve"> in net investments of £</w:t>
      </w:r>
      <w:r w:rsidR="00176F6A">
        <w:rPr>
          <w:rFonts w:ascii="Arial" w:hAnsi="Arial" w:cs="Arial"/>
        </w:rPr>
        <w:t>23.17</w:t>
      </w:r>
      <w:r w:rsidRPr="00D165EC">
        <w:rPr>
          <w:rFonts w:ascii="Arial" w:hAnsi="Arial" w:cs="Arial"/>
        </w:rPr>
        <w:t>m shown in Table 2 reflect</w:t>
      </w:r>
      <w:r w:rsidR="00C97242">
        <w:rPr>
          <w:rFonts w:ascii="Arial" w:hAnsi="Arial" w:cs="Arial"/>
        </w:rPr>
        <w:t xml:space="preserve"> the prepayment of three years’ worth of employer pension contributions on 1</w:t>
      </w:r>
      <w:r w:rsidR="00C97242" w:rsidRPr="005B4B88">
        <w:rPr>
          <w:rFonts w:ascii="Arial" w:hAnsi="Arial" w:cs="Arial"/>
          <w:vertAlign w:val="superscript"/>
        </w:rPr>
        <w:t>st</w:t>
      </w:r>
      <w:r w:rsidR="00C97242">
        <w:rPr>
          <w:rFonts w:ascii="Arial" w:hAnsi="Arial" w:cs="Arial"/>
        </w:rPr>
        <w:t xml:space="preserve"> April</w:t>
      </w:r>
      <w:r w:rsidR="00E83B0C" w:rsidRPr="00725A62">
        <w:rPr>
          <w:rFonts w:ascii="Arial" w:hAnsi="Arial" w:cs="Arial"/>
        </w:rPr>
        <w:t>.</w:t>
      </w:r>
      <w:r w:rsidR="00E83B0C" w:rsidRPr="00D165EC">
        <w:rPr>
          <w:rFonts w:ascii="Arial" w:hAnsi="Arial" w:cs="Arial"/>
        </w:rPr>
        <w:t xml:space="preserve">  </w:t>
      </w:r>
    </w:p>
    <w:p w14:paraId="73AC55B5" w14:textId="48B4996A" w:rsidR="00357A26" w:rsidRPr="00D165EC" w:rsidRDefault="00357A26" w:rsidP="003C3808">
      <w:pPr>
        <w:pStyle w:val="ListParagraph"/>
        <w:numPr>
          <w:ilvl w:val="1"/>
          <w:numId w:val="2"/>
        </w:numPr>
        <w:spacing w:after="240"/>
        <w:ind w:left="720" w:hanging="720"/>
        <w:rPr>
          <w:rFonts w:ascii="Arial" w:hAnsi="Arial" w:cs="Arial"/>
        </w:rPr>
      </w:pPr>
      <w:r>
        <w:rPr>
          <w:rFonts w:ascii="Arial" w:hAnsi="Arial" w:cs="Arial"/>
        </w:rPr>
        <w:t xml:space="preserve">The overall level of investments </w:t>
      </w:r>
      <w:r w:rsidR="00AA724A">
        <w:rPr>
          <w:rFonts w:ascii="Arial" w:hAnsi="Arial" w:cs="Arial"/>
        </w:rPr>
        <w:t xml:space="preserve">provides </w:t>
      </w:r>
      <w:r w:rsidR="00E608A4">
        <w:rPr>
          <w:rFonts w:ascii="Arial" w:hAnsi="Arial" w:cs="Arial"/>
        </w:rPr>
        <w:t xml:space="preserve">significant </w:t>
      </w:r>
      <w:r w:rsidR="00AA724A">
        <w:rPr>
          <w:rFonts w:ascii="Arial" w:hAnsi="Arial" w:cs="Arial"/>
        </w:rPr>
        <w:t xml:space="preserve">financial resilience for the PCC, albeit that </w:t>
      </w:r>
      <w:proofErr w:type="gramStart"/>
      <w:r w:rsidR="00AA724A">
        <w:rPr>
          <w:rFonts w:ascii="Arial" w:hAnsi="Arial" w:cs="Arial"/>
        </w:rPr>
        <w:t>the majority of</w:t>
      </w:r>
      <w:proofErr w:type="gramEnd"/>
      <w:r w:rsidR="00AA724A">
        <w:rPr>
          <w:rFonts w:ascii="Arial" w:hAnsi="Arial" w:cs="Arial"/>
        </w:rPr>
        <w:t xml:space="preserve"> the reserves are ringfenced and set aside for specific purposes; the expectation is that reserves will be drawn down significantly over the next few years, particularly to support the capital </w:t>
      </w:r>
      <w:r w:rsidR="00AA724A">
        <w:rPr>
          <w:rFonts w:ascii="Arial" w:hAnsi="Arial" w:cs="Arial"/>
        </w:rPr>
        <w:lastRenderedPageBreak/>
        <w:t xml:space="preserve">programme, major equipment purchase, IT infrastructure </w:t>
      </w:r>
      <w:r w:rsidR="00456EBB">
        <w:rPr>
          <w:rFonts w:ascii="Arial" w:hAnsi="Arial" w:cs="Arial"/>
        </w:rPr>
        <w:t>and device replacement, Operation Magenta and to fund inflation pressures.</w:t>
      </w:r>
    </w:p>
    <w:p w14:paraId="5DF561B8" w14:textId="77777777" w:rsidR="00557178" w:rsidRPr="00F5079D" w:rsidRDefault="00557178" w:rsidP="00557178">
      <w:pPr>
        <w:keepNext/>
        <w:numPr>
          <w:ilvl w:val="0"/>
          <w:numId w:val="2"/>
        </w:numPr>
        <w:tabs>
          <w:tab w:val="num" w:pos="720"/>
        </w:tabs>
        <w:spacing w:after="240"/>
        <w:ind w:left="431" w:hanging="431"/>
        <w:outlineLvl w:val="0"/>
        <w:rPr>
          <w:rFonts w:ascii="Arial" w:hAnsi="Arial" w:cs="Arial"/>
          <w:b/>
        </w:rPr>
      </w:pPr>
      <w:r w:rsidRPr="00F5079D">
        <w:rPr>
          <w:rFonts w:ascii="Arial" w:hAnsi="Arial" w:cs="Arial"/>
          <w:b/>
        </w:rPr>
        <w:t>Borrowing Update</w:t>
      </w:r>
    </w:p>
    <w:p w14:paraId="0245BEB0" w14:textId="7F1D9346" w:rsidR="00F5079D" w:rsidRPr="00F5079D" w:rsidRDefault="00F5079D" w:rsidP="00F5079D">
      <w:pPr>
        <w:pStyle w:val="ListParagraph"/>
        <w:numPr>
          <w:ilvl w:val="1"/>
          <w:numId w:val="2"/>
        </w:numPr>
        <w:spacing w:after="240"/>
        <w:ind w:left="720" w:hanging="720"/>
        <w:rPr>
          <w:rFonts w:ascii="Arial" w:hAnsi="Arial" w:cs="Arial"/>
        </w:rPr>
      </w:pPr>
      <w:r w:rsidRPr="00F5079D">
        <w:rPr>
          <w:rFonts w:ascii="Arial" w:hAnsi="Arial" w:cs="Arial"/>
        </w:rPr>
        <w:t xml:space="preserve">The </w:t>
      </w:r>
      <w:r>
        <w:rPr>
          <w:rFonts w:ascii="Arial" w:hAnsi="Arial" w:cs="Arial"/>
        </w:rPr>
        <w:t>PCC</w:t>
      </w:r>
      <w:r w:rsidRPr="00F5079D">
        <w:rPr>
          <w:rFonts w:ascii="Arial" w:hAnsi="Arial" w:cs="Arial"/>
        </w:rPr>
        <w:t xml:space="preserve"> has no </w:t>
      </w:r>
      <w:r w:rsidR="00665F30">
        <w:rPr>
          <w:rFonts w:ascii="Arial" w:hAnsi="Arial" w:cs="Arial"/>
        </w:rPr>
        <w:t xml:space="preserve">current </w:t>
      </w:r>
      <w:r w:rsidRPr="00F5079D">
        <w:rPr>
          <w:rFonts w:ascii="Arial" w:hAnsi="Arial" w:cs="Arial"/>
        </w:rPr>
        <w:t xml:space="preserve">plans to borrow to invest primarily for commercial return </w:t>
      </w:r>
      <w:r w:rsidR="00050C91">
        <w:rPr>
          <w:rFonts w:ascii="Arial" w:hAnsi="Arial" w:cs="Arial"/>
        </w:rPr>
        <w:t xml:space="preserve">in </w:t>
      </w:r>
      <w:r w:rsidR="008E1B00">
        <w:rPr>
          <w:rFonts w:ascii="Arial" w:hAnsi="Arial" w:cs="Arial"/>
        </w:rPr>
        <w:t>2023/24</w:t>
      </w:r>
      <w:r w:rsidR="000F26F0">
        <w:rPr>
          <w:rFonts w:ascii="Arial" w:hAnsi="Arial" w:cs="Arial"/>
        </w:rPr>
        <w:t xml:space="preserve"> </w:t>
      </w:r>
      <w:r w:rsidRPr="00F5079D">
        <w:rPr>
          <w:rFonts w:ascii="Arial" w:hAnsi="Arial" w:cs="Arial"/>
        </w:rPr>
        <w:t xml:space="preserve">and so is </w:t>
      </w:r>
      <w:r w:rsidR="00050C91">
        <w:rPr>
          <w:rFonts w:ascii="Arial" w:hAnsi="Arial" w:cs="Arial"/>
        </w:rPr>
        <w:t xml:space="preserve">currently </w:t>
      </w:r>
      <w:r w:rsidRPr="00F5079D">
        <w:rPr>
          <w:rFonts w:ascii="Arial" w:hAnsi="Arial" w:cs="Arial"/>
        </w:rPr>
        <w:t xml:space="preserve">unaffected by the changes to the Prudential Code. </w:t>
      </w:r>
    </w:p>
    <w:p w14:paraId="48B12567" w14:textId="1A34A986" w:rsidR="00F5079D" w:rsidRPr="00056778" w:rsidRDefault="00F5079D" w:rsidP="00F5079D">
      <w:pPr>
        <w:pStyle w:val="ListParagraph"/>
        <w:numPr>
          <w:ilvl w:val="1"/>
          <w:numId w:val="2"/>
        </w:numPr>
        <w:spacing w:after="240"/>
        <w:ind w:left="720" w:hanging="720"/>
        <w:rPr>
          <w:rFonts w:ascii="Arial" w:hAnsi="Arial" w:cs="Arial"/>
        </w:rPr>
      </w:pPr>
      <w:r w:rsidRPr="00056778">
        <w:rPr>
          <w:rFonts w:ascii="Arial" w:hAnsi="Arial" w:cs="Arial"/>
        </w:rPr>
        <w:t>The PCC is not planning to purchase any investment assets primarily for yield</w:t>
      </w:r>
      <w:r w:rsidR="00050C91">
        <w:rPr>
          <w:rFonts w:ascii="Arial" w:hAnsi="Arial" w:cs="Arial"/>
        </w:rPr>
        <w:t xml:space="preserve"> during 2023/24</w:t>
      </w:r>
      <w:r w:rsidRPr="00056778">
        <w:rPr>
          <w:rFonts w:ascii="Arial" w:hAnsi="Arial" w:cs="Arial"/>
        </w:rPr>
        <w:t>, so is able to retain full access to the PWLB</w:t>
      </w:r>
      <w:r w:rsidR="00455DF2">
        <w:rPr>
          <w:rFonts w:ascii="Arial" w:hAnsi="Arial" w:cs="Arial"/>
        </w:rPr>
        <w:t xml:space="preserve"> (albeit</w:t>
      </w:r>
      <w:r w:rsidRPr="00056778">
        <w:rPr>
          <w:rFonts w:ascii="Arial" w:hAnsi="Arial" w:cs="Arial"/>
        </w:rPr>
        <w:t xml:space="preserve"> there are no plans to take on any new external borrowing</w:t>
      </w:r>
      <w:r w:rsidR="00455DF2">
        <w:rPr>
          <w:rFonts w:ascii="Arial" w:hAnsi="Arial" w:cs="Arial"/>
        </w:rPr>
        <w:t>)</w:t>
      </w:r>
      <w:r w:rsidRPr="00056778">
        <w:rPr>
          <w:rFonts w:ascii="Arial" w:hAnsi="Arial" w:cs="Arial"/>
        </w:rPr>
        <w:t>.</w:t>
      </w:r>
    </w:p>
    <w:p w14:paraId="4EF4B47D" w14:textId="1A400788" w:rsidR="00F5079D" w:rsidRPr="00F5079D" w:rsidRDefault="00F5079D" w:rsidP="00F5079D">
      <w:pPr>
        <w:pStyle w:val="ListParagraph"/>
        <w:numPr>
          <w:ilvl w:val="1"/>
          <w:numId w:val="2"/>
        </w:numPr>
        <w:spacing w:after="240"/>
        <w:ind w:left="720" w:hanging="720"/>
        <w:rPr>
          <w:rFonts w:ascii="Arial" w:hAnsi="Arial" w:cs="Arial"/>
        </w:rPr>
      </w:pPr>
      <w:r w:rsidRPr="00F5079D">
        <w:rPr>
          <w:rFonts w:ascii="Arial" w:hAnsi="Arial" w:cs="Arial"/>
        </w:rPr>
        <w:t xml:space="preserve">Further, the </w:t>
      </w:r>
      <w:r w:rsidR="00FD3498">
        <w:rPr>
          <w:rFonts w:ascii="Arial" w:hAnsi="Arial" w:cs="Arial"/>
        </w:rPr>
        <w:t>PCC</w:t>
      </w:r>
      <w:r w:rsidRPr="00F5079D">
        <w:rPr>
          <w:rFonts w:ascii="Arial" w:hAnsi="Arial" w:cs="Arial"/>
        </w:rPr>
        <w:t xml:space="preserve"> has and may continue to invest in pooled funds as part of its Treasury Management strategy. This is not a policy to primarily generate yield but part of the implementation of the wider Treasury Management strategy to invest the </w:t>
      </w:r>
      <w:r w:rsidR="00FD3498">
        <w:rPr>
          <w:rFonts w:ascii="Arial" w:hAnsi="Arial" w:cs="Arial"/>
        </w:rPr>
        <w:t>PCC</w:t>
      </w:r>
      <w:r w:rsidRPr="00F5079D">
        <w:rPr>
          <w:rFonts w:ascii="Arial" w:hAnsi="Arial" w:cs="Arial"/>
        </w:rPr>
        <w:t xml:space="preserve">’s surplus cash and reserves ensuring it is investing its funds prudently, having regard to the security and liquidity of its treasury investments before seeking the optimum rate of return, or yield.  By investing a diversified portfolio in respect of yield this meets the </w:t>
      </w:r>
      <w:r w:rsidR="008C30BA">
        <w:rPr>
          <w:rFonts w:ascii="Arial" w:hAnsi="Arial" w:cs="Arial"/>
        </w:rPr>
        <w:t>PCC</w:t>
      </w:r>
      <w:r w:rsidRPr="00F5079D">
        <w:rPr>
          <w:rFonts w:ascii="Arial" w:hAnsi="Arial" w:cs="Arial"/>
        </w:rPr>
        <w:t>’s aim of protecting reserves from high inflation.</w:t>
      </w:r>
    </w:p>
    <w:p w14:paraId="017BF8B5" w14:textId="4E2E4E06" w:rsidR="00757633" w:rsidRPr="006B5105" w:rsidRDefault="00F5079D">
      <w:pPr>
        <w:pStyle w:val="ListParagraph"/>
        <w:numPr>
          <w:ilvl w:val="1"/>
          <w:numId w:val="2"/>
        </w:numPr>
        <w:spacing w:after="240"/>
        <w:ind w:left="720" w:hanging="720"/>
        <w:rPr>
          <w:rFonts w:ascii="Arial" w:hAnsi="Arial" w:cs="Arial"/>
        </w:rPr>
      </w:pPr>
      <w:r w:rsidRPr="006B5105">
        <w:rPr>
          <w:rFonts w:ascii="Arial" w:hAnsi="Arial" w:cs="Arial"/>
        </w:rPr>
        <w:t xml:space="preserve">The </w:t>
      </w:r>
      <w:r w:rsidR="008C30BA" w:rsidRPr="006B5105">
        <w:rPr>
          <w:rFonts w:ascii="Arial" w:hAnsi="Arial" w:cs="Arial"/>
        </w:rPr>
        <w:t>PCC</w:t>
      </w:r>
      <w:r w:rsidRPr="006B5105">
        <w:rPr>
          <w:rFonts w:ascii="Arial" w:hAnsi="Arial" w:cs="Arial"/>
        </w:rPr>
        <w:t xml:space="preserve"> is a net investor and expects a negative liability benchmark </w:t>
      </w:r>
      <w:r w:rsidR="006D7990" w:rsidRPr="00EF397C">
        <w:rPr>
          <w:rFonts w:ascii="Arial" w:hAnsi="Arial" w:cs="Arial"/>
        </w:rPr>
        <w:t>up to and includ</w:t>
      </w:r>
      <w:r w:rsidR="00F43801" w:rsidRPr="00EF397C">
        <w:rPr>
          <w:rFonts w:ascii="Arial" w:hAnsi="Arial" w:cs="Arial"/>
        </w:rPr>
        <w:t>ing</w:t>
      </w:r>
      <w:r w:rsidR="00850155" w:rsidRPr="006B5105">
        <w:rPr>
          <w:rFonts w:ascii="Arial" w:hAnsi="Arial" w:cs="Arial"/>
        </w:rPr>
        <w:t xml:space="preserve"> 202</w:t>
      </w:r>
      <w:r w:rsidR="00BA05F7">
        <w:rPr>
          <w:rFonts w:ascii="Arial" w:hAnsi="Arial" w:cs="Arial"/>
        </w:rPr>
        <w:t>6</w:t>
      </w:r>
      <w:r w:rsidR="00850155" w:rsidRPr="006B5105">
        <w:rPr>
          <w:rFonts w:ascii="Arial" w:hAnsi="Arial" w:cs="Arial"/>
        </w:rPr>
        <w:t>/2</w:t>
      </w:r>
      <w:r w:rsidR="00BA05F7">
        <w:rPr>
          <w:rFonts w:ascii="Arial" w:hAnsi="Arial" w:cs="Arial"/>
        </w:rPr>
        <w:t>7</w:t>
      </w:r>
      <w:r w:rsidRPr="006B5105">
        <w:rPr>
          <w:rFonts w:ascii="Arial" w:hAnsi="Arial" w:cs="Arial"/>
        </w:rPr>
        <w:t>, meaning that there is not</w:t>
      </w:r>
      <w:r w:rsidR="009402B2" w:rsidRPr="006B5105">
        <w:rPr>
          <w:rFonts w:ascii="Arial" w:hAnsi="Arial" w:cs="Arial"/>
        </w:rPr>
        <w:t xml:space="preserve"> currently</w:t>
      </w:r>
      <w:r w:rsidRPr="006B5105">
        <w:rPr>
          <w:rFonts w:ascii="Arial" w:hAnsi="Arial" w:cs="Arial"/>
        </w:rPr>
        <w:t xml:space="preserve"> a requirement to </w:t>
      </w:r>
      <w:r w:rsidR="00584159">
        <w:rPr>
          <w:rFonts w:ascii="Arial" w:hAnsi="Arial" w:cs="Arial"/>
        </w:rPr>
        <w:t xml:space="preserve">undertake new </w:t>
      </w:r>
      <w:r w:rsidRPr="00584159">
        <w:rPr>
          <w:rFonts w:ascii="Arial" w:hAnsi="Arial" w:cs="Arial"/>
        </w:rPr>
        <w:t>borrow</w:t>
      </w:r>
      <w:r w:rsidR="00584159" w:rsidRPr="00584159">
        <w:rPr>
          <w:rFonts w:ascii="Arial" w:hAnsi="Arial" w:cs="Arial"/>
        </w:rPr>
        <w:t xml:space="preserve">ing </w:t>
      </w:r>
      <w:r w:rsidR="00F43801" w:rsidRPr="00942C39">
        <w:rPr>
          <w:rFonts w:ascii="Arial" w:hAnsi="Arial" w:cs="Arial"/>
        </w:rPr>
        <w:t>either internally or externally</w:t>
      </w:r>
      <w:r w:rsidR="009402B2" w:rsidRPr="00EF397C">
        <w:rPr>
          <w:rFonts w:ascii="Arial" w:hAnsi="Arial" w:cs="Arial"/>
        </w:rPr>
        <w:t>.</w:t>
      </w:r>
      <w:r w:rsidRPr="006B5105">
        <w:rPr>
          <w:rFonts w:ascii="Arial" w:hAnsi="Arial" w:cs="Arial"/>
        </w:rPr>
        <w:t xml:space="preserve"> </w:t>
      </w:r>
      <w:r w:rsidR="00757633" w:rsidRPr="006B5105">
        <w:rPr>
          <w:rFonts w:ascii="Arial" w:hAnsi="Arial" w:cs="Arial"/>
        </w:rPr>
        <w:t xml:space="preserve">It is expected that </w:t>
      </w:r>
      <w:r w:rsidR="00936CFF" w:rsidRPr="006B5105">
        <w:rPr>
          <w:rFonts w:ascii="Arial" w:hAnsi="Arial" w:cs="Arial"/>
        </w:rPr>
        <w:t xml:space="preserve">a forecast reduction in balance sheet resources </w:t>
      </w:r>
      <w:r w:rsidR="004833D5">
        <w:rPr>
          <w:rFonts w:ascii="Arial" w:hAnsi="Arial" w:cs="Arial"/>
        </w:rPr>
        <w:t>will</w:t>
      </w:r>
      <w:r w:rsidR="00757633" w:rsidRPr="00EF397C">
        <w:rPr>
          <w:rFonts w:ascii="Arial" w:hAnsi="Arial" w:cs="Arial"/>
        </w:rPr>
        <w:t xml:space="preserve"> result in a positive liability benchmark as </w:t>
      </w:r>
      <w:proofErr w:type="gramStart"/>
      <w:r w:rsidR="00757633" w:rsidRPr="00EF397C">
        <w:rPr>
          <w:rFonts w:ascii="Arial" w:hAnsi="Arial" w:cs="Arial"/>
        </w:rPr>
        <w:t>at</w:t>
      </w:r>
      <w:proofErr w:type="gramEnd"/>
      <w:r w:rsidR="00757633" w:rsidRPr="00EF397C">
        <w:rPr>
          <w:rFonts w:ascii="Arial" w:hAnsi="Arial" w:cs="Arial"/>
        </w:rPr>
        <w:t xml:space="preserve"> 31 March 202</w:t>
      </w:r>
      <w:r w:rsidR="00BA05F7" w:rsidRPr="00EF397C">
        <w:rPr>
          <w:rFonts w:ascii="Arial" w:hAnsi="Arial" w:cs="Arial"/>
        </w:rPr>
        <w:t>7</w:t>
      </w:r>
      <w:r w:rsidR="00757633" w:rsidRPr="00EF397C">
        <w:rPr>
          <w:rFonts w:ascii="Arial" w:hAnsi="Arial" w:cs="Arial"/>
        </w:rPr>
        <w:t xml:space="preserve">, </w:t>
      </w:r>
      <w:r w:rsidR="00E36A7E" w:rsidRPr="00EF397C">
        <w:rPr>
          <w:rFonts w:ascii="Arial" w:hAnsi="Arial" w:cs="Arial"/>
        </w:rPr>
        <w:t>however the liability benchmarking will be at or below</w:t>
      </w:r>
      <w:r w:rsidR="00D137F7" w:rsidRPr="00EF397C">
        <w:rPr>
          <w:rFonts w:ascii="Arial" w:hAnsi="Arial" w:cs="Arial"/>
        </w:rPr>
        <w:t xml:space="preserve"> the current level of external borrowing (after the recent repayment), which indicates that no further borrowing will be necessary in the forecast period</w:t>
      </w:r>
      <w:r w:rsidR="006B5105" w:rsidRPr="00EF397C">
        <w:rPr>
          <w:rFonts w:ascii="Arial" w:hAnsi="Arial" w:cs="Arial"/>
        </w:rPr>
        <w:t>.</w:t>
      </w:r>
      <w:r w:rsidR="00757633" w:rsidRPr="00EF397C">
        <w:rPr>
          <w:rFonts w:ascii="Arial" w:hAnsi="Arial" w:cs="Arial"/>
        </w:rPr>
        <w:t xml:space="preserve"> </w:t>
      </w:r>
    </w:p>
    <w:p w14:paraId="1679A930" w14:textId="5D67B614" w:rsidR="008C6C52" w:rsidRDefault="00491669" w:rsidP="00F5079D">
      <w:pPr>
        <w:pStyle w:val="ListParagraph"/>
        <w:numPr>
          <w:ilvl w:val="1"/>
          <w:numId w:val="2"/>
        </w:numPr>
        <w:spacing w:after="240"/>
        <w:ind w:left="720" w:hanging="720"/>
        <w:rPr>
          <w:rFonts w:ascii="Arial" w:hAnsi="Arial" w:cs="Arial"/>
        </w:rPr>
      </w:pPr>
      <w:r w:rsidRPr="00CA58B3">
        <w:rPr>
          <w:rFonts w:ascii="Arial" w:hAnsi="Arial" w:cs="Arial"/>
        </w:rPr>
        <w:t xml:space="preserve">With the changing interest rate environment, </w:t>
      </w:r>
      <w:r w:rsidR="00F8770D">
        <w:rPr>
          <w:rFonts w:ascii="Arial" w:hAnsi="Arial" w:cs="Arial"/>
        </w:rPr>
        <w:t xml:space="preserve">the </w:t>
      </w:r>
      <w:r w:rsidRPr="00CA58B3">
        <w:rPr>
          <w:rFonts w:ascii="Arial" w:hAnsi="Arial" w:cs="Arial"/>
        </w:rPr>
        <w:t xml:space="preserve">potential to repay </w:t>
      </w:r>
      <w:r w:rsidR="00414D85" w:rsidRPr="00CA58B3">
        <w:rPr>
          <w:rFonts w:ascii="Arial" w:hAnsi="Arial" w:cs="Arial"/>
        </w:rPr>
        <w:t xml:space="preserve">existing </w:t>
      </w:r>
      <w:r w:rsidRPr="00CA58B3">
        <w:rPr>
          <w:rFonts w:ascii="Arial" w:hAnsi="Arial" w:cs="Arial"/>
        </w:rPr>
        <w:t>PWLB debt</w:t>
      </w:r>
      <w:r w:rsidR="00B54FC8" w:rsidRPr="00CA58B3">
        <w:rPr>
          <w:rFonts w:ascii="Arial" w:hAnsi="Arial" w:cs="Arial"/>
        </w:rPr>
        <w:t xml:space="preserve"> </w:t>
      </w:r>
      <w:r w:rsidR="00471810" w:rsidRPr="00CA58B3">
        <w:rPr>
          <w:rFonts w:ascii="Arial" w:hAnsi="Arial" w:cs="Arial"/>
        </w:rPr>
        <w:t xml:space="preserve">as part of treasury management (so switching between external PWLB debt </w:t>
      </w:r>
      <w:r w:rsidR="00FB7746" w:rsidRPr="00CA58B3">
        <w:rPr>
          <w:rFonts w:ascii="Arial" w:hAnsi="Arial" w:cs="Arial"/>
        </w:rPr>
        <w:t xml:space="preserve">and </w:t>
      </w:r>
      <w:r w:rsidR="00471810" w:rsidRPr="00CA58B3">
        <w:rPr>
          <w:rFonts w:ascii="Arial" w:hAnsi="Arial" w:cs="Arial"/>
        </w:rPr>
        <w:t xml:space="preserve">internal borrowing) </w:t>
      </w:r>
      <w:r w:rsidR="00B9499E">
        <w:rPr>
          <w:rFonts w:ascii="Arial" w:hAnsi="Arial" w:cs="Arial"/>
        </w:rPr>
        <w:t xml:space="preserve">to </w:t>
      </w:r>
      <w:r w:rsidR="00FB7746" w:rsidRPr="00CA58B3">
        <w:rPr>
          <w:rFonts w:ascii="Arial" w:hAnsi="Arial" w:cs="Arial"/>
        </w:rPr>
        <w:t>provid</w:t>
      </w:r>
      <w:r w:rsidR="00B9499E">
        <w:rPr>
          <w:rFonts w:ascii="Arial" w:hAnsi="Arial" w:cs="Arial"/>
        </w:rPr>
        <w:t>e</w:t>
      </w:r>
      <w:r w:rsidR="00FB7746" w:rsidRPr="00CA58B3">
        <w:rPr>
          <w:rFonts w:ascii="Arial" w:hAnsi="Arial" w:cs="Arial"/>
        </w:rPr>
        <w:t xml:space="preserve"> a </w:t>
      </w:r>
      <w:proofErr w:type="gramStart"/>
      <w:r w:rsidR="00FB7746" w:rsidRPr="00CA58B3">
        <w:rPr>
          <w:rFonts w:ascii="Arial" w:hAnsi="Arial" w:cs="Arial"/>
        </w:rPr>
        <w:t>long term</w:t>
      </w:r>
      <w:proofErr w:type="gramEnd"/>
      <w:r w:rsidR="00FB7746" w:rsidRPr="00CA58B3">
        <w:rPr>
          <w:rFonts w:ascii="Arial" w:hAnsi="Arial" w:cs="Arial"/>
        </w:rPr>
        <w:t xml:space="preserve"> interest rate saving</w:t>
      </w:r>
      <w:r w:rsidR="00580770">
        <w:rPr>
          <w:rFonts w:ascii="Arial" w:hAnsi="Arial" w:cs="Arial"/>
        </w:rPr>
        <w:t xml:space="preserve"> has been reviewed</w:t>
      </w:r>
      <w:r w:rsidR="00FB7746" w:rsidRPr="00CA58B3">
        <w:rPr>
          <w:rFonts w:ascii="Arial" w:hAnsi="Arial" w:cs="Arial"/>
        </w:rPr>
        <w:t xml:space="preserve">. </w:t>
      </w:r>
    </w:p>
    <w:p w14:paraId="41A1D6CE" w14:textId="57014171" w:rsidR="00042FE1" w:rsidRDefault="00FB7746" w:rsidP="00F5079D">
      <w:pPr>
        <w:pStyle w:val="ListParagraph"/>
        <w:numPr>
          <w:ilvl w:val="1"/>
          <w:numId w:val="2"/>
        </w:numPr>
        <w:spacing w:after="240"/>
        <w:ind w:left="720" w:hanging="720"/>
        <w:rPr>
          <w:rFonts w:ascii="Arial" w:hAnsi="Arial" w:cs="Arial"/>
        </w:rPr>
      </w:pPr>
      <w:r w:rsidRPr="00CA58B3">
        <w:rPr>
          <w:rFonts w:ascii="Arial" w:hAnsi="Arial" w:cs="Arial"/>
        </w:rPr>
        <w:t xml:space="preserve">The market environment and in particular PWLB loan repayment rates </w:t>
      </w:r>
      <w:r w:rsidR="00FB6455">
        <w:rPr>
          <w:rFonts w:ascii="Arial" w:hAnsi="Arial" w:cs="Arial"/>
        </w:rPr>
        <w:t xml:space="preserve">were such that </w:t>
      </w:r>
      <w:r w:rsidR="008C6C52">
        <w:rPr>
          <w:rFonts w:ascii="Arial" w:hAnsi="Arial" w:cs="Arial"/>
        </w:rPr>
        <w:t>in August</w:t>
      </w:r>
      <w:r w:rsidR="00BF4E9B">
        <w:rPr>
          <w:rFonts w:ascii="Arial" w:hAnsi="Arial" w:cs="Arial"/>
        </w:rPr>
        <w:t xml:space="preserve"> 2023</w:t>
      </w:r>
      <w:r w:rsidR="008C6C52">
        <w:rPr>
          <w:rFonts w:ascii="Arial" w:hAnsi="Arial" w:cs="Arial"/>
        </w:rPr>
        <w:t xml:space="preserve"> </w:t>
      </w:r>
      <w:r w:rsidR="00CE02D5">
        <w:rPr>
          <w:rFonts w:ascii="Arial" w:hAnsi="Arial" w:cs="Arial"/>
        </w:rPr>
        <w:t xml:space="preserve">the repayment of a portion of PWLB debt </w:t>
      </w:r>
      <w:r w:rsidR="00625388">
        <w:rPr>
          <w:rFonts w:ascii="Arial" w:hAnsi="Arial" w:cs="Arial"/>
        </w:rPr>
        <w:t>became a</w:t>
      </w:r>
      <w:r w:rsidR="00652B5B">
        <w:rPr>
          <w:rFonts w:ascii="Arial" w:hAnsi="Arial" w:cs="Arial"/>
        </w:rPr>
        <w:t xml:space="preserve"> realistic option;</w:t>
      </w:r>
      <w:r w:rsidR="00333652" w:rsidRPr="00CA58B3">
        <w:rPr>
          <w:rFonts w:ascii="Arial" w:hAnsi="Arial" w:cs="Arial"/>
        </w:rPr>
        <w:t xml:space="preserve"> </w:t>
      </w:r>
      <w:r w:rsidR="001222A1">
        <w:rPr>
          <w:rFonts w:ascii="Arial" w:hAnsi="Arial" w:cs="Arial"/>
        </w:rPr>
        <w:t xml:space="preserve">whilst not undertaken in Q1, £10m of </w:t>
      </w:r>
      <w:r w:rsidR="00333652" w:rsidRPr="00CA58B3">
        <w:rPr>
          <w:rFonts w:ascii="Arial" w:hAnsi="Arial" w:cs="Arial"/>
        </w:rPr>
        <w:t>PWLB debt</w:t>
      </w:r>
      <w:r w:rsidR="008B6D9C">
        <w:rPr>
          <w:rFonts w:ascii="Arial" w:hAnsi="Arial" w:cs="Arial"/>
        </w:rPr>
        <w:t xml:space="preserve">, with an average </w:t>
      </w:r>
      <w:r w:rsidR="00F408DA">
        <w:rPr>
          <w:rFonts w:ascii="Arial" w:hAnsi="Arial" w:cs="Arial"/>
        </w:rPr>
        <w:t>date to redemption of 13.</w:t>
      </w:r>
      <w:r w:rsidR="009767F0">
        <w:rPr>
          <w:rFonts w:ascii="Arial" w:hAnsi="Arial" w:cs="Arial"/>
        </w:rPr>
        <w:t xml:space="preserve">5 </w:t>
      </w:r>
      <w:r w:rsidR="00F408DA">
        <w:rPr>
          <w:rFonts w:ascii="Arial" w:hAnsi="Arial" w:cs="Arial"/>
        </w:rPr>
        <w:t>years,</w:t>
      </w:r>
      <w:r w:rsidR="00333652" w:rsidRPr="00CA58B3">
        <w:rPr>
          <w:rFonts w:ascii="Arial" w:hAnsi="Arial" w:cs="Arial"/>
        </w:rPr>
        <w:t xml:space="preserve"> </w:t>
      </w:r>
      <w:r w:rsidR="001222A1">
        <w:rPr>
          <w:rFonts w:ascii="Arial" w:hAnsi="Arial" w:cs="Arial"/>
        </w:rPr>
        <w:t xml:space="preserve">was repaid in Q2 </w:t>
      </w:r>
      <w:r w:rsidR="00BC0E6F">
        <w:rPr>
          <w:rFonts w:ascii="Arial" w:hAnsi="Arial" w:cs="Arial"/>
        </w:rPr>
        <w:t>to take advantage of favourable redemption rates</w:t>
      </w:r>
      <w:r w:rsidR="00DD3CE7">
        <w:rPr>
          <w:rFonts w:ascii="Arial" w:hAnsi="Arial" w:cs="Arial"/>
        </w:rPr>
        <w:t xml:space="preserve"> in accord</w:t>
      </w:r>
      <w:r w:rsidR="00472EE0">
        <w:rPr>
          <w:rFonts w:ascii="Arial" w:hAnsi="Arial" w:cs="Arial"/>
        </w:rPr>
        <w:t>ance with advice taken from Arlingclose</w:t>
      </w:r>
      <w:r w:rsidR="00652B5B">
        <w:rPr>
          <w:rFonts w:ascii="Arial" w:hAnsi="Arial" w:cs="Arial"/>
        </w:rPr>
        <w:t>, securi</w:t>
      </w:r>
      <w:r w:rsidR="008B6D9C">
        <w:rPr>
          <w:rFonts w:ascii="Arial" w:hAnsi="Arial" w:cs="Arial"/>
        </w:rPr>
        <w:t xml:space="preserve">ng an interest rate saving of </w:t>
      </w:r>
      <w:r w:rsidR="008B6D9C" w:rsidRPr="00E96E08">
        <w:rPr>
          <w:rFonts w:ascii="Arial" w:hAnsi="Arial" w:cs="Arial"/>
        </w:rPr>
        <w:t>4.</w:t>
      </w:r>
      <w:r w:rsidR="00480C20">
        <w:rPr>
          <w:rFonts w:ascii="Arial" w:hAnsi="Arial" w:cs="Arial"/>
        </w:rPr>
        <w:t>42</w:t>
      </w:r>
      <w:r w:rsidR="008B6D9C" w:rsidRPr="00E96E08">
        <w:rPr>
          <w:rFonts w:ascii="Arial" w:hAnsi="Arial" w:cs="Arial"/>
        </w:rPr>
        <w:t>%</w:t>
      </w:r>
      <w:r w:rsidR="008B6D9C">
        <w:rPr>
          <w:rFonts w:ascii="Arial" w:hAnsi="Arial" w:cs="Arial"/>
        </w:rPr>
        <w:t xml:space="preserve"> for</w:t>
      </w:r>
      <w:r w:rsidR="00F408DA">
        <w:rPr>
          <w:rFonts w:ascii="Arial" w:hAnsi="Arial" w:cs="Arial"/>
        </w:rPr>
        <w:t xml:space="preserve"> the </w:t>
      </w:r>
      <w:r w:rsidR="004F761E">
        <w:rPr>
          <w:rFonts w:ascii="Arial" w:hAnsi="Arial" w:cs="Arial"/>
        </w:rPr>
        <w:t>13</w:t>
      </w:r>
      <w:r w:rsidR="0029365A">
        <w:rPr>
          <w:rFonts w:ascii="Arial" w:hAnsi="Arial" w:cs="Arial"/>
        </w:rPr>
        <w:t>.5</w:t>
      </w:r>
      <w:r w:rsidR="004F761E">
        <w:rPr>
          <w:rFonts w:ascii="Arial" w:hAnsi="Arial" w:cs="Arial"/>
        </w:rPr>
        <w:t xml:space="preserve"> years</w:t>
      </w:r>
      <w:r w:rsidR="00042FE1">
        <w:rPr>
          <w:rFonts w:ascii="Arial" w:hAnsi="Arial" w:cs="Arial"/>
        </w:rPr>
        <w:t>.</w:t>
      </w:r>
      <w:r w:rsidR="008B6D9C">
        <w:rPr>
          <w:rFonts w:ascii="Arial" w:hAnsi="Arial" w:cs="Arial"/>
        </w:rPr>
        <w:t xml:space="preserve"> </w:t>
      </w:r>
    </w:p>
    <w:p w14:paraId="1CBD089D" w14:textId="6638600B" w:rsidR="00F5079D" w:rsidRPr="00552B0C" w:rsidRDefault="004F761E" w:rsidP="00F5079D">
      <w:pPr>
        <w:pStyle w:val="ListParagraph"/>
        <w:numPr>
          <w:ilvl w:val="1"/>
          <w:numId w:val="2"/>
        </w:numPr>
        <w:spacing w:after="240"/>
        <w:ind w:left="720" w:hanging="720"/>
        <w:rPr>
          <w:rFonts w:ascii="Arial" w:hAnsi="Arial" w:cs="Arial"/>
        </w:rPr>
      </w:pPr>
      <w:r>
        <w:rPr>
          <w:rFonts w:ascii="Arial" w:hAnsi="Arial" w:cs="Arial"/>
        </w:rPr>
        <w:t xml:space="preserve">It is important to note that the underlying need to borrow has not reduced, and </w:t>
      </w:r>
      <w:r w:rsidR="00E86821">
        <w:rPr>
          <w:rFonts w:ascii="Arial" w:hAnsi="Arial" w:cs="Arial"/>
        </w:rPr>
        <w:t xml:space="preserve">that </w:t>
      </w:r>
      <w:r>
        <w:rPr>
          <w:rFonts w:ascii="Arial" w:hAnsi="Arial" w:cs="Arial"/>
        </w:rPr>
        <w:t xml:space="preserve">this is a treasury management decision to switch between </w:t>
      </w:r>
      <w:r w:rsidR="00444DC5">
        <w:rPr>
          <w:rFonts w:ascii="Arial" w:hAnsi="Arial" w:cs="Arial"/>
        </w:rPr>
        <w:t>external PWLB debt to ‘internal borrowing’ (in lieu of investing the £10m cash, we have repaid external d</w:t>
      </w:r>
      <w:r w:rsidR="008D3E4C">
        <w:rPr>
          <w:rFonts w:ascii="Arial" w:hAnsi="Arial" w:cs="Arial"/>
        </w:rPr>
        <w:t>ebt to effectively secure a ‘risk free’ interest saving</w:t>
      </w:r>
      <w:r w:rsidR="004C4402">
        <w:rPr>
          <w:rFonts w:ascii="Arial" w:hAnsi="Arial" w:cs="Arial"/>
        </w:rPr>
        <w:t xml:space="preserve">/return </w:t>
      </w:r>
      <w:r w:rsidR="008D3E4C">
        <w:rPr>
          <w:rFonts w:ascii="Arial" w:hAnsi="Arial" w:cs="Arial"/>
        </w:rPr>
        <w:t>of 4.</w:t>
      </w:r>
      <w:r w:rsidR="00480C20">
        <w:rPr>
          <w:rFonts w:ascii="Arial" w:hAnsi="Arial" w:cs="Arial"/>
        </w:rPr>
        <w:t>42</w:t>
      </w:r>
      <w:r w:rsidR="008D3E4C">
        <w:rPr>
          <w:rFonts w:ascii="Arial" w:hAnsi="Arial" w:cs="Arial"/>
        </w:rPr>
        <w:t>%</w:t>
      </w:r>
      <w:r w:rsidR="004C4402">
        <w:rPr>
          <w:rFonts w:ascii="Arial" w:hAnsi="Arial" w:cs="Arial"/>
        </w:rPr>
        <w:t xml:space="preserve"> </w:t>
      </w:r>
      <w:r w:rsidR="004C4402">
        <w:rPr>
          <w:rFonts w:ascii="Arial" w:hAnsi="Arial" w:cs="Arial"/>
        </w:rPr>
        <w:lastRenderedPageBreak/>
        <w:t>for 13.</w:t>
      </w:r>
      <w:r w:rsidR="004918BB">
        <w:rPr>
          <w:rFonts w:ascii="Arial" w:hAnsi="Arial" w:cs="Arial"/>
        </w:rPr>
        <w:t xml:space="preserve">5 </w:t>
      </w:r>
      <w:r w:rsidR="004C4402">
        <w:rPr>
          <w:rFonts w:ascii="Arial" w:hAnsi="Arial" w:cs="Arial"/>
        </w:rPr>
        <w:t>years).</w:t>
      </w:r>
      <w:r w:rsidR="00B51D5A">
        <w:rPr>
          <w:rFonts w:ascii="Arial" w:hAnsi="Arial" w:cs="Arial"/>
        </w:rPr>
        <w:t xml:space="preserve"> A further breakdown of this activity will be included in the Treasury Management mid-year report. </w:t>
      </w:r>
    </w:p>
    <w:p w14:paraId="2781C0D5" w14:textId="397F62FE" w:rsidR="006A2DD0" w:rsidRPr="008C30BA" w:rsidRDefault="00F613B7" w:rsidP="003C3808">
      <w:pPr>
        <w:keepNext/>
        <w:numPr>
          <w:ilvl w:val="0"/>
          <w:numId w:val="2"/>
        </w:numPr>
        <w:tabs>
          <w:tab w:val="num" w:pos="720"/>
        </w:tabs>
        <w:spacing w:after="240"/>
        <w:ind w:left="431" w:hanging="431"/>
        <w:outlineLvl w:val="0"/>
        <w:rPr>
          <w:rFonts w:ascii="Arial" w:hAnsi="Arial" w:cs="Arial"/>
          <w:b/>
        </w:rPr>
      </w:pPr>
      <w:r w:rsidRPr="008C30BA">
        <w:rPr>
          <w:rFonts w:ascii="Arial" w:hAnsi="Arial" w:cs="Arial"/>
          <w:b/>
        </w:rPr>
        <w:t xml:space="preserve">Borrowing </w:t>
      </w:r>
      <w:r w:rsidR="008C30BA" w:rsidRPr="008C30BA">
        <w:rPr>
          <w:rFonts w:ascii="Arial" w:hAnsi="Arial" w:cs="Arial"/>
          <w:b/>
        </w:rPr>
        <w:t>Strategy</w:t>
      </w:r>
    </w:p>
    <w:p w14:paraId="4E814BE8" w14:textId="089D8627" w:rsidR="00957A4E" w:rsidRPr="00496A0D" w:rsidRDefault="00514D86" w:rsidP="00C13431">
      <w:pPr>
        <w:pStyle w:val="ListParagraph"/>
        <w:numPr>
          <w:ilvl w:val="1"/>
          <w:numId w:val="2"/>
        </w:numPr>
        <w:spacing w:after="240"/>
        <w:ind w:left="720" w:hanging="720"/>
        <w:rPr>
          <w:rFonts w:ascii="Arial" w:hAnsi="Arial" w:cs="Arial"/>
        </w:rPr>
      </w:pPr>
      <w:proofErr w:type="gramStart"/>
      <w:r w:rsidRPr="00496A0D">
        <w:rPr>
          <w:rFonts w:ascii="Arial" w:hAnsi="Arial" w:cs="Arial"/>
        </w:rPr>
        <w:t>At</w:t>
      </w:r>
      <w:proofErr w:type="gramEnd"/>
      <w:r w:rsidRPr="00496A0D">
        <w:rPr>
          <w:rFonts w:ascii="Arial" w:hAnsi="Arial" w:cs="Arial"/>
        </w:rPr>
        <w:t xml:space="preserve"> 3</w:t>
      </w:r>
      <w:r w:rsidR="00B51D5A">
        <w:rPr>
          <w:rFonts w:ascii="Arial" w:hAnsi="Arial" w:cs="Arial"/>
        </w:rPr>
        <w:t>0 June</w:t>
      </w:r>
      <w:r w:rsidR="00F613B7" w:rsidRPr="00496A0D">
        <w:rPr>
          <w:rFonts w:ascii="Arial" w:hAnsi="Arial" w:cs="Arial"/>
        </w:rPr>
        <w:t xml:space="preserve"> </w:t>
      </w:r>
      <w:r w:rsidRPr="00496A0D">
        <w:rPr>
          <w:rFonts w:ascii="Arial" w:hAnsi="Arial" w:cs="Arial"/>
        </w:rPr>
        <w:t>20</w:t>
      </w:r>
      <w:r w:rsidR="005C019B" w:rsidRPr="00496A0D">
        <w:rPr>
          <w:rFonts w:ascii="Arial" w:hAnsi="Arial" w:cs="Arial"/>
        </w:rPr>
        <w:t>2</w:t>
      </w:r>
      <w:r w:rsidR="00844D6B" w:rsidRPr="00496A0D">
        <w:rPr>
          <w:rFonts w:ascii="Arial" w:hAnsi="Arial" w:cs="Arial"/>
        </w:rPr>
        <w:t>3</w:t>
      </w:r>
      <w:r w:rsidRPr="00496A0D">
        <w:rPr>
          <w:rFonts w:ascii="Arial" w:hAnsi="Arial" w:cs="Arial"/>
        </w:rPr>
        <w:t xml:space="preserve"> the </w:t>
      </w:r>
      <w:r w:rsidR="00564BE3" w:rsidRPr="00496A0D">
        <w:rPr>
          <w:rFonts w:ascii="Arial" w:hAnsi="Arial" w:cs="Arial"/>
        </w:rPr>
        <w:t>PCC</w:t>
      </w:r>
      <w:r w:rsidRPr="00496A0D">
        <w:rPr>
          <w:rFonts w:ascii="Arial" w:hAnsi="Arial" w:cs="Arial"/>
        </w:rPr>
        <w:t xml:space="preserve"> held </w:t>
      </w:r>
      <w:r w:rsidR="00896CB5" w:rsidRPr="00496A0D">
        <w:rPr>
          <w:rFonts w:ascii="Arial" w:hAnsi="Arial" w:cs="Arial"/>
        </w:rPr>
        <w:t>£</w:t>
      </w:r>
      <w:r w:rsidR="00153377" w:rsidRPr="00496A0D">
        <w:rPr>
          <w:rFonts w:ascii="Arial" w:hAnsi="Arial" w:cs="Arial"/>
        </w:rPr>
        <w:t>29</w:t>
      </w:r>
      <w:r w:rsidR="000C2A6F" w:rsidRPr="00496A0D">
        <w:rPr>
          <w:rFonts w:ascii="Arial" w:hAnsi="Arial" w:cs="Arial"/>
        </w:rPr>
        <w:t>.</w:t>
      </w:r>
      <w:r w:rsidR="00153377" w:rsidRPr="00496A0D">
        <w:rPr>
          <w:rFonts w:ascii="Arial" w:hAnsi="Arial" w:cs="Arial"/>
        </w:rPr>
        <w:t>70</w:t>
      </w:r>
      <w:r w:rsidR="001544D3" w:rsidRPr="00496A0D">
        <w:rPr>
          <w:rFonts w:ascii="Arial" w:hAnsi="Arial" w:cs="Arial"/>
        </w:rPr>
        <w:t>m</w:t>
      </w:r>
      <w:r w:rsidRPr="00496A0D">
        <w:rPr>
          <w:rFonts w:ascii="Arial" w:hAnsi="Arial" w:cs="Arial"/>
        </w:rPr>
        <w:t xml:space="preserve"> of loans </w:t>
      </w:r>
      <w:r w:rsidR="00F613B7" w:rsidRPr="00496A0D">
        <w:rPr>
          <w:rFonts w:ascii="Arial" w:hAnsi="Arial" w:cs="Arial"/>
        </w:rPr>
        <w:t>as</w:t>
      </w:r>
      <w:r w:rsidRPr="00496A0D">
        <w:rPr>
          <w:rFonts w:ascii="Arial" w:hAnsi="Arial" w:cs="Arial"/>
        </w:rPr>
        <w:t xml:space="preserve"> part of its strategy for funding previous years’ capital programmes.  </w:t>
      </w:r>
      <w:r w:rsidR="00F613B7" w:rsidRPr="00496A0D">
        <w:rPr>
          <w:rFonts w:ascii="Arial" w:hAnsi="Arial" w:cs="Arial"/>
        </w:rPr>
        <w:t xml:space="preserve">The year-end treasury management borrowing position and year-on-year change </w:t>
      </w:r>
      <w:r w:rsidR="00BA080F" w:rsidRPr="00496A0D">
        <w:rPr>
          <w:rFonts w:ascii="Arial" w:hAnsi="Arial" w:cs="Arial"/>
        </w:rPr>
        <w:t>are summarised</w:t>
      </w:r>
      <w:r w:rsidR="00F613B7" w:rsidRPr="00496A0D">
        <w:rPr>
          <w:rFonts w:ascii="Arial" w:hAnsi="Arial" w:cs="Arial"/>
        </w:rPr>
        <w:t xml:space="preserve"> in Table </w:t>
      </w:r>
      <w:r w:rsidR="00C13431" w:rsidRPr="00496A0D">
        <w:rPr>
          <w:rFonts w:ascii="Arial" w:hAnsi="Arial" w:cs="Arial"/>
        </w:rPr>
        <w:t>3</w:t>
      </w:r>
      <w:r w:rsidR="002B056F">
        <w:rPr>
          <w:rFonts w:ascii="Arial" w:hAnsi="Arial" w:cs="Arial"/>
        </w:rPr>
        <w:t xml:space="preserve"> and Table 3A</w:t>
      </w:r>
      <w:r w:rsidR="00C13431" w:rsidRPr="00496A0D">
        <w:rPr>
          <w:rFonts w:ascii="Arial" w:hAnsi="Arial" w:cs="Arial"/>
        </w:rPr>
        <w:t>.</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7"/>
        <w:gridCol w:w="1417"/>
        <w:gridCol w:w="1417"/>
        <w:gridCol w:w="1417"/>
        <w:gridCol w:w="1417"/>
      </w:tblGrid>
      <w:tr w:rsidR="001544D3" w:rsidRPr="00904CAF" w14:paraId="09565C8F" w14:textId="77777777" w:rsidTr="001544D3">
        <w:tc>
          <w:tcPr>
            <w:tcW w:w="2943" w:type="dxa"/>
            <w:tcBorders>
              <w:top w:val="single" w:sz="4" w:space="0" w:color="auto"/>
            </w:tcBorders>
            <w:shd w:val="clear" w:color="auto" w:fill="auto"/>
          </w:tcPr>
          <w:p w14:paraId="0B529EB3" w14:textId="348DF5C4" w:rsidR="001544D3" w:rsidRPr="00904CAF" w:rsidRDefault="001544D3" w:rsidP="001544D3">
            <w:pPr>
              <w:pStyle w:val="ListParagraph"/>
              <w:ind w:left="0"/>
              <w:rPr>
                <w:rFonts w:ascii="Arial" w:hAnsi="Arial" w:cs="Arial"/>
                <w:b/>
                <w:bCs/>
              </w:rPr>
            </w:pPr>
            <w:r w:rsidRPr="00904CAF">
              <w:rPr>
                <w:rFonts w:ascii="Arial" w:hAnsi="Arial" w:cs="Arial"/>
                <w:b/>
                <w:bCs/>
              </w:rPr>
              <w:t>Table 3: Borrowing position</w:t>
            </w:r>
          </w:p>
        </w:tc>
        <w:tc>
          <w:tcPr>
            <w:tcW w:w="1417" w:type="dxa"/>
            <w:tcBorders>
              <w:top w:val="single" w:sz="4" w:space="0" w:color="auto"/>
            </w:tcBorders>
            <w:vAlign w:val="bottom"/>
          </w:tcPr>
          <w:p w14:paraId="09CDA66F" w14:textId="7C0E9C70" w:rsidR="001544D3" w:rsidRPr="00904CAF" w:rsidRDefault="001544D3" w:rsidP="001544D3">
            <w:pPr>
              <w:pStyle w:val="ListParagraph"/>
              <w:ind w:left="0"/>
              <w:jc w:val="right"/>
              <w:rPr>
                <w:rFonts w:ascii="Arial" w:hAnsi="Arial" w:cs="Arial"/>
                <w:b/>
                <w:bCs/>
              </w:rPr>
            </w:pPr>
            <w:r w:rsidRPr="00904CAF">
              <w:rPr>
                <w:rFonts w:ascii="Arial" w:hAnsi="Arial" w:cs="Arial"/>
                <w:b/>
                <w:bCs/>
              </w:rPr>
              <w:t>31/03/2</w:t>
            </w:r>
            <w:r w:rsidR="002D64D9">
              <w:rPr>
                <w:rFonts w:ascii="Arial" w:hAnsi="Arial" w:cs="Arial"/>
                <w:b/>
                <w:bCs/>
              </w:rPr>
              <w:t>3</w:t>
            </w:r>
            <w:r w:rsidRPr="00904CAF">
              <w:rPr>
                <w:rFonts w:ascii="Arial" w:hAnsi="Arial" w:cs="Arial"/>
                <w:b/>
                <w:bCs/>
              </w:rPr>
              <w:br/>
              <w:t>Balance</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1900F844" w14:textId="6BF2C2D7" w:rsidR="001544D3" w:rsidRPr="00904CAF" w:rsidRDefault="001544D3" w:rsidP="001544D3">
            <w:pPr>
              <w:pStyle w:val="ListParagraph"/>
              <w:ind w:left="0"/>
              <w:jc w:val="right"/>
              <w:rPr>
                <w:rFonts w:ascii="Arial" w:hAnsi="Arial" w:cs="Arial"/>
                <w:b/>
                <w:bCs/>
              </w:rPr>
            </w:pPr>
            <w:r w:rsidRPr="00904CAF">
              <w:rPr>
                <w:rFonts w:ascii="Arial" w:hAnsi="Arial" w:cs="Arial"/>
                <w:b/>
                <w:bCs/>
              </w:rPr>
              <w:t>Net movement</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5540FDAD" w14:textId="3A31B6D7" w:rsidR="001544D3" w:rsidRPr="00904CAF" w:rsidRDefault="001544D3" w:rsidP="001544D3">
            <w:pPr>
              <w:pStyle w:val="ListParagraph"/>
              <w:ind w:left="0"/>
              <w:jc w:val="right"/>
              <w:rPr>
                <w:rFonts w:ascii="Arial" w:hAnsi="Arial" w:cs="Arial"/>
                <w:b/>
                <w:bCs/>
              </w:rPr>
            </w:pPr>
            <w:r w:rsidRPr="00904CAF">
              <w:rPr>
                <w:rFonts w:ascii="Arial" w:hAnsi="Arial" w:cs="Arial"/>
                <w:b/>
                <w:bCs/>
              </w:rPr>
              <w:t>3</w:t>
            </w:r>
            <w:r w:rsidR="002D64D9">
              <w:rPr>
                <w:rFonts w:ascii="Arial" w:hAnsi="Arial" w:cs="Arial"/>
                <w:b/>
                <w:bCs/>
              </w:rPr>
              <w:t>0</w:t>
            </w:r>
            <w:r w:rsidRPr="00904CAF">
              <w:rPr>
                <w:rFonts w:ascii="Arial" w:hAnsi="Arial" w:cs="Arial"/>
                <w:b/>
                <w:bCs/>
              </w:rPr>
              <w:t>/0</w:t>
            </w:r>
            <w:r w:rsidR="002D64D9">
              <w:rPr>
                <w:rFonts w:ascii="Arial" w:hAnsi="Arial" w:cs="Arial"/>
                <w:b/>
                <w:bCs/>
              </w:rPr>
              <w:t>6</w:t>
            </w:r>
            <w:r w:rsidRPr="00904CAF">
              <w:rPr>
                <w:rFonts w:ascii="Arial" w:hAnsi="Arial" w:cs="Arial"/>
                <w:b/>
                <w:bCs/>
              </w:rPr>
              <w:t>/2</w:t>
            </w:r>
            <w:r w:rsidR="00844D6B">
              <w:rPr>
                <w:rFonts w:ascii="Arial" w:hAnsi="Arial" w:cs="Arial"/>
                <w:b/>
                <w:bCs/>
              </w:rPr>
              <w:t>3</w:t>
            </w:r>
            <w:r w:rsidRPr="00904CAF">
              <w:rPr>
                <w:rFonts w:ascii="Arial" w:hAnsi="Arial" w:cs="Arial"/>
                <w:b/>
                <w:bCs/>
              </w:rPr>
              <w:br/>
              <w:t>Balance</w:t>
            </w:r>
            <w:r w:rsidRPr="00904CAF">
              <w:rPr>
                <w:rFonts w:ascii="Arial" w:hAnsi="Arial" w:cs="Arial"/>
                <w:b/>
                <w:bCs/>
              </w:rPr>
              <w:br/>
            </w:r>
            <w:r w:rsidRPr="00904CAF">
              <w:rPr>
                <w:rFonts w:ascii="Arial" w:hAnsi="Arial" w:cs="Arial"/>
                <w:b/>
                <w:bCs/>
              </w:rPr>
              <w:br/>
            </w:r>
            <w:r w:rsidRPr="00904CAF">
              <w:rPr>
                <w:rFonts w:ascii="Arial" w:hAnsi="Arial" w:cs="Arial"/>
                <w:b/>
                <w:bCs/>
              </w:rPr>
              <w:br/>
              <w:t>£m</w:t>
            </w:r>
          </w:p>
        </w:tc>
        <w:tc>
          <w:tcPr>
            <w:tcW w:w="1417" w:type="dxa"/>
            <w:tcBorders>
              <w:top w:val="single" w:sz="4" w:space="0" w:color="auto"/>
            </w:tcBorders>
            <w:shd w:val="clear" w:color="auto" w:fill="auto"/>
            <w:vAlign w:val="bottom"/>
          </w:tcPr>
          <w:p w14:paraId="3950BFCC" w14:textId="2F89E70D" w:rsidR="001544D3" w:rsidRPr="00904CAF" w:rsidRDefault="001544D3" w:rsidP="001544D3">
            <w:pPr>
              <w:pStyle w:val="ListParagraph"/>
              <w:ind w:left="0"/>
              <w:jc w:val="right"/>
              <w:rPr>
                <w:rFonts w:ascii="Arial" w:hAnsi="Arial" w:cs="Arial"/>
                <w:b/>
                <w:bCs/>
              </w:rPr>
            </w:pPr>
            <w:r w:rsidRPr="00904CAF">
              <w:rPr>
                <w:rFonts w:ascii="Arial" w:hAnsi="Arial" w:cs="Arial"/>
                <w:b/>
                <w:bCs/>
              </w:rPr>
              <w:t>3</w:t>
            </w:r>
            <w:r w:rsidR="002D64D9">
              <w:rPr>
                <w:rFonts w:ascii="Arial" w:hAnsi="Arial" w:cs="Arial"/>
                <w:b/>
                <w:bCs/>
              </w:rPr>
              <w:t>0</w:t>
            </w:r>
            <w:r w:rsidRPr="00904CAF">
              <w:rPr>
                <w:rFonts w:ascii="Arial" w:hAnsi="Arial" w:cs="Arial"/>
                <w:b/>
                <w:bCs/>
              </w:rPr>
              <w:t>/0</w:t>
            </w:r>
            <w:r w:rsidR="002D64D9">
              <w:rPr>
                <w:rFonts w:ascii="Arial" w:hAnsi="Arial" w:cs="Arial"/>
                <w:b/>
                <w:bCs/>
              </w:rPr>
              <w:t>6</w:t>
            </w:r>
            <w:r w:rsidRPr="00904CAF">
              <w:rPr>
                <w:rFonts w:ascii="Arial" w:hAnsi="Arial" w:cs="Arial"/>
                <w:b/>
                <w:bCs/>
              </w:rPr>
              <w:t>/2</w:t>
            </w:r>
            <w:r w:rsidR="00844D6B">
              <w:rPr>
                <w:rFonts w:ascii="Arial" w:hAnsi="Arial" w:cs="Arial"/>
                <w:b/>
                <w:bCs/>
              </w:rPr>
              <w:t>3</w:t>
            </w:r>
            <w:r w:rsidRPr="00904CAF">
              <w:rPr>
                <w:rFonts w:ascii="Arial" w:hAnsi="Arial" w:cs="Arial"/>
                <w:b/>
                <w:bCs/>
              </w:rPr>
              <w:br/>
              <w:t>Weighted average rate</w:t>
            </w:r>
            <w:r w:rsidRPr="00904CAF">
              <w:rPr>
                <w:rFonts w:ascii="Arial" w:hAnsi="Arial" w:cs="Arial"/>
                <w:b/>
                <w:bCs/>
              </w:rPr>
              <w:br/>
              <w:t>%</w:t>
            </w:r>
          </w:p>
        </w:tc>
        <w:tc>
          <w:tcPr>
            <w:tcW w:w="1417" w:type="dxa"/>
            <w:tcBorders>
              <w:top w:val="single" w:sz="4" w:space="0" w:color="auto"/>
            </w:tcBorders>
            <w:shd w:val="clear" w:color="auto" w:fill="auto"/>
            <w:vAlign w:val="bottom"/>
          </w:tcPr>
          <w:p w14:paraId="69DAC8CD" w14:textId="70BF229B" w:rsidR="001544D3" w:rsidRPr="00904CAF" w:rsidRDefault="001544D3" w:rsidP="001544D3">
            <w:pPr>
              <w:pStyle w:val="ListParagraph"/>
              <w:ind w:left="0"/>
              <w:jc w:val="right"/>
              <w:rPr>
                <w:rFonts w:ascii="Arial" w:hAnsi="Arial" w:cs="Arial"/>
                <w:b/>
                <w:bCs/>
              </w:rPr>
            </w:pPr>
            <w:r w:rsidRPr="00904CAF">
              <w:rPr>
                <w:rFonts w:ascii="Arial" w:hAnsi="Arial" w:cs="Arial"/>
                <w:b/>
                <w:bCs/>
              </w:rPr>
              <w:t>31/03/2</w:t>
            </w:r>
            <w:r w:rsidR="00844D6B">
              <w:rPr>
                <w:rFonts w:ascii="Arial" w:hAnsi="Arial" w:cs="Arial"/>
                <w:b/>
                <w:bCs/>
              </w:rPr>
              <w:t>3</w:t>
            </w:r>
            <w:r w:rsidRPr="00904CAF">
              <w:rPr>
                <w:rFonts w:ascii="Arial" w:hAnsi="Arial" w:cs="Arial"/>
                <w:b/>
                <w:bCs/>
              </w:rPr>
              <w:br/>
              <w:t>Weighted average maturity</w:t>
            </w:r>
            <w:r w:rsidRPr="00904CAF">
              <w:rPr>
                <w:rFonts w:ascii="Arial" w:hAnsi="Arial" w:cs="Arial"/>
                <w:b/>
                <w:bCs/>
              </w:rPr>
              <w:br/>
              <w:t>(years)</w:t>
            </w:r>
          </w:p>
        </w:tc>
      </w:tr>
      <w:tr w:rsidR="001544D3" w:rsidRPr="00904CAF" w14:paraId="30FD57D4" w14:textId="77777777" w:rsidTr="001544D3">
        <w:tc>
          <w:tcPr>
            <w:tcW w:w="2943" w:type="dxa"/>
            <w:shd w:val="clear" w:color="auto" w:fill="auto"/>
          </w:tcPr>
          <w:p w14:paraId="512985A2" w14:textId="585FC66C" w:rsidR="001544D3" w:rsidRPr="00904CAF" w:rsidRDefault="001544D3" w:rsidP="001544D3">
            <w:pPr>
              <w:pStyle w:val="ListParagraph"/>
              <w:ind w:left="0"/>
              <w:rPr>
                <w:rFonts w:ascii="Arial" w:hAnsi="Arial" w:cs="Arial"/>
              </w:rPr>
            </w:pPr>
            <w:r w:rsidRPr="00904CAF">
              <w:rPr>
                <w:rFonts w:ascii="Arial" w:hAnsi="Arial" w:cs="Arial"/>
              </w:rPr>
              <w:t>Public Works Loan Board</w:t>
            </w:r>
            <w:r w:rsidR="005F450B" w:rsidRPr="004918BB">
              <w:rPr>
                <w:rFonts w:ascii="Arial" w:hAnsi="Arial" w:cs="Arial"/>
              </w:rPr>
              <w:t xml:space="preserve"> (PWLB)</w:t>
            </w:r>
          </w:p>
        </w:tc>
        <w:tc>
          <w:tcPr>
            <w:tcW w:w="1417" w:type="dxa"/>
            <w:vAlign w:val="center"/>
          </w:tcPr>
          <w:p w14:paraId="2692F708" w14:textId="6F9F756A" w:rsidR="001544D3" w:rsidRPr="00904CAF" w:rsidRDefault="00844D6B" w:rsidP="001544D3">
            <w:pPr>
              <w:pStyle w:val="ListParagraph"/>
              <w:ind w:left="0"/>
              <w:jc w:val="right"/>
              <w:rPr>
                <w:rFonts w:ascii="Arial" w:hAnsi="Arial" w:cs="Arial"/>
              </w:rPr>
            </w:pPr>
            <w:r w:rsidRPr="00904CAF">
              <w:rPr>
                <w:rFonts w:ascii="Arial" w:hAnsi="Arial" w:cs="Arial"/>
              </w:rPr>
              <w:t>(29.70)</w:t>
            </w:r>
          </w:p>
        </w:tc>
        <w:tc>
          <w:tcPr>
            <w:tcW w:w="1417" w:type="dxa"/>
            <w:shd w:val="clear" w:color="auto" w:fill="auto"/>
            <w:vAlign w:val="center"/>
          </w:tcPr>
          <w:p w14:paraId="15960BD4" w14:textId="53684CEE" w:rsidR="001544D3" w:rsidRPr="00904CAF" w:rsidRDefault="00844D6B" w:rsidP="001544D3">
            <w:pPr>
              <w:pStyle w:val="ListParagraph"/>
              <w:ind w:left="0"/>
              <w:jc w:val="right"/>
              <w:rPr>
                <w:rFonts w:ascii="Arial" w:hAnsi="Arial" w:cs="Arial"/>
              </w:rPr>
            </w:pPr>
            <w:r>
              <w:rPr>
                <w:rFonts w:ascii="Arial" w:hAnsi="Arial" w:cs="Arial"/>
              </w:rPr>
              <w:t>-</w:t>
            </w:r>
          </w:p>
        </w:tc>
        <w:tc>
          <w:tcPr>
            <w:tcW w:w="1417" w:type="dxa"/>
            <w:shd w:val="clear" w:color="auto" w:fill="auto"/>
            <w:vAlign w:val="center"/>
          </w:tcPr>
          <w:p w14:paraId="385091A4" w14:textId="635C362D" w:rsidR="001544D3" w:rsidRPr="00904CAF" w:rsidRDefault="00844D6B" w:rsidP="001544D3">
            <w:pPr>
              <w:pStyle w:val="ListParagraph"/>
              <w:ind w:left="0"/>
              <w:jc w:val="right"/>
              <w:rPr>
                <w:rFonts w:ascii="Arial" w:hAnsi="Arial" w:cs="Arial"/>
              </w:rPr>
            </w:pPr>
            <w:r w:rsidRPr="00904CAF">
              <w:rPr>
                <w:rFonts w:ascii="Arial" w:hAnsi="Arial" w:cs="Arial"/>
              </w:rPr>
              <w:t>(29.70)</w:t>
            </w:r>
          </w:p>
        </w:tc>
        <w:tc>
          <w:tcPr>
            <w:tcW w:w="1417" w:type="dxa"/>
            <w:shd w:val="clear" w:color="auto" w:fill="auto"/>
            <w:vAlign w:val="center"/>
          </w:tcPr>
          <w:p w14:paraId="05F02150" w14:textId="23385EA9" w:rsidR="001544D3" w:rsidRPr="00904CAF" w:rsidRDefault="00904CAF" w:rsidP="001544D3">
            <w:pPr>
              <w:pStyle w:val="ListParagraph"/>
              <w:ind w:left="0"/>
              <w:jc w:val="right"/>
              <w:rPr>
                <w:rFonts w:ascii="Arial" w:hAnsi="Arial" w:cs="Arial"/>
              </w:rPr>
            </w:pPr>
            <w:r w:rsidRPr="00904CAF">
              <w:rPr>
                <w:rFonts w:ascii="Arial" w:hAnsi="Arial" w:cs="Arial"/>
              </w:rPr>
              <w:t>(4.30)</w:t>
            </w:r>
          </w:p>
        </w:tc>
        <w:tc>
          <w:tcPr>
            <w:tcW w:w="1417" w:type="dxa"/>
            <w:shd w:val="clear" w:color="auto" w:fill="auto"/>
            <w:vAlign w:val="center"/>
          </w:tcPr>
          <w:p w14:paraId="683AC0A5" w14:textId="0C5D1173" w:rsidR="001544D3" w:rsidRPr="00904CAF" w:rsidRDefault="005E6C5B" w:rsidP="001544D3">
            <w:pPr>
              <w:pStyle w:val="ListParagraph"/>
              <w:ind w:left="0"/>
              <w:jc w:val="right"/>
              <w:rPr>
                <w:rFonts w:ascii="Arial" w:hAnsi="Arial" w:cs="Arial"/>
              </w:rPr>
            </w:pPr>
            <w:r>
              <w:rPr>
                <w:rFonts w:ascii="Arial" w:hAnsi="Arial" w:cs="Arial"/>
              </w:rPr>
              <w:t>11.2</w:t>
            </w:r>
            <w:r w:rsidR="004A6873">
              <w:rPr>
                <w:rFonts w:ascii="Arial" w:hAnsi="Arial" w:cs="Arial"/>
              </w:rPr>
              <w:t>0</w:t>
            </w:r>
          </w:p>
        </w:tc>
      </w:tr>
      <w:tr w:rsidR="001544D3" w:rsidRPr="00904CAF" w14:paraId="5C6E2AC5" w14:textId="77777777" w:rsidTr="001544D3">
        <w:tc>
          <w:tcPr>
            <w:tcW w:w="2943" w:type="dxa"/>
            <w:shd w:val="clear" w:color="auto" w:fill="auto"/>
          </w:tcPr>
          <w:p w14:paraId="021F2A59" w14:textId="77777777" w:rsidR="001544D3" w:rsidRPr="00904CAF" w:rsidRDefault="001544D3" w:rsidP="001544D3">
            <w:pPr>
              <w:pStyle w:val="ListParagraph"/>
              <w:ind w:left="0"/>
              <w:rPr>
                <w:rFonts w:ascii="Arial" w:hAnsi="Arial" w:cs="Arial"/>
                <w:b/>
                <w:bCs/>
              </w:rPr>
            </w:pPr>
            <w:r w:rsidRPr="00904CAF">
              <w:rPr>
                <w:rFonts w:ascii="Arial" w:hAnsi="Arial" w:cs="Arial"/>
                <w:b/>
                <w:bCs/>
              </w:rPr>
              <w:t>Total borrowing</w:t>
            </w:r>
          </w:p>
        </w:tc>
        <w:tc>
          <w:tcPr>
            <w:tcW w:w="1417" w:type="dxa"/>
            <w:vAlign w:val="center"/>
          </w:tcPr>
          <w:p w14:paraId="00B076DE" w14:textId="3FC68A68" w:rsidR="001544D3" w:rsidRPr="00904CAF" w:rsidRDefault="00844D6B" w:rsidP="001544D3">
            <w:pPr>
              <w:pStyle w:val="ListParagraph"/>
              <w:ind w:left="0"/>
              <w:jc w:val="right"/>
              <w:rPr>
                <w:rFonts w:ascii="Arial" w:hAnsi="Arial" w:cs="Arial"/>
                <w:b/>
                <w:bCs/>
              </w:rPr>
            </w:pPr>
            <w:r w:rsidRPr="00904CAF">
              <w:rPr>
                <w:rFonts w:ascii="Arial" w:hAnsi="Arial" w:cs="Arial"/>
                <w:b/>
                <w:bCs/>
              </w:rPr>
              <w:t>(29.70)</w:t>
            </w:r>
          </w:p>
        </w:tc>
        <w:tc>
          <w:tcPr>
            <w:tcW w:w="1417" w:type="dxa"/>
            <w:shd w:val="clear" w:color="auto" w:fill="auto"/>
            <w:vAlign w:val="center"/>
          </w:tcPr>
          <w:p w14:paraId="54850975" w14:textId="3EB88050" w:rsidR="001544D3" w:rsidRPr="00904CAF" w:rsidRDefault="00844D6B" w:rsidP="001544D3">
            <w:pPr>
              <w:pStyle w:val="ListParagraph"/>
              <w:ind w:left="0"/>
              <w:jc w:val="right"/>
              <w:rPr>
                <w:rFonts w:ascii="Arial" w:hAnsi="Arial" w:cs="Arial"/>
                <w:b/>
                <w:bCs/>
              </w:rPr>
            </w:pPr>
            <w:r>
              <w:rPr>
                <w:rFonts w:ascii="Arial" w:hAnsi="Arial" w:cs="Arial"/>
                <w:b/>
                <w:bCs/>
              </w:rPr>
              <w:t>-</w:t>
            </w:r>
          </w:p>
        </w:tc>
        <w:tc>
          <w:tcPr>
            <w:tcW w:w="1417" w:type="dxa"/>
            <w:shd w:val="clear" w:color="auto" w:fill="auto"/>
            <w:vAlign w:val="center"/>
          </w:tcPr>
          <w:p w14:paraId="0EC8B1E8" w14:textId="471F504F" w:rsidR="001544D3" w:rsidRPr="00904CAF" w:rsidRDefault="00844D6B" w:rsidP="001544D3">
            <w:pPr>
              <w:pStyle w:val="ListParagraph"/>
              <w:ind w:left="0"/>
              <w:jc w:val="right"/>
              <w:rPr>
                <w:rFonts w:ascii="Arial" w:hAnsi="Arial" w:cs="Arial"/>
                <w:b/>
                <w:bCs/>
              </w:rPr>
            </w:pPr>
            <w:r w:rsidRPr="00904CAF">
              <w:rPr>
                <w:rFonts w:ascii="Arial" w:hAnsi="Arial" w:cs="Arial"/>
                <w:b/>
                <w:bCs/>
              </w:rPr>
              <w:t>(29.70)</w:t>
            </w:r>
          </w:p>
        </w:tc>
        <w:tc>
          <w:tcPr>
            <w:tcW w:w="1417" w:type="dxa"/>
            <w:shd w:val="clear" w:color="auto" w:fill="auto"/>
            <w:vAlign w:val="center"/>
          </w:tcPr>
          <w:p w14:paraId="445DC0F0" w14:textId="31F64E9D" w:rsidR="001544D3" w:rsidRPr="00904CAF" w:rsidRDefault="00904CAF" w:rsidP="001544D3">
            <w:pPr>
              <w:pStyle w:val="ListParagraph"/>
              <w:ind w:left="0"/>
              <w:jc w:val="right"/>
              <w:rPr>
                <w:rFonts w:ascii="Arial" w:hAnsi="Arial" w:cs="Arial"/>
                <w:b/>
                <w:bCs/>
              </w:rPr>
            </w:pPr>
            <w:r w:rsidRPr="00904CAF">
              <w:rPr>
                <w:rFonts w:ascii="Arial" w:hAnsi="Arial" w:cs="Arial"/>
                <w:b/>
                <w:bCs/>
              </w:rPr>
              <w:t>(4.30)</w:t>
            </w:r>
          </w:p>
        </w:tc>
        <w:tc>
          <w:tcPr>
            <w:tcW w:w="1417" w:type="dxa"/>
            <w:shd w:val="clear" w:color="auto" w:fill="auto"/>
            <w:vAlign w:val="center"/>
          </w:tcPr>
          <w:p w14:paraId="5BBF7EBE" w14:textId="6493FDCB" w:rsidR="001544D3" w:rsidRPr="00904CAF" w:rsidRDefault="00844D6B" w:rsidP="001544D3">
            <w:pPr>
              <w:pStyle w:val="ListParagraph"/>
              <w:ind w:left="0"/>
              <w:jc w:val="right"/>
              <w:rPr>
                <w:rFonts w:ascii="Arial" w:hAnsi="Arial" w:cs="Arial"/>
                <w:b/>
                <w:bCs/>
              </w:rPr>
            </w:pPr>
            <w:r w:rsidRPr="00904CAF">
              <w:rPr>
                <w:rFonts w:ascii="Arial" w:hAnsi="Arial" w:cs="Arial"/>
                <w:b/>
                <w:bCs/>
              </w:rPr>
              <w:t>1</w:t>
            </w:r>
            <w:r w:rsidR="00FC0292">
              <w:rPr>
                <w:rFonts w:ascii="Arial" w:hAnsi="Arial" w:cs="Arial"/>
                <w:b/>
                <w:bCs/>
              </w:rPr>
              <w:t>1</w:t>
            </w:r>
            <w:r w:rsidR="00904CAF" w:rsidRPr="00904CAF">
              <w:rPr>
                <w:rFonts w:ascii="Arial" w:hAnsi="Arial" w:cs="Arial"/>
                <w:b/>
                <w:bCs/>
              </w:rPr>
              <w:t>.</w:t>
            </w:r>
            <w:r w:rsidR="005E6C5B">
              <w:rPr>
                <w:rFonts w:ascii="Arial" w:hAnsi="Arial" w:cs="Arial"/>
                <w:b/>
                <w:bCs/>
              </w:rPr>
              <w:t>2</w:t>
            </w:r>
            <w:r w:rsidR="004A6873">
              <w:rPr>
                <w:rFonts w:ascii="Arial" w:hAnsi="Arial" w:cs="Arial"/>
                <w:b/>
                <w:bCs/>
              </w:rPr>
              <w:t>0</w:t>
            </w:r>
          </w:p>
        </w:tc>
      </w:tr>
    </w:tbl>
    <w:p w14:paraId="02411744" w14:textId="68329AE7" w:rsidR="00AF2316" w:rsidRPr="007E28C9" w:rsidRDefault="00AF2316" w:rsidP="00AF2316">
      <w:pPr>
        <w:pStyle w:val="ListParagraph"/>
        <w:spacing w:after="240"/>
        <w:rPr>
          <w:rFonts w:ascii="Arial" w:hAnsi="Arial" w:cs="Arial"/>
          <w:sz w:val="20"/>
          <w:szCs w:val="20"/>
        </w:rPr>
      </w:pPr>
      <w:r w:rsidRPr="007E28C9">
        <w:rPr>
          <w:rFonts w:ascii="Arial" w:hAnsi="Arial" w:cs="Arial"/>
          <w:sz w:val="20"/>
          <w:szCs w:val="20"/>
        </w:rPr>
        <w:t xml:space="preserve">Note: the figures in </w:t>
      </w:r>
      <w:r w:rsidR="00E139C4" w:rsidRPr="007E28C9">
        <w:rPr>
          <w:rFonts w:ascii="Arial" w:hAnsi="Arial" w:cs="Arial"/>
          <w:sz w:val="20"/>
          <w:szCs w:val="20"/>
        </w:rPr>
        <w:t>T</w:t>
      </w:r>
      <w:r w:rsidRPr="007E28C9">
        <w:rPr>
          <w:rFonts w:ascii="Arial" w:hAnsi="Arial" w:cs="Arial"/>
          <w:sz w:val="20"/>
          <w:szCs w:val="20"/>
        </w:rPr>
        <w:t xml:space="preserve">able </w:t>
      </w:r>
      <w:r w:rsidR="00E139C4" w:rsidRPr="007E28C9">
        <w:rPr>
          <w:rFonts w:ascii="Arial" w:hAnsi="Arial" w:cs="Arial"/>
          <w:sz w:val="20"/>
          <w:szCs w:val="20"/>
        </w:rPr>
        <w:t>3</w:t>
      </w:r>
      <w:r w:rsidRPr="007E28C9">
        <w:rPr>
          <w:rFonts w:ascii="Arial" w:hAnsi="Arial" w:cs="Arial"/>
          <w:sz w:val="20"/>
          <w:szCs w:val="20"/>
        </w:rPr>
        <w:t xml:space="preserve"> are from the balance sheet in the PCC’s accou</w:t>
      </w:r>
      <w:r w:rsidR="00E40338" w:rsidRPr="007E28C9">
        <w:rPr>
          <w:rFonts w:ascii="Arial" w:hAnsi="Arial" w:cs="Arial"/>
          <w:sz w:val="20"/>
          <w:szCs w:val="20"/>
        </w:rPr>
        <w:t>nts but adjusted to exclude</w:t>
      </w:r>
      <w:r w:rsidRPr="007E28C9">
        <w:rPr>
          <w:rFonts w:ascii="Arial" w:hAnsi="Arial" w:cs="Arial"/>
          <w:sz w:val="20"/>
          <w:szCs w:val="20"/>
        </w:rPr>
        <w:t xml:space="preserve"> accrued interest.</w:t>
      </w:r>
    </w:p>
    <w:p w14:paraId="54809751" w14:textId="5FC65E60" w:rsidR="001F2834" w:rsidRPr="00496A0D" w:rsidRDefault="00F4215F" w:rsidP="00034B50">
      <w:pPr>
        <w:pStyle w:val="ListParagraph"/>
        <w:numPr>
          <w:ilvl w:val="1"/>
          <w:numId w:val="2"/>
        </w:numPr>
        <w:spacing w:after="240"/>
        <w:ind w:left="720" w:hanging="720"/>
        <w:rPr>
          <w:rFonts w:ascii="Arial" w:hAnsi="Arial" w:cs="Arial"/>
        </w:rPr>
      </w:pPr>
      <w:r w:rsidRPr="00496A0D">
        <w:rPr>
          <w:rFonts w:ascii="Arial" w:hAnsi="Arial" w:cs="Arial"/>
        </w:rPr>
        <w:t xml:space="preserve">The </w:t>
      </w:r>
      <w:r w:rsidR="00564BE3" w:rsidRPr="00496A0D">
        <w:rPr>
          <w:rFonts w:ascii="Arial" w:hAnsi="Arial" w:cs="Arial"/>
        </w:rPr>
        <w:t>PCC</w:t>
      </w:r>
      <w:r w:rsidRPr="00496A0D">
        <w:rPr>
          <w:rFonts w:ascii="Arial" w:hAnsi="Arial" w:cs="Arial"/>
        </w:rPr>
        <w:t>’s chief objective when</w:t>
      </w:r>
      <w:r w:rsidR="00AA1EF1" w:rsidRPr="00496A0D">
        <w:rPr>
          <w:rFonts w:ascii="Arial" w:hAnsi="Arial" w:cs="Arial"/>
        </w:rPr>
        <w:t xml:space="preserve"> </w:t>
      </w:r>
      <w:r w:rsidRPr="00496A0D">
        <w:rPr>
          <w:rFonts w:ascii="Arial" w:hAnsi="Arial" w:cs="Arial"/>
        </w:rPr>
        <w:t xml:space="preserve">borrowing </w:t>
      </w:r>
      <w:r w:rsidR="00D507B5" w:rsidRPr="00496A0D">
        <w:rPr>
          <w:rFonts w:ascii="Arial" w:hAnsi="Arial" w:cs="Arial"/>
        </w:rPr>
        <w:t>has been to</w:t>
      </w:r>
      <w:r w:rsidRPr="00496A0D">
        <w:rPr>
          <w:rFonts w:ascii="Arial" w:hAnsi="Arial" w:cs="Arial"/>
        </w:rPr>
        <w:t xml:space="preserve"> strik</w:t>
      </w:r>
      <w:r w:rsidR="00D507B5" w:rsidRPr="00496A0D">
        <w:rPr>
          <w:rFonts w:ascii="Arial" w:hAnsi="Arial" w:cs="Arial"/>
        </w:rPr>
        <w:t>e</w:t>
      </w:r>
      <w:r w:rsidRPr="00496A0D">
        <w:rPr>
          <w:rFonts w:ascii="Arial" w:hAnsi="Arial" w:cs="Arial"/>
        </w:rPr>
        <w:t xml:space="preserve"> an appropriately low risk balance between securing low interest costs and achieving cost certainty over the period for which funds are required</w:t>
      </w:r>
      <w:r w:rsidR="00DC15B7" w:rsidRPr="00496A0D">
        <w:rPr>
          <w:rFonts w:ascii="Arial" w:hAnsi="Arial" w:cs="Arial"/>
        </w:rPr>
        <w:t>. The</w:t>
      </w:r>
      <w:r w:rsidRPr="00496A0D">
        <w:rPr>
          <w:rFonts w:ascii="Arial" w:hAnsi="Arial" w:cs="Arial"/>
        </w:rPr>
        <w:t xml:space="preserve"> flexibility to renegotiate loans should the </w:t>
      </w:r>
      <w:r w:rsidR="00564BE3" w:rsidRPr="00496A0D">
        <w:rPr>
          <w:rFonts w:ascii="Arial" w:hAnsi="Arial" w:cs="Arial"/>
        </w:rPr>
        <w:t>PCC</w:t>
      </w:r>
      <w:r w:rsidRPr="00496A0D">
        <w:rPr>
          <w:rFonts w:ascii="Arial" w:hAnsi="Arial" w:cs="Arial"/>
        </w:rPr>
        <w:t xml:space="preserve">’s long-term plans change </w:t>
      </w:r>
      <w:r w:rsidR="00DC15B7" w:rsidRPr="00496A0D">
        <w:rPr>
          <w:rFonts w:ascii="Arial" w:hAnsi="Arial" w:cs="Arial"/>
        </w:rPr>
        <w:t>is</w:t>
      </w:r>
      <w:r w:rsidR="00E674A1" w:rsidRPr="00496A0D">
        <w:rPr>
          <w:rFonts w:ascii="Arial" w:hAnsi="Arial" w:cs="Arial"/>
        </w:rPr>
        <w:t xml:space="preserve"> </w:t>
      </w:r>
      <w:r w:rsidRPr="00496A0D">
        <w:rPr>
          <w:rFonts w:ascii="Arial" w:hAnsi="Arial" w:cs="Arial"/>
        </w:rPr>
        <w:t xml:space="preserve">a secondary objective. </w:t>
      </w:r>
    </w:p>
    <w:p w14:paraId="735A0A11" w14:textId="71422CA8" w:rsidR="00506B4D" w:rsidRPr="0016654A" w:rsidRDefault="00042FE1" w:rsidP="00034B50">
      <w:pPr>
        <w:pStyle w:val="ListParagraph"/>
        <w:numPr>
          <w:ilvl w:val="1"/>
          <w:numId w:val="2"/>
        </w:numPr>
        <w:spacing w:after="240"/>
        <w:ind w:left="720" w:hanging="720"/>
        <w:rPr>
          <w:rFonts w:ascii="Arial" w:hAnsi="Arial" w:cs="Arial"/>
        </w:rPr>
      </w:pPr>
      <w:r w:rsidRPr="0016654A">
        <w:rPr>
          <w:rFonts w:ascii="Arial" w:hAnsi="Arial" w:cs="Arial"/>
        </w:rPr>
        <w:t xml:space="preserve">As noted in paragraph </w:t>
      </w:r>
      <w:r w:rsidR="00146EC7" w:rsidRPr="0016654A">
        <w:rPr>
          <w:rFonts w:ascii="Arial" w:hAnsi="Arial" w:cs="Arial"/>
        </w:rPr>
        <w:t>6.</w:t>
      </w:r>
      <w:r w:rsidR="00845A77">
        <w:rPr>
          <w:rFonts w:ascii="Arial" w:hAnsi="Arial" w:cs="Arial"/>
        </w:rPr>
        <w:t>6</w:t>
      </w:r>
      <w:r w:rsidR="00146EC7" w:rsidRPr="0016654A">
        <w:rPr>
          <w:rFonts w:ascii="Arial" w:hAnsi="Arial" w:cs="Arial"/>
        </w:rPr>
        <w:t>, the PCC redeemed £10m of PWLB debt in August 2023, as part of a treasury management transaction which replace</w:t>
      </w:r>
      <w:r w:rsidR="005D75B7" w:rsidRPr="0016654A">
        <w:rPr>
          <w:rFonts w:ascii="Arial" w:hAnsi="Arial" w:cs="Arial"/>
        </w:rPr>
        <w:t xml:space="preserve">d external PWLB debt with internal borrowing; the outcome of that decision is that </w:t>
      </w:r>
      <w:r w:rsidR="005F450B" w:rsidRPr="0016654A">
        <w:rPr>
          <w:rFonts w:ascii="Arial" w:hAnsi="Arial" w:cs="Arial"/>
        </w:rPr>
        <w:t xml:space="preserve">PWLB </w:t>
      </w:r>
      <w:r w:rsidR="00210DF2" w:rsidRPr="0016654A">
        <w:rPr>
          <w:rFonts w:ascii="Arial" w:hAnsi="Arial" w:cs="Arial"/>
        </w:rPr>
        <w:t xml:space="preserve">debt </w:t>
      </w:r>
      <w:r w:rsidR="005F450B" w:rsidRPr="0016654A">
        <w:rPr>
          <w:rFonts w:ascii="Arial" w:hAnsi="Arial" w:cs="Arial"/>
        </w:rPr>
        <w:t xml:space="preserve">has reduced to </w:t>
      </w:r>
      <w:r w:rsidR="001D14C6" w:rsidRPr="0016654A">
        <w:rPr>
          <w:rFonts w:ascii="Arial" w:hAnsi="Arial" w:cs="Arial"/>
        </w:rPr>
        <w:t>£19.70m</w:t>
      </w:r>
      <w:r w:rsidR="00412AC4">
        <w:rPr>
          <w:rFonts w:ascii="Arial" w:hAnsi="Arial" w:cs="Arial"/>
        </w:rPr>
        <w:t>, as shown below in Table 3A:</w:t>
      </w: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417"/>
        <w:gridCol w:w="1417"/>
        <w:gridCol w:w="1417"/>
        <w:gridCol w:w="1417"/>
        <w:gridCol w:w="1417"/>
      </w:tblGrid>
      <w:tr w:rsidR="00506B4D" w:rsidRPr="00597D61" w14:paraId="479ECD76" w14:textId="77777777" w:rsidTr="00D43395">
        <w:tc>
          <w:tcPr>
            <w:tcW w:w="2943" w:type="dxa"/>
            <w:tcBorders>
              <w:top w:val="single" w:sz="4" w:space="0" w:color="auto"/>
            </w:tcBorders>
            <w:shd w:val="clear" w:color="auto" w:fill="auto"/>
          </w:tcPr>
          <w:p w14:paraId="767A137C" w14:textId="4349DC05" w:rsidR="00506B4D" w:rsidRPr="00597D61" w:rsidRDefault="00506B4D" w:rsidP="00D43395">
            <w:pPr>
              <w:pStyle w:val="ListParagraph"/>
              <w:ind w:left="0"/>
              <w:rPr>
                <w:rFonts w:ascii="Arial" w:hAnsi="Arial" w:cs="Arial"/>
                <w:b/>
                <w:bCs/>
              </w:rPr>
            </w:pPr>
            <w:r w:rsidRPr="00597D61">
              <w:rPr>
                <w:rFonts w:ascii="Arial" w:hAnsi="Arial" w:cs="Arial"/>
                <w:b/>
                <w:bCs/>
              </w:rPr>
              <w:t xml:space="preserve">Table </w:t>
            </w:r>
            <w:r w:rsidR="002B056F">
              <w:rPr>
                <w:rFonts w:ascii="Arial" w:hAnsi="Arial" w:cs="Arial"/>
                <w:b/>
              </w:rPr>
              <w:t>3A</w:t>
            </w:r>
            <w:r w:rsidRPr="00597D61">
              <w:rPr>
                <w:rFonts w:ascii="Arial" w:hAnsi="Arial" w:cs="Arial"/>
                <w:b/>
                <w:bCs/>
              </w:rPr>
              <w:t>: Borrowing position</w:t>
            </w:r>
          </w:p>
        </w:tc>
        <w:tc>
          <w:tcPr>
            <w:tcW w:w="1417" w:type="dxa"/>
            <w:tcBorders>
              <w:top w:val="single" w:sz="4" w:space="0" w:color="auto"/>
            </w:tcBorders>
            <w:vAlign w:val="bottom"/>
          </w:tcPr>
          <w:p w14:paraId="444A85FD" w14:textId="04CC1E2F" w:rsidR="00506B4D" w:rsidRPr="00597D61" w:rsidRDefault="00506B4D" w:rsidP="00D43395">
            <w:pPr>
              <w:pStyle w:val="ListParagraph"/>
              <w:ind w:left="0"/>
              <w:jc w:val="right"/>
              <w:rPr>
                <w:rFonts w:ascii="Arial" w:hAnsi="Arial" w:cs="Arial"/>
                <w:b/>
                <w:bCs/>
              </w:rPr>
            </w:pPr>
            <w:r w:rsidRPr="00597D61">
              <w:rPr>
                <w:rFonts w:ascii="Arial" w:hAnsi="Arial" w:cs="Arial"/>
                <w:b/>
                <w:bCs/>
              </w:rPr>
              <w:t>31/06/23</w:t>
            </w:r>
            <w:r w:rsidRPr="00597D61">
              <w:rPr>
                <w:rFonts w:ascii="Arial" w:hAnsi="Arial" w:cs="Arial"/>
                <w:b/>
                <w:bCs/>
              </w:rPr>
              <w:br/>
              <w:t>Balance</w:t>
            </w:r>
            <w:r w:rsidRPr="00597D61">
              <w:rPr>
                <w:rFonts w:ascii="Arial" w:hAnsi="Arial" w:cs="Arial"/>
                <w:b/>
                <w:bCs/>
              </w:rPr>
              <w:br/>
            </w:r>
            <w:r w:rsidRPr="00597D61">
              <w:rPr>
                <w:rFonts w:ascii="Arial" w:hAnsi="Arial" w:cs="Arial"/>
                <w:b/>
                <w:bCs/>
              </w:rPr>
              <w:br/>
            </w:r>
            <w:r w:rsidRPr="00597D61">
              <w:rPr>
                <w:rFonts w:ascii="Arial" w:hAnsi="Arial" w:cs="Arial"/>
                <w:b/>
                <w:bCs/>
              </w:rPr>
              <w:br/>
              <w:t>£m</w:t>
            </w:r>
          </w:p>
        </w:tc>
        <w:tc>
          <w:tcPr>
            <w:tcW w:w="1417" w:type="dxa"/>
            <w:tcBorders>
              <w:top w:val="single" w:sz="4" w:space="0" w:color="auto"/>
            </w:tcBorders>
            <w:shd w:val="clear" w:color="auto" w:fill="auto"/>
            <w:vAlign w:val="bottom"/>
          </w:tcPr>
          <w:p w14:paraId="7A03242E" w14:textId="77777777" w:rsidR="00506B4D" w:rsidRPr="00597D61" w:rsidRDefault="00506B4D" w:rsidP="00D43395">
            <w:pPr>
              <w:pStyle w:val="ListParagraph"/>
              <w:ind w:left="0"/>
              <w:jc w:val="right"/>
              <w:rPr>
                <w:rFonts w:ascii="Arial" w:hAnsi="Arial" w:cs="Arial"/>
                <w:b/>
                <w:bCs/>
              </w:rPr>
            </w:pPr>
            <w:r w:rsidRPr="00597D61">
              <w:rPr>
                <w:rFonts w:ascii="Arial" w:hAnsi="Arial" w:cs="Arial"/>
                <w:b/>
                <w:bCs/>
              </w:rPr>
              <w:t>Net movement</w:t>
            </w:r>
            <w:r w:rsidRPr="00597D61">
              <w:rPr>
                <w:rFonts w:ascii="Arial" w:hAnsi="Arial" w:cs="Arial"/>
                <w:b/>
                <w:bCs/>
              </w:rPr>
              <w:br/>
            </w:r>
            <w:r w:rsidRPr="00597D61">
              <w:rPr>
                <w:rFonts w:ascii="Arial" w:hAnsi="Arial" w:cs="Arial"/>
                <w:b/>
                <w:bCs/>
              </w:rPr>
              <w:br/>
            </w:r>
            <w:r w:rsidRPr="00597D61">
              <w:rPr>
                <w:rFonts w:ascii="Arial" w:hAnsi="Arial" w:cs="Arial"/>
                <w:b/>
                <w:bCs/>
              </w:rPr>
              <w:br/>
              <w:t>£m</w:t>
            </w:r>
          </w:p>
        </w:tc>
        <w:tc>
          <w:tcPr>
            <w:tcW w:w="1417" w:type="dxa"/>
            <w:tcBorders>
              <w:top w:val="single" w:sz="4" w:space="0" w:color="auto"/>
            </w:tcBorders>
            <w:shd w:val="clear" w:color="auto" w:fill="auto"/>
            <w:vAlign w:val="bottom"/>
          </w:tcPr>
          <w:p w14:paraId="659000C7" w14:textId="7309EC3B" w:rsidR="00506B4D" w:rsidRPr="00597D61" w:rsidRDefault="00506B4D" w:rsidP="00D43395">
            <w:pPr>
              <w:pStyle w:val="ListParagraph"/>
              <w:ind w:left="0"/>
              <w:jc w:val="right"/>
              <w:rPr>
                <w:rFonts w:ascii="Arial" w:hAnsi="Arial" w:cs="Arial"/>
                <w:b/>
                <w:bCs/>
              </w:rPr>
            </w:pPr>
            <w:r w:rsidRPr="00597D61">
              <w:rPr>
                <w:rFonts w:ascii="Arial" w:hAnsi="Arial" w:cs="Arial"/>
                <w:b/>
                <w:bCs/>
              </w:rPr>
              <w:t>30/0</w:t>
            </w:r>
            <w:r w:rsidR="00042FE1" w:rsidRPr="00597D61">
              <w:rPr>
                <w:rFonts w:ascii="Arial" w:hAnsi="Arial" w:cs="Arial"/>
                <w:b/>
                <w:bCs/>
              </w:rPr>
              <w:t>8</w:t>
            </w:r>
            <w:r w:rsidRPr="00597D61">
              <w:rPr>
                <w:rFonts w:ascii="Arial" w:hAnsi="Arial" w:cs="Arial"/>
                <w:b/>
                <w:bCs/>
              </w:rPr>
              <w:t>/23</w:t>
            </w:r>
            <w:r w:rsidRPr="00597D61">
              <w:rPr>
                <w:rFonts w:ascii="Arial" w:hAnsi="Arial" w:cs="Arial"/>
                <w:b/>
                <w:bCs/>
              </w:rPr>
              <w:br/>
              <w:t>Balance</w:t>
            </w:r>
            <w:r w:rsidRPr="00597D61">
              <w:rPr>
                <w:rFonts w:ascii="Arial" w:hAnsi="Arial" w:cs="Arial"/>
                <w:b/>
                <w:bCs/>
              </w:rPr>
              <w:br/>
            </w:r>
            <w:r w:rsidRPr="00597D61">
              <w:rPr>
                <w:rFonts w:ascii="Arial" w:hAnsi="Arial" w:cs="Arial"/>
                <w:b/>
                <w:bCs/>
              </w:rPr>
              <w:br/>
            </w:r>
            <w:r w:rsidRPr="00597D61">
              <w:rPr>
                <w:rFonts w:ascii="Arial" w:hAnsi="Arial" w:cs="Arial"/>
                <w:b/>
                <w:bCs/>
              </w:rPr>
              <w:br/>
              <w:t>£m</w:t>
            </w:r>
          </w:p>
        </w:tc>
        <w:tc>
          <w:tcPr>
            <w:tcW w:w="1417" w:type="dxa"/>
            <w:tcBorders>
              <w:top w:val="single" w:sz="4" w:space="0" w:color="auto"/>
            </w:tcBorders>
            <w:shd w:val="clear" w:color="auto" w:fill="auto"/>
            <w:vAlign w:val="bottom"/>
          </w:tcPr>
          <w:p w14:paraId="607ACD19" w14:textId="77777777" w:rsidR="00506B4D" w:rsidRPr="00597D61" w:rsidRDefault="00506B4D" w:rsidP="00D43395">
            <w:pPr>
              <w:pStyle w:val="ListParagraph"/>
              <w:ind w:left="0"/>
              <w:jc w:val="right"/>
              <w:rPr>
                <w:rFonts w:ascii="Arial" w:hAnsi="Arial" w:cs="Arial"/>
                <w:b/>
                <w:bCs/>
              </w:rPr>
            </w:pPr>
            <w:r w:rsidRPr="00597D61">
              <w:rPr>
                <w:rFonts w:ascii="Arial" w:hAnsi="Arial" w:cs="Arial"/>
                <w:b/>
                <w:bCs/>
              </w:rPr>
              <w:t>30/06/23</w:t>
            </w:r>
            <w:r w:rsidRPr="00597D61">
              <w:rPr>
                <w:rFonts w:ascii="Arial" w:hAnsi="Arial" w:cs="Arial"/>
                <w:b/>
                <w:bCs/>
              </w:rPr>
              <w:br/>
              <w:t>Weighted average rate</w:t>
            </w:r>
            <w:r w:rsidRPr="00597D61">
              <w:rPr>
                <w:rFonts w:ascii="Arial" w:hAnsi="Arial" w:cs="Arial"/>
                <w:b/>
                <w:bCs/>
              </w:rPr>
              <w:br/>
              <w:t>%</w:t>
            </w:r>
          </w:p>
        </w:tc>
        <w:tc>
          <w:tcPr>
            <w:tcW w:w="1417" w:type="dxa"/>
            <w:tcBorders>
              <w:top w:val="single" w:sz="4" w:space="0" w:color="auto"/>
            </w:tcBorders>
            <w:shd w:val="clear" w:color="auto" w:fill="auto"/>
            <w:vAlign w:val="bottom"/>
          </w:tcPr>
          <w:p w14:paraId="621B2D1E" w14:textId="77777777" w:rsidR="00506B4D" w:rsidRPr="00597D61" w:rsidRDefault="00506B4D" w:rsidP="00D43395">
            <w:pPr>
              <w:pStyle w:val="ListParagraph"/>
              <w:ind w:left="0"/>
              <w:jc w:val="right"/>
              <w:rPr>
                <w:rFonts w:ascii="Arial" w:hAnsi="Arial" w:cs="Arial"/>
                <w:b/>
                <w:bCs/>
              </w:rPr>
            </w:pPr>
            <w:r w:rsidRPr="00597D61">
              <w:rPr>
                <w:rFonts w:ascii="Arial" w:hAnsi="Arial" w:cs="Arial"/>
                <w:b/>
                <w:bCs/>
              </w:rPr>
              <w:t>31/03/23</w:t>
            </w:r>
            <w:r w:rsidRPr="00597D61">
              <w:rPr>
                <w:rFonts w:ascii="Arial" w:hAnsi="Arial" w:cs="Arial"/>
                <w:b/>
                <w:bCs/>
              </w:rPr>
              <w:br/>
              <w:t>Weighted average maturity</w:t>
            </w:r>
            <w:r w:rsidRPr="00597D61">
              <w:rPr>
                <w:rFonts w:ascii="Arial" w:hAnsi="Arial" w:cs="Arial"/>
                <w:b/>
                <w:bCs/>
              </w:rPr>
              <w:br/>
              <w:t>(years)</w:t>
            </w:r>
          </w:p>
        </w:tc>
      </w:tr>
      <w:tr w:rsidR="00506B4D" w:rsidRPr="00597D61" w14:paraId="52F60275" w14:textId="77777777" w:rsidTr="00D43395">
        <w:tc>
          <w:tcPr>
            <w:tcW w:w="2943" w:type="dxa"/>
            <w:shd w:val="clear" w:color="auto" w:fill="auto"/>
          </w:tcPr>
          <w:p w14:paraId="323D017C" w14:textId="6CA2D1BA" w:rsidR="00506B4D" w:rsidRPr="00597D61" w:rsidRDefault="00506B4D" w:rsidP="00D43395">
            <w:pPr>
              <w:pStyle w:val="ListParagraph"/>
              <w:ind w:left="0"/>
              <w:rPr>
                <w:rFonts w:ascii="Arial" w:hAnsi="Arial" w:cs="Arial"/>
              </w:rPr>
            </w:pPr>
            <w:r w:rsidRPr="00597D61">
              <w:rPr>
                <w:rFonts w:ascii="Arial" w:hAnsi="Arial" w:cs="Arial"/>
              </w:rPr>
              <w:t>Public Works Loan Board</w:t>
            </w:r>
            <w:r w:rsidR="005F450B" w:rsidRPr="00597D61">
              <w:rPr>
                <w:rFonts w:ascii="Arial" w:hAnsi="Arial" w:cs="Arial"/>
              </w:rPr>
              <w:t xml:space="preserve"> (PWLB)</w:t>
            </w:r>
          </w:p>
        </w:tc>
        <w:tc>
          <w:tcPr>
            <w:tcW w:w="1417" w:type="dxa"/>
            <w:vAlign w:val="center"/>
          </w:tcPr>
          <w:p w14:paraId="696EAED0" w14:textId="77777777" w:rsidR="00506B4D" w:rsidRPr="00597D61" w:rsidRDefault="00506B4D" w:rsidP="00D43395">
            <w:pPr>
              <w:pStyle w:val="ListParagraph"/>
              <w:ind w:left="0"/>
              <w:jc w:val="right"/>
              <w:rPr>
                <w:rFonts w:ascii="Arial" w:hAnsi="Arial" w:cs="Arial"/>
              </w:rPr>
            </w:pPr>
            <w:r w:rsidRPr="00597D61">
              <w:rPr>
                <w:rFonts w:ascii="Arial" w:hAnsi="Arial" w:cs="Arial"/>
              </w:rPr>
              <w:t>(29.70)</w:t>
            </w:r>
          </w:p>
        </w:tc>
        <w:tc>
          <w:tcPr>
            <w:tcW w:w="1417" w:type="dxa"/>
            <w:shd w:val="clear" w:color="auto" w:fill="auto"/>
            <w:vAlign w:val="center"/>
          </w:tcPr>
          <w:p w14:paraId="56354750" w14:textId="3240DF70" w:rsidR="00506B4D" w:rsidRPr="00597D61" w:rsidRDefault="00042FE1" w:rsidP="00D43395">
            <w:pPr>
              <w:pStyle w:val="ListParagraph"/>
              <w:ind w:left="0"/>
              <w:jc w:val="right"/>
              <w:rPr>
                <w:rFonts w:ascii="Arial" w:hAnsi="Arial" w:cs="Arial"/>
              </w:rPr>
            </w:pPr>
            <w:r w:rsidRPr="00597D61">
              <w:rPr>
                <w:rFonts w:ascii="Arial" w:hAnsi="Arial" w:cs="Arial"/>
              </w:rPr>
              <w:t>10.0</w:t>
            </w:r>
          </w:p>
        </w:tc>
        <w:tc>
          <w:tcPr>
            <w:tcW w:w="1417" w:type="dxa"/>
            <w:shd w:val="clear" w:color="auto" w:fill="auto"/>
            <w:vAlign w:val="center"/>
          </w:tcPr>
          <w:p w14:paraId="54FDBB87" w14:textId="38A2BAF1" w:rsidR="00506B4D" w:rsidRPr="00597D61" w:rsidRDefault="00506B4D" w:rsidP="00D43395">
            <w:pPr>
              <w:pStyle w:val="ListParagraph"/>
              <w:ind w:left="0"/>
              <w:jc w:val="right"/>
              <w:rPr>
                <w:rFonts w:ascii="Arial" w:hAnsi="Arial" w:cs="Arial"/>
              </w:rPr>
            </w:pPr>
            <w:r w:rsidRPr="00597D61">
              <w:rPr>
                <w:rFonts w:ascii="Arial" w:hAnsi="Arial" w:cs="Arial"/>
              </w:rPr>
              <w:t>(</w:t>
            </w:r>
            <w:r w:rsidR="00042FE1" w:rsidRPr="00597D61">
              <w:rPr>
                <w:rFonts w:ascii="Arial" w:hAnsi="Arial" w:cs="Arial"/>
              </w:rPr>
              <w:t>1</w:t>
            </w:r>
            <w:r w:rsidRPr="00597D61">
              <w:rPr>
                <w:rFonts w:ascii="Arial" w:hAnsi="Arial" w:cs="Arial"/>
              </w:rPr>
              <w:t>9.70)</w:t>
            </w:r>
          </w:p>
        </w:tc>
        <w:tc>
          <w:tcPr>
            <w:tcW w:w="1417" w:type="dxa"/>
            <w:shd w:val="clear" w:color="auto" w:fill="auto"/>
            <w:vAlign w:val="center"/>
          </w:tcPr>
          <w:p w14:paraId="2510005D" w14:textId="504D5C25" w:rsidR="00506B4D" w:rsidRPr="00E623A6" w:rsidRDefault="00506B4D" w:rsidP="00D43395">
            <w:pPr>
              <w:pStyle w:val="ListParagraph"/>
              <w:ind w:left="0"/>
              <w:jc w:val="right"/>
              <w:rPr>
                <w:rFonts w:ascii="Arial" w:hAnsi="Arial" w:cs="Arial"/>
              </w:rPr>
            </w:pPr>
            <w:r w:rsidRPr="00E623A6">
              <w:rPr>
                <w:rFonts w:ascii="Arial" w:hAnsi="Arial" w:cs="Arial"/>
              </w:rPr>
              <w:t>(4.</w:t>
            </w:r>
            <w:r w:rsidR="00FD2D79" w:rsidRPr="00E623A6">
              <w:rPr>
                <w:rFonts w:ascii="Arial" w:hAnsi="Arial" w:cs="Arial"/>
              </w:rPr>
              <w:t>31</w:t>
            </w:r>
            <w:r w:rsidRPr="00E623A6">
              <w:rPr>
                <w:rFonts w:ascii="Arial" w:hAnsi="Arial" w:cs="Arial"/>
              </w:rPr>
              <w:t>)</w:t>
            </w:r>
          </w:p>
        </w:tc>
        <w:tc>
          <w:tcPr>
            <w:tcW w:w="1417" w:type="dxa"/>
            <w:shd w:val="clear" w:color="auto" w:fill="auto"/>
            <w:vAlign w:val="center"/>
          </w:tcPr>
          <w:p w14:paraId="71EAACD9" w14:textId="42D4D16E" w:rsidR="00506B4D" w:rsidRPr="00E623A6" w:rsidRDefault="00FD2D79" w:rsidP="00D43395">
            <w:pPr>
              <w:pStyle w:val="ListParagraph"/>
              <w:ind w:left="0"/>
              <w:jc w:val="right"/>
              <w:rPr>
                <w:rFonts w:ascii="Arial" w:hAnsi="Arial" w:cs="Arial"/>
              </w:rPr>
            </w:pPr>
            <w:r w:rsidRPr="00E623A6">
              <w:rPr>
                <w:rFonts w:ascii="Arial" w:hAnsi="Arial" w:cs="Arial"/>
              </w:rPr>
              <w:t>9.7</w:t>
            </w:r>
            <w:r w:rsidR="00597D61" w:rsidRPr="00E623A6">
              <w:rPr>
                <w:rFonts w:ascii="Arial" w:hAnsi="Arial" w:cs="Arial"/>
              </w:rPr>
              <w:t>2</w:t>
            </w:r>
          </w:p>
        </w:tc>
      </w:tr>
      <w:tr w:rsidR="00506B4D" w:rsidRPr="00211F0E" w14:paraId="10435FFF" w14:textId="77777777" w:rsidTr="00D43395">
        <w:tc>
          <w:tcPr>
            <w:tcW w:w="2943" w:type="dxa"/>
            <w:shd w:val="clear" w:color="auto" w:fill="auto"/>
          </w:tcPr>
          <w:p w14:paraId="42C925A2" w14:textId="77777777" w:rsidR="00506B4D" w:rsidRPr="00E623A6" w:rsidRDefault="00506B4D" w:rsidP="00D43395">
            <w:pPr>
              <w:pStyle w:val="ListParagraph"/>
              <w:ind w:left="0"/>
              <w:rPr>
                <w:rFonts w:ascii="Arial" w:hAnsi="Arial" w:cs="Arial"/>
                <w:b/>
                <w:bCs/>
              </w:rPr>
            </w:pPr>
            <w:r w:rsidRPr="00E623A6">
              <w:rPr>
                <w:rFonts w:ascii="Arial" w:hAnsi="Arial" w:cs="Arial"/>
                <w:b/>
                <w:bCs/>
              </w:rPr>
              <w:t>Total borrowing</w:t>
            </w:r>
          </w:p>
        </w:tc>
        <w:tc>
          <w:tcPr>
            <w:tcW w:w="1417" w:type="dxa"/>
            <w:vAlign w:val="center"/>
          </w:tcPr>
          <w:p w14:paraId="39B59D9B" w14:textId="77777777" w:rsidR="00506B4D" w:rsidRPr="00E623A6" w:rsidRDefault="00506B4D" w:rsidP="00D43395">
            <w:pPr>
              <w:pStyle w:val="ListParagraph"/>
              <w:ind w:left="0"/>
              <w:jc w:val="right"/>
              <w:rPr>
                <w:rFonts w:ascii="Arial" w:hAnsi="Arial" w:cs="Arial"/>
                <w:b/>
                <w:bCs/>
              </w:rPr>
            </w:pPr>
            <w:r w:rsidRPr="00E623A6">
              <w:rPr>
                <w:rFonts w:ascii="Arial" w:hAnsi="Arial" w:cs="Arial"/>
                <w:b/>
                <w:bCs/>
              </w:rPr>
              <w:t>(29.70)</w:t>
            </w:r>
          </w:p>
        </w:tc>
        <w:tc>
          <w:tcPr>
            <w:tcW w:w="1417" w:type="dxa"/>
            <w:shd w:val="clear" w:color="auto" w:fill="auto"/>
            <w:vAlign w:val="center"/>
          </w:tcPr>
          <w:p w14:paraId="076C106A" w14:textId="0A6A5CC4" w:rsidR="00506B4D" w:rsidRPr="00E623A6" w:rsidRDefault="00042FE1" w:rsidP="00D43395">
            <w:pPr>
              <w:pStyle w:val="ListParagraph"/>
              <w:ind w:left="0"/>
              <w:jc w:val="right"/>
              <w:rPr>
                <w:rFonts w:ascii="Arial" w:hAnsi="Arial" w:cs="Arial"/>
                <w:b/>
                <w:bCs/>
              </w:rPr>
            </w:pPr>
            <w:r w:rsidRPr="00E623A6">
              <w:rPr>
                <w:rFonts w:ascii="Arial" w:hAnsi="Arial" w:cs="Arial"/>
                <w:b/>
                <w:bCs/>
              </w:rPr>
              <w:t>10.0</w:t>
            </w:r>
          </w:p>
        </w:tc>
        <w:tc>
          <w:tcPr>
            <w:tcW w:w="1417" w:type="dxa"/>
            <w:shd w:val="clear" w:color="auto" w:fill="auto"/>
            <w:vAlign w:val="center"/>
          </w:tcPr>
          <w:p w14:paraId="57BE6276" w14:textId="3BA3D283" w:rsidR="00506B4D" w:rsidRPr="00E623A6" w:rsidRDefault="00506B4D" w:rsidP="00D43395">
            <w:pPr>
              <w:pStyle w:val="ListParagraph"/>
              <w:ind w:left="0"/>
              <w:jc w:val="right"/>
              <w:rPr>
                <w:rFonts w:ascii="Arial" w:hAnsi="Arial" w:cs="Arial"/>
                <w:b/>
                <w:bCs/>
              </w:rPr>
            </w:pPr>
            <w:r w:rsidRPr="00E623A6">
              <w:rPr>
                <w:rFonts w:ascii="Arial" w:hAnsi="Arial" w:cs="Arial"/>
                <w:b/>
                <w:bCs/>
              </w:rPr>
              <w:t>(</w:t>
            </w:r>
            <w:r w:rsidR="00042FE1" w:rsidRPr="00E623A6">
              <w:rPr>
                <w:rFonts w:ascii="Arial" w:hAnsi="Arial" w:cs="Arial"/>
                <w:b/>
                <w:bCs/>
              </w:rPr>
              <w:t>1</w:t>
            </w:r>
            <w:r w:rsidRPr="00E623A6">
              <w:rPr>
                <w:rFonts w:ascii="Arial" w:hAnsi="Arial" w:cs="Arial"/>
                <w:b/>
                <w:bCs/>
              </w:rPr>
              <w:t>9.70)</w:t>
            </w:r>
          </w:p>
        </w:tc>
        <w:tc>
          <w:tcPr>
            <w:tcW w:w="1417" w:type="dxa"/>
            <w:shd w:val="clear" w:color="auto" w:fill="auto"/>
            <w:vAlign w:val="center"/>
          </w:tcPr>
          <w:p w14:paraId="3DD42C4C" w14:textId="79734891" w:rsidR="00506B4D" w:rsidRPr="00E623A6" w:rsidRDefault="00506B4D" w:rsidP="00D43395">
            <w:pPr>
              <w:pStyle w:val="ListParagraph"/>
              <w:ind w:left="0"/>
              <w:jc w:val="right"/>
              <w:rPr>
                <w:rFonts w:ascii="Arial" w:hAnsi="Arial" w:cs="Arial"/>
                <w:b/>
                <w:bCs/>
              </w:rPr>
            </w:pPr>
            <w:r w:rsidRPr="00E623A6">
              <w:rPr>
                <w:rFonts w:ascii="Arial" w:hAnsi="Arial" w:cs="Arial"/>
                <w:b/>
                <w:bCs/>
              </w:rPr>
              <w:t>(4.</w:t>
            </w:r>
            <w:r w:rsidR="00597D61" w:rsidRPr="00E623A6">
              <w:rPr>
                <w:rFonts w:ascii="Arial" w:hAnsi="Arial" w:cs="Arial"/>
                <w:b/>
                <w:bCs/>
              </w:rPr>
              <w:t>31</w:t>
            </w:r>
            <w:r w:rsidRPr="00E623A6">
              <w:rPr>
                <w:rFonts w:ascii="Arial" w:hAnsi="Arial" w:cs="Arial"/>
                <w:b/>
                <w:bCs/>
              </w:rPr>
              <w:t>)</w:t>
            </w:r>
          </w:p>
        </w:tc>
        <w:tc>
          <w:tcPr>
            <w:tcW w:w="1417" w:type="dxa"/>
            <w:shd w:val="clear" w:color="auto" w:fill="auto"/>
            <w:vAlign w:val="center"/>
          </w:tcPr>
          <w:p w14:paraId="0FB43AE0" w14:textId="56B3DA2F" w:rsidR="00506B4D" w:rsidRPr="00E623A6" w:rsidRDefault="00597D61" w:rsidP="00D43395">
            <w:pPr>
              <w:pStyle w:val="ListParagraph"/>
              <w:ind w:left="0"/>
              <w:jc w:val="right"/>
              <w:rPr>
                <w:rFonts w:ascii="Arial" w:hAnsi="Arial" w:cs="Arial"/>
                <w:b/>
                <w:bCs/>
              </w:rPr>
            </w:pPr>
            <w:r w:rsidRPr="00E623A6">
              <w:rPr>
                <w:rFonts w:ascii="Arial" w:hAnsi="Arial" w:cs="Arial"/>
                <w:b/>
                <w:bCs/>
              </w:rPr>
              <w:t>9.72</w:t>
            </w:r>
          </w:p>
        </w:tc>
      </w:tr>
    </w:tbl>
    <w:p w14:paraId="6B2626F5" w14:textId="77777777" w:rsidR="00506B4D" w:rsidRDefault="00506B4D" w:rsidP="00597D61">
      <w:pPr>
        <w:pStyle w:val="ListParagraph"/>
        <w:spacing w:after="240"/>
        <w:rPr>
          <w:rFonts w:ascii="Arial" w:hAnsi="Arial" w:cs="Arial"/>
          <w:highlight w:val="yellow"/>
        </w:rPr>
      </w:pPr>
    </w:p>
    <w:p w14:paraId="0E37D798" w14:textId="0017B26C" w:rsidR="00EE5D37" w:rsidRPr="007E4E54" w:rsidRDefault="004E2640" w:rsidP="003C3808">
      <w:pPr>
        <w:keepNext/>
        <w:numPr>
          <w:ilvl w:val="0"/>
          <w:numId w:val="2"/>
        </w:numPr>
        <w:tabs>
          <w:tab w:val="num" w:pos="720"/>
        </w:tabs>
        <w:spacing w:after="240"/>
        <w:ind w:left="431" w:hanging="431"/>
        <w:outlineLvl w:val="0"/>
        <w:rPr>
          <w:rFonts w:ascii="Arial" w:hAnsi="Arial" w:cs="Arial"/>
          <w:b/>
        </w:rPr>
      </w:pPr>
      <w:r w:rsidRPr="007E4E54">
        <w:rPr>
          <w:rFonts w:ascii="Arial" w:hAnsi="Arial" w:cs="Arial"/>
          <w:b/>
        </w:rPr>
        <w:t xml:space="preserve">Treasury </w:t>
      </w:r>
      <w:r w:rsidR="006A2DD0" w:rsidRPr="007E4E54">
        <w:rPr>
          <w:rFonts w:ascii="Arial" w:hAnsi="Arial" w:cs="Arial"/>
          <w:b/>
        </w:rPr>
        <w:t>Investment Activity</w:t>
      </w:r>
      <w:r w:rsidR="000B6FC0" w:rsidRPr="007E4E54">
        <w:rPr>
          <w:rFonts w:ascii="Arial" w:hAnsi="Arial" w:cs="Arial"/>
          <w:b/>
        </w:rPr>
        <w:t xml:space="preserve"> </w:t>
      </w:r>
    </w:p>
    <w:p w14:paraId="4B7DB67E" w14:textId="77777777" w:rsidR="00E2324A" w:rsidRPr="00E2324A" w:rsidRDefault="00E2324A" w:rsidP="00E2324A">
      <w:pPr>
        <w:pStyle w:val="ListParagraph"/>
        <w:numPr>
          <w:ilvl w:val="1"/>
          <w:numId w:val="2"/>
        </w:numPr>
        <w:spacing w:after="240"/>
        <w:ind w:left="720" w:hanging="720"/>
        <w:rPr>
          <w:rFonts w:ascii="Arial" w:hAnsi="Arial" w:cs="Arial"/>
        </w:rPr>
      </w:pPr>
      <w:r w:rsidRPr="00E2324A">
        <w:rPr>
          <w:rFonts w:ascii="Arial" w:hAnsi="Arial" w:cs="Arial"/>
        </w:rPr>
        <w:t xml:space="preserve">CIPFA published a revised Treasury Management in the Public Services Code of Practice and Cross-Sectoral Guidance Notes on 20 December 2021. These define treasury management investments as investments that arise from the organisation’s cash flows or treasury risk management activity that </w:t>
      </w:r>
      <w:r w:rsidRPr="00E2324A">
        <w:rPr>
          <w:rFonts w:ascii="Arial" w:hAnsi="Arial" w:cs="Arial"/>
        </w:rPr>
        <w:lastRenderedPageBreak/>
        <w:t xml:space="preserve">ultimately represents balances that need to be invested until the cash is required for use </w:t>
      </w:r>
      <w:proofErr w:type="gramStart"/>
      <w:r w:rsidRPr="00E2324A">
        <w:rPr>
          <w:rFonts w:ascii="Arial" w:hAnsi="Arial" w:cs="Arial"/>
        </w:rPr>
        <w:t>in the course of</w:t>
      </w:r>
      <w:proofErr w:type="gramEnd"/>
      <w:r w:rsidRPr="00E2324A">
        <w:rPr>
          <w:rFonts w:ascii="Arial" w:hAnsi="Arial" w:cs="Arial"/>
        </w:rPr>
        <w:t xml:space="preserve"> business.</w:t>
      </w:r>
    </w:p>
    <w:p w14:paraId="0F569759" w14:textId="64BEFD50" w:rsidR="00BF6A81" w:rsidRPr="006C5C57" w:rsidRDefault="00BF6A81" w:rsidP="00977971">
      <w:pPr>
        <w:pStyle w:val="ListParagraph"/>
        <w:numPr>
          <w:ilvl w:val="1"/>
          <w:numId w:val="2"/>
        </w:numPr>
        <w:spacing w:after="240"/>
        <w:ind w:left="720" w:hanging="720"/>
        <w:rPr>
          <w:rFonts w:ascii="Arial" w:hAnsi="Arial" w:cs="Arial"/>
        </w:rPr>
      </w:pPr>
      <w:r w:rsidRPr="006C5C57">
        <w:rPr>
          <w:rFonts w:ascii="Arial" w:hAnsi="Arial" w:cs="Arial"/>
        </w:rPr>
        <w:t xml:space="preserve">The </w:t>
      </w:r>
      <w:r w:rsidR="003E22AA" w:rsidRPr="006C5C57">
        <w:rPr>
          <w:rFonts w:ascii="Arial" w:hAnsi="Arial" w:cs="Arial"/>
        </w:rPr>
        <w:t>PCC</w:t>
      </w:r>
      <w:r w:rsidRPr="006C5C57">
        <w:rPr>
          <w:rFonts w:ascii="Arial" w:hAnsi="Arial" w:cs="Arial"/>
        </w:rPr>
        <w:t xml:space="preserve"> </w:t>
      </w:r>
      <w:r w:rsidR="00147C76" w:rsidRPr="006C5C57">
        <w:rPr>
          <w:rFonts w:ascii="Arial" w:hAnsi="Arial" w:cs="Arial"/>
        </w:rPr>
        <w:t>h</w:t>
      </w:r>
      <w:r w:rsidR="00AF2316" w:rsidRPr="006C5C57">
        <w:rPr>
          <w:rFonts w:ascii="Arial" w:hAnsi="Arial" w:cs="Arial"/>
        </w:rPr>
        <w:t>o</w:t>
      </w:r>
      <w:r w:rsidR="00147C76" w:rsidRPr="006C5C57">
        <w:rPr>
          <w:rFonts w:ascii="Arial" w:hAnsi="Arial" w:cs="Arial"/>
        </w:rPr>
        <w:t>ld</w:t>
      </w:r>
      <w:r w:rsidR="00AF2316" w:rsidRPr="006C5C57">
        <w:rPr>
          <w:rFonts w:ascii="Arial" w:hAnsi="Arial" w:cs="Arial"/>
        </w:rPr>
        <w:t>s</w:t>
      </w:r>
      <w:r w:rsidR="00147C76" w:rsidRPr="006C5C57">
        <w:rPr>
          <w:rFonts w:ascii="Arial" w:hAnsi="Arial" w:cs="Arial"/>
        </w:rPr>
        <w:t xml:space="preserve"> </w:t>
      </w:r>
      <w:r w:rsidRPr="006C5C57">
        <w:rPr>
          <w:rFonts w:ascii="Arial" w:hAnsi="Arial" w:cs="Arial"/>
        </w:rPr>
        <w:t xml:space="preserve">invested funds representing income received in advance of expenditure plus balances and reserves held.  </w:t>
      </w:r>
      <w:r w:rsidR="00147C76" w:rsidRPr="006C5C57">
        <w:rPr>
          <w:rFonts w:ascii="Arial" w:hAnsi="Arial" w:cs="Arial"/>
        </w:rPr>
        <w:t>D</w:t>
      </w:r>
      <w:r w:rsidRPr="006C5C57">
        <w:rPr>
          <w:rFonts w:ascii="Arial" w:hAnsi="Arial" w:cs="Arial"/>
        </w:rPr>
        <w:t xml:space="preserve">uring </w:t>
      </w:r>
      <w:r w:rsidR="001E27FC" w:rsidRPr="006C5C57">
        <w:rPr>
          <w:rFonts w:ascii="Arial" w:hAnsi="Arial" w:cs="Arial"/>
        </w:rPr>
        <w:t>the year,</w:t>
      </w:r>
      <w:r w:rsidRPr="006C5C57">
        <w:rPr>
          <w:rFonts w:ascii="Arial" w:hAnsi="Arial" w:cs="Arial"/>
        </w:rPr>
        <w:t xml:space="preserve"> the </w:t>
      </w:r>
      <w:r w:rsidR="003E22AA" w:rsidRPr="006C5C57">
        <w:rPr>
          <w:rFonts w:ascii="Arial" w:hAnsi="Arial" w:cs="Arial"/>
        </w:rPr>
        <w:t>PCC</w:t>
      </w:r>
      <w:r w:rsidRPr="006C5C57">
        <w:rPr>
          <w:rFonts w:ascii="Arial" w:hAnsi="Arial" w:cs="Arial"/>
        </w:rPr>
        <w:t xml:space="preserve">’s investment balances </w:t>
      </w:r>
      <w:r w:rsidR="00147C76" w:rsidRPr="006C5C57">
        <w:rPr>
          <w:rFonts w:ascii="Arial" w:hAnsi="Arial" w:cs="Arial"/>
        </w:rPr>
        <w:t>have</w:t>
      </w:r>
      <w:r w:rsidRPr="006C5C57">
        <w:rPr>
          <w:rFonts w:ascii="Arial" w:hAnsi="Arial" w:cs="Arial"/>
        </w:rPr>
        <w:t xml:space="preserve"> range</w:t>
      </w:r>
      <w:r w:rsidR="00147C76" w:rsidRPr="006C5C57">
        <w:rPr>
          <w:rFonts w:ascii="Arial" w:hAnsi="Arial" w:cs="Arial"/>
        </w:rPr>
        <w:t>d</w:t>
      </w:r>
      <w:r w:rsidRPr="006C5C57">
        <w:rPr>
          <w:rFonts w:ascii="Arial" w:hAnsi="Arial" w:cs="Arial"/>
        </w:rPr>
        <w:t xml:space="preserve"> between £</w:t>
      </w:r>
      <w:r w:rsidR="00D30A34">
        <w:rPr>
          <w:rFonts w:ascii="Arial" w:hAnsi="Arial" w:cs="Arial"/>
        </w:rPr>
        <w:t>62.6</w:t>
      </w:r>
      <w:r w:rsidR="00280CF9" w:rsidRPr="006C5C57">
        <w:rPr>
          <w:rFonts w:ascii="Arial" w:hAnsi="Arial" w:cs="Arial"/>
        </w:rPr>
        <w:t>m</w:t>
      </w:r>
      <w:r w:rsidRPr="006C5C57">
        <w:rPr>
          <w:rFonts w:ascii="Arial" w:hAnsi="Arial" w:cs="Arial"/>
        </w:rPr>
        <w:t xml:space="preserve"> and </w:t>
      </w:r>
      <w:r w:rsidR="00C55FD3" w:rsidRPr="006C5C57">
        <w:rPr>
          <w:rFonts w:ascii="Arial" w:hAnsi="Arial" w:cs="Arial"/>
        </w:rPr>
        <w:t>£</w:t>
      </w:r>
      <w:r w:rsidR="006C5C57" w:rsidRPr="006C5C57">
        <w:rPr>
          <w:rFonts w:ascii="Arial" w:hAnsi="Arial" w:cs="Arial"/>
        </w:rPr>
        <w:t>1</w:t>
      </w:r>
      <w:r w:rsidR="00D30A34">
        <w:rPr>
          <w:rFonts w:ascii="Arial" w:hAnsi="Arial" w:cs="Arial"/>
        </w:rPr>
        <w:t>03.9</w:t>
      </w:r>
      <w:r w:rsidR="006C5C57" w:rsidRPr="006C5C57">
        <w:rPr>
          <w:rFonts w:ascii="Arial" w:hAnsi="Arial" w:cs="Arial"/>
        </w:rPr>
        <w:t>m</w:t>
      </w:r>
      <w:r w:rsidR="00AF2316" w:rsidRPr="006C5C57">
        <w:rPr>
          <w:rFonts w:ascii="Arial" w:hAnsi="Arial" w:cs="Arial"/>
        </w:rPr>
        <w:t xml:space="preserve"> due to timing differences between income and expenditure. </w:t>
      </w:r>
      <w:r w:rsidR="00977971" w:rsidRPr="006C5C57">
        <w:rPr>
          <w:rFonts w:ascii="Arial" w:hAnsi="Arial" w:cs="Arial"/>
        </w:rPr>
        <w:t xml:space="preserve"> </w:t>
      </w:r>
      <w:r w:rsidR="00AF2316" w:rsidRPr="006C5C57">
        <w:rPr>
          <w:rFonts w:ascii="Arial" w:hAnsi="Arial" w:cs="Arial"/>
        </w:rPr>
        <w:t>The year-end investment positio</w:t>
      </w:r>
      <w:r w:rsidR="00564821" w:rsidRPr="006C5C57">
        <w:rPr>
          <w:rFonts w:ascii="Arial" w:hAnsi="Arial" w:cs="Arial"/>
        </w:rPr>
        <w:t>n and the year-on-year change are</w:t>
      </w:r>
      <w:r w:rsidR="00AF2316" w:rsidRPr="006C5C57">
        <w:rPr>
          <w:rFonts w:ascii="Arial" w:hAnsi="Arial" w:cs="Arial"/>
        </w:rPr>
        <w:t xml:space="preserve"> shown in Table 4.</w:t>
      </w:r>
      <w:r w:rsidR="006C0E5D" w:rsidRPr="006C5C57">
        <w:rPr>
          <w:rFonts w:ascii="Arial" w:hAnsi="Arial" w:cs="Arial"/>
        </w:rPr>
        <w:t xml:space="preserve">  </w:t>
      </w:r>
    </w:p>
    <w:tbl>
      <w:tblPr>
        <w:tblW w:w="10491" w:type="dxa"/>
        <w:jc w:val="center"/>
        <w:tblLayout w:type="fixed"/>
        <w:tblLook w:val="0000" w:firstRow="0" w:lastRow="0" w:firstColumn="0" w:lastColumn="0" w:noHBand="0" w:noVBand="0"/>
      </w:tblPr>
      <w:tblGrid>
        <w:gridCol w:w="3402"/>
        <w:gridCol w:w="1417"/>
        <w:gridCol w:w="1417"/>
        <w:gridCol w:w="1417"/>
        <w:gridCol w:w="1417"/>
        <w:gridCol w:w="1421"/>
      </w:tblGrid>
      <w:tr w:rsidR="00D14B6D" w:rsidRPr="00384864" w14:paraId="4B81CD4A" w14:textId="77777777" w:rsidTr="00516B1F">
        <w:trPr>
          <w:cantSplit/>
          <w:trHeight w:val="254"/>
          <w:jc w:val="center"/>
        </w:trPr>
        <w:tc>
          <w:tcPr>
            <w:tcW w:w="3402" w:type="dxa"/>
            <w:tcBorders>
              <w:top w:val="single" w:sz="4" w:space="0" w:color="auto"/>
              <w:left w:val="single" w:sz="4" w:space="0" w:color="auto"/>
              <w:right w:val="single" w:sz="4" w:space="0" w:color="auto"/>
            </w:tcBorders>
            <w:shd w:val="clear" w:color="auto" w:fill="auto"/>
            <w:noWrap/>
          </w:tcPr>
          <w:p w14:paraId="4A161C8A" w14:textId="47376A98" w:rsidR="00D14B6D" w:rsidRPr="00384864" w:rsidRDefault="00D14B6D" w:rsidP="007E4E54">
            <w:pPr>
              <w:keepNext/>
              <w:spacing w:line="280" w:lineRule="atLeast"/>
              <w:rPr>
                <w:rFonts w:ascii="Arial" w:hAnsi="Arial" w:cs="Arial"/>
                <w:b/>
                <w:bCs/>
                <w:sz w:val="22"/>
                <w:szCs w:val="22"/>
              </w:rPr>
            </w:pPr>
            <w:r w:rsidRPr="00516B1F">
              <w:rPr>
                <w:rFonts w:ascii="Arial" w:hAnsi="Arial" w:cs="Arial"/>
                <w:b/>
                <w:bCs/>
                <w:szCs w:val="22"/>
              </w:rPr>
              <w:t>Table 4: Treasury investment position</w:t>
            </w:r>
          </w:p>
        </w:tc>
        <w:tc>
          <w:tcPr>
            <w:tcW w:w="1417" w:type="dxa"/>
            <w:tcBorders>
              <w:top w:val="single" w:sz="4" w:space="0" w:color="auto"/>
              <w:left w:val="single" w:sz="4" w:space="0" w:color="auto"/>
              <w:right w:val="single" w:sz="4" w:space="0" w:color="auto"/>
            </w:tcBorders>
          </w:tcPr>
          <w:p w14:paraId="0FD3C39E" w14:textId="2AF13422"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31/03/202</w:t>
            </w:r>
            <w:r w:rsidR="00D502B9">
              <w:rPr>
                <w:rFonts w:ascii="Arial" w:hAnsi="Arial" w:cs="Arial"/>
                <w:b/>
                <w:bCs/>
                <w:sz w:val="22"/>
                <w:szCs w:val="22"/>
              </w:rPr>
              <w:t>3</w:t>
            </w:r>
            <w:r w:rsidRPr="00384864">
              <w:rPr>
                <w:rFonts w:ascii="Arial" w:hAnsi="Arial" w:cs="Arial"/>
                <w:b/>
                <w:bCs/>
                <w:sz w:val="22"/>
                <w:szCs w:val="22"/>
              </w:rPr>
              <w:t xml:space="preserve">  </w:t>
            </w:r>
            <w:r w:rsidRPr="00384864">
              <w:rPr>
                <w:rFonts w:ascii="Arial" w:hAnsi="Arial" w:cs="Arial"/>
                <w:b/>
                <w:bCs/>
                <w:sz w:val="22"/>
                <w:szCs w:val="22"/>
              </w:rPr>
              <w:br/>
              <w:t>Balance</w:t>
            </w:r>
          </w:p>
        </w:tc>
        <w:tc>
          <w:tcPr>
            <w:tcW w:w="1417" w:type="dxa"/>
            <w:tcBorders>
              <w:top w:val="single" w:sz="4" w:space="0" w:color="auto"/>
              <w:left w:val="single" w:sz="4" w:space="0" w:color="auto"/>
              <w:right w:val="single" w:sz="4" w:space="0" w:color="auto"/>
            </w:tcBorders>
            <w:shd w:val="clear" w:color="auto" w:fill="auto"/>
          </w:tcPr>
          <w:p w14:paraId="503EC27A" w14:textId="5040953C"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Net movement</w:t>
            </w:r>
          </w:p>
        </w:tc>
        <w:tc>
          <w:tcPr>
            <w:tcW w:w="1417" w:type="dxa"/>
            <w:tcBorders>
              <w:top w:val="single" w:sz="4" w:space="0" w:color="auto"/>
              <w:left w:val="single" w:sz="4" w:space="0" w:color="auto"/>
              <w:right w:val="single" w:sz="4" w:space="0" w:color="auto"/>
            </w:tcBorders>
          </w:tcPr>
          <w:p w14:paraId="7DF22C49" w14:textId="1E53ADF3"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3</w:t>
            </w:r>
            <w:r w:rsidR="00D502B9">
              <w:rPr>
                <w:rFonts w:ascii="Arial" w:hAnsi="Arial" w:cs="Arial"/>
                <w:b/>
                <w:bCs/>
                <w:sz w:val="22"/>
                <w:szCs w:val="22"/>
              </w:rPr>
              <w:t>0</w:t>
            </w:r>
            <w:r w:rsidRPr="00384864">
              <w:rPr>
                <w:rFonts w:ascii="Arial" w:hAnsi="Arial" w:cs="Arial"/>
                <w:b/>
                <w:bCs/>
                <w:sz w:val="22"/>
                <w:szCs w:val="22"/>
              </w:rPr>
              <w:t>/0</w:t>
            </w:r>
            <w:r w:rsidR="00D502B9">
              <w:rPr>
                <w:rFonts w:ascii="Arial" w:hAnsi="Arial" w:cs="Arial"/>
                <w:b/>
                <w:bCs/>
                <w:sz w:val="22"/>
                <w:szCs w:val="22"/>
              </w:rPr>
              <w:t>6</w:t>
            </w:r>
            <w:r w:rsidRPr="00384864">
              <w:rPr>
                <w:rFonts w:ascii="Arial" w:hAnsi="Arial" w:cs="Arial"/>
                <w:b/>
                <w:bCs/>
                <w:sz w:val="22"/>
                <w:szCs w:val="22"/>
              </w:rPr>
              <w:t>/202</w:t>
            </w:r>
            <w:r w:rsidR="00234499">
              <w:rPr>
                <w:rFonts w:ascii="Arial" w:hAnsi="Arial" w:cs="Arial"/>
                <w:b/>
                <w:bCs/>
                <w:sz w:val="22"/>
                <w:szCs w:val="22"/>
              </w:rPr>
              <w:t>3</w:t>
            </w:r>
          </w:p>
          <w:p w14:paraId="57F88AE0" w14:textId="08464562"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Balance</w:t>
            </w:r>
          </w:p>
        </w:tc>
        <w:tc>
          <w:tcPr>
            <w:tcW w:w="1417" w:type="dxa"/>
            <w:tcBorders>
              <w:top w:val="single" w:sz="4" w:space="0" w:color="auto"/>
              <w:left w:val="single" w:sz="4" w:space="0" w:color="auto"/>
              <w:right w:val="single" w:sz="4" w:space="0" w:color="auto"/>
            </w:tcBorders>
            <w:shd w:val="clear" w:color="auto" w:fill="auto"/>
          </w:tcPr>
          <w:p w14:paraId="292DDFB9" w14:textId="6965DD97"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3</w:t>
            </w:r>
            <w:r w:rsidR="00D502B9">
              <w:rPr>
                <w:rFonts w:ascii="Arial" w:hAnsi="Arial" w:cs="Arial"/>
                <w:b/>
                <w:bCs/>
                <w:sz w:val="22"/>
                <w:szCs w:val="22"/>
              </w:rPr>
              <w:t>0</w:t>
            </w:r>
            <w:r w:rsidRPr="00384864">
              <w:rPr>
                <w:rFonts w:ascii="Arial" w:hAnsi="Arial" w:cs="Arial"/>
                <w:b/>
                <w:bCs/>
                <w:sz w:val="22"/>
                <w:szCs w:val="22"/>
              </w:rPr>
              <w:t>/0</w:t>
            </w:r>
            <w:r w:rsidR="00D502B9">
              <w:rPr>
                <w:rFonts w:ascii="Arial" w:hAnsi="Arial" w:cs="Arial"/>
                <w:b/>
                <w:bCs/>
                <w:sz w:val="22"/>
                <w:szCs w:val="22"/>
              </w:rPr>
              <w:t>6</w:t>
            </w:r>
            <w:r w:rsidR="004B5BE1">
              <w:rPr>
                <w:rFonts w:ascii="Arial" w:hAnsi="Arial" w:cs="Arial"/>
                <w:b/>
                <w:bCs/>
                <w:sz w:val="22"/>
                <w:szCs w:val="22"/>
              </w:rPr>
              <w:t>/</w:t>
            </w:r>
            <w:r w:rsidRPr="00384864">
              <w:rPr>
                <w:rFonts w:ascii="Arial" w:hAnsi="Arial" w:cs="Arial"/>
                <w:b/>
                <w:bCs/>
                <w:sz w:val="22"/>
                <w:szCs w:val="22"/>
              </w:rPr>
              <w:t>2</w:t>
            </w:r>
            <w:r w:rsidR="004D7C28">
              <w:rPr>
                <w:rFonts w:ascii="Arial" w:hAnsi="Arial" w:cs="Arial"/>
                <w:b/>
                <w:bCs/>
                <w:sz w:val="22"/>
                <w:szCs w:val="22"/>
              </w:rPr>
              <w:t>3</w:t>
            </w:r>
            <w:r w:rsidRPr="00384864">
              <w:rPr>
                <w:rFonts w:ascii="Arial" w:hAnsi="Arial" w:cs="Arial"/>
                <w:b/>
                <w:bCs/>
                <w:sz w:val="22"/>
                <w:szCs w:val="22"/>
              </w:rPr>
              <w:br/>
              <w:t>Income return</w:t>
            </w:r>
          </w:p>
        </w:tc>
        <w:tc>
          <w:tcPr>
            <w:tcW w:w="1421" w:type="dxa"/>
            <w:tcBorders>
              <w:top w:val="single" w:sz="4" w:space="0" w:color="auto"/>
              <w:left w:val="single" w:sz="4" w:space="0" w:color="auto"/>
              <w:right w:val="single" w:sz="4" w:space="0" w:color="auto"/>
            </w:tcBorders>
            <w:shd w:val="clear" w:color="auto" w:fill="auto"/>
          </w:tcPr>
          <w:p w14:paraId="101D34DD" w14:textId="6CFE9061"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3</w:t>
            </w:r>
            <w:r w:rsidR="00D502B9">
              <w:rPr>
                <w:rFonts w:ascii="Arial" w:hAnsi="Arial" w:cs="Arial"/>
                <w:b/>
                <w:bCs/>
                <w:sz w:val="22"/>
                <w:szCs w:val="22"/>
              </w:rPr>
              <w:t>0</w:t>
            </w:r>
            <w:r w:rsidRPr="00384864">
              <w:rPr>
                <w:rFonts w:ascii="Arial" w:hAnsi="Arial" w:cs="Arial"/>
                <w:b/>
                <w:bCs/>
                <w:sz w:val="22"/>
                <w:szCs w:val="22"/>
              </w:rPr>
              <w:t>/0</w:t>
            </w:r>
            <w:r w:rsidR="00D502B9">
              <w:rPr>
                <w:rFonts w:ascii="Arial" w:hAnsi="Arial" w:cs="Arial"/>
                <w:b/>
                <w:bCs/>
                <w:sz w:val="22"/>
                <w:szCs w:val="22"/>
              </w:rPr>
              <w:t>6</w:t>
            </w:r>
            <w:r w:rsidRPr="00384864">
              <w:rPr>
                <w:rFonts w:ascii="Arial" w:hAnsi="Arial" w:cs="Arial"/>
                <w:b/>
                <w:bCs/>
                <w:sz w:val="22"/>
                <w:szCs w:val="22"/>
              </w:rPr>
              <w:t>/2</w:t>
            </w:r>
            <w:r w:rsidR="004D7C28">
              <w:rPr>
                <w:rFonts w:ascii="Arial" w:hAnsi="Arial" w:cs="Arial"/>
                <w:b/>
                <w:bCs/>
                <w:sz w:val="22"/>
                <w:szCs w:val="22"/>
              </w:rPr>
              <w:t>3</w:t>
            </w:r>
            <w:r w:rsidRPr="00384864">
              <w:rPr>
                <w:rFonts w:ascii="Arial" w:hAnsi="Arial" w:cs="Arial"/>
                <w:b/>
                <w:bCs/>
                <w:sz w:val="22"/>
                <w:szCs w:val="22"/>
              </w:rPr>
              <w:br/>
              <w:t>Weighted average maturity</w:t>
            </w:r>
          </w:p>
        </w:tc>
      </w:tr>
      <w:tr w:rsidR="00D14B6D" w:rsidRPr="00384864" w14:paraId="229E2AA9" w14:textId="77777777" w:rsidTr="00516B1F">
        <w:trPr>
          <w:cantSplit/>
          <w:trHeight w:val="254"/>
          <w:jc w:val="center"/>
        </w:trPr>
        <w:tc>
          <w:tcPr>
            <w:tcW w:w="3402" w:type="dxa"/>
            <w:tcBorders>
              <w:left w:val="single" w:sz="4" w:space="0" w:color="auto"/>
              <w:bottom w:val="single" w:sz="4" w:space="0" w:color="auto"/>
              <w:right w:val="single" w:sz="4" w:space="0" w:color="auto"/>
            </w:tcBorders>
            <w:shd w:val="clear" w:color="auto" w:fill="auto"/>
            <w:noWrap/>
            <w:vAlign w:val="bottom"/>
          </w:tcPr>
          <w:p w14:paraId="6E648EEA" w14:textId="77777777" w:rsidR="00D14B6D" w:rsidRPr="00384864" w:rsidRDefault="00D14B6D" w:rsidP="007E4E54">
            <w:pPr>
              <w:keepNext/>
              <w:spacing w:line="280" w:lineRule="atLeast"/>
              <w:jc w:val="both"/>
              <w:rPr>
                <w:rFonts w:ascii="Arial" w:hAnsi="Arial" w:cs="Arial"/>
                <w:b/>
                <w:bCs/>
                <w:sz w:val="22"/>
                <w:szCs w:val="22"/>
              </w:rPr>
            </w:pPr>
          </w:p>
        </w:tc>
        <w:tc>
          <w:tcPr>
            <w:tcW w:w="1417" w:type="dxa"/>
            <w:tcBorders>
              <w:left w:val="single" w:sz="4" w:space="0" w:color="auto"/>
              <w:bottom w:val="single" w:sz="4" w:space="0" w:color="auto"/>
              <w:right w:val="single" w:sz="4" w:space="0" w:color="auto"/>
            </w:tcBorders>
          </w:tcPr>
          <w:p w14:paraId="473C6DAF" w14:textId="67A1B5C3"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£m</w:t>
            </w:r>
          </w:p>
        </w:tc>
        <w:tc>
          <w:tcPr>
            <w:tcW w:w="1417" w:type="dxa"/>
            <w:tcBorders>
              <w:left w:val="single" w:sz="4" w:space="0" w:color="auto"/>
              <w:bottom w:val="single" w:sz="4" w:space="0" w:color="auto"/>
              <w:right w:val="single" w:sz="4" w:space="0" w:color="auto"/>
            </w:tcBorders>
            <w:shd w:val="clear" w:color="auto" w:fill="auto"/>
          </w:tcPr>
          <w:p w14:paraId="756567C7" w14:textId="75D18950"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£m</w:t>
            </w:r>
          </w:p>
        </w:tc>
        <w:tc>
          <w:tcPr>
            <w:tcW w:w="1417" w:type="dxa"/>
            <w:tcBorders>
              <w:left w:val="single" w:sz="4" w:space="0" w:color="auto"/>
              <w:bottom w:val="single" w:sz="4" w:space="0" w:color="auto"/>
              <w:right w:val="single" w:sz="4" w:space="0" w:color="auto"/>
            </w:tcBorders>
          </w:tcPr>
          <w:p w14:paraId="3553D5DC" w14:textId="5F05DE1E"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£m</w:t>
            </w:r>
          </w:p>
        </w:tc>
        <w:tc>
          <w:tcPr>
            <w:tcW w:w="1417" w:type="dxa"/>
            <w:tcBorders>
              <w:left w:val="single" w:sz="4" w:space="0" w:color="auto"/>
              <w:bottom w:val="single" w:sz="4" w:space="0" w:color="auto"/>
              <w:right w:val="single" w:sz="4" w:space="0" w:color="auto"/>
            </w:tcBorders>
            <w:shd w:val="clear" w:color="auto" w:fill="auto"/>
          </w:tcPr>
          <w:p w14:paraId="37802317" w14:textId="112436B7"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w:t>
            </w:r>
          </w:p>
        </w:tc>
        <w:tc>
          <w:tcPr>
            <w:tcW w:w="1421" w:type="dxa"/>
            <w:tcBorders>
              <w:left w:val="single" w:sz="4" w:space="0" w:color="auto"/>
              <w:bottom w:val="single" w:sz="4" w:space="0" w:color="auto"/>
              <w:right w:val="single" w:sz="4" w:space="0" w:color="auto"/>
            </w:tcBorders>
            <w:shd w:val="clear" w:color="auto" w:fill="auto"/>
          </w:tcPr>
          <w:p w14:paraId="49CEEE70" w14:textId="3502C5DC" w:rsidR="00D14B6D" w:rsidRPr="00384864" w:rsidRDefault="00D14B6D" w:rsidP="007E4E54">
            <w:pPr>
              <w:keepNext/>
              <w:jc w:val="right"/>
              <w:rPr>
                <w:rFonts w:ascii="Arial" w:hAnsi="Arial" w:cs="Arial"/>
                <w:b/>
                <w:bCs/>
                <w:sz w:val="22"/>
                <w:szCs w:val="22"/>
              </w:rPr>
            </w:pPr>
            <w:r w:rsidRPr="00384864">
              <w:rPr>
                <w:rFonts w:ascii="Arial" w:hAnsi="Arial" w:cs="Arial"/>
                <w:b/>
                <w:bCs/>
                <w:sz w:val="22"/>
                <w:szCs w:val="22"/>
              </w:rPr>
              <w:t>(years)</w:t>
            </w:r>
          </w:p>
        </w:tc>
      </w:tr>
      <w:tr w:rsidR="00D14B6D" w:rsidRPr="00384864" w14:paraId="40655D42" w14:textId="77777777" w:rsidTr="00516B1F">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4DAD62E7" w14:textId="77777777" w:rsidR="00D14B6D" w:rsidRPr="00384864" w:rsidRDefault="00D14B6D" w:rsidP="007E4E54">
            <w:pPr>
              <w:keepNext/>
              <w:rPr>
                <w:rFonts w:ascii="Arial" w:hAnsi="Arial" w:cs="Arial"/>
                <w:b/>
                <w:color w:val="C00000"/>
                <w:sz w:val="22"/>
                <w:szCs w:val="22"/>
              </w:rPr>
            </w:pPr>
            <w:r w:rsidRPr="00384864">
              <w:rPr>
                <w:rFonts w:ascii="Arial" w:hAnsi="Arial" w:cs="Arial"/>
                <w:b/>
                <w:sz w:val="22"/>
                <w:szCs w:val="22"/>
              </w:rPr>
              <w:t xml:space="preserve">Short term investments </w:t>
            </w:r>
          </w:p>
        </w:tc>
        <w:tc>
          <w:tcPr>
            <w:tcW w:w="1417" w:type="dxa"/>
            <w:tcBorders>
              <w:top w:val="single" w:sz="4" w:space="0" w:color="auto"/>
              <w:left w:val="single" w:sz="4" w:space="0" w:color="auto"/>
              <w:right w:val="single" w:sz="4" w:space="0" w:color="auto"/>
            </w:tcBorders>
            <w:vAlign w:val="center"/>
          </w:tcPr>
          <w:p w14:paraId="401BD5BA" w14:textId="77777777" w:rsidR="00D14B6D" w:rsidRPr="00384864" w:rsidRDefault="00D14B6D" w:rsidP="007E4E54">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25098014" w14:textId="77777777" w:rsidR="00D14B6D" w:rsidRPr="00384864" w:rsidRDefault="00D14B6D" w:rsidP="007E4E54">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tcPr>
          <w:p w14:paraId="4EAC5580" w14:textId="77777777" w:rsidR="00D14B6D" w:rsidRPr="00384864" w:rsidRDefault="00D14B6D" w:rsidP="007E4E54">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60E47F27" w14:textId="763E4A11" w:rsidR="00D14B6D" w:rsidRPr="00384864" w:rsidRDefault="00D14B6D" w:rsidP="007E4E54">
            <w:pPr>
              <w:keepNext/>
              <w:jc w:val="right"/>
              <w:rPr>
                <w:rFonts w:ascii="Arial" w:hAnsi="Arial" w:cs="Arial"/>
                <w:sz w:val="22"/>
                <w:szCs w:val="22"/>
              </w:rPr>
            </w:pPr>
          </w:p>
        </w:tc>
        <w:tc>
          <w:tcPr>
            <w:tcW w:w="1421" w:type="dxa"/>
            <w:tcBorders>
              <w:top w:val="single" w:sz="4" w:space="0" w:color="auto"/>
              <w:left w:val="single" w:sz="4" w:space="0" w:color="auto"/>
              <w:right w:val="single" w:sz="4" w:space="0" w:color="auto"/>
            </w:tcBorders>
            <w:shd w:val="clear" w:color="auto" w:fill="auto"/>
            <w:vAlign w:val="center"/>
          </w:tcPr>
          <w:p w14:paraId="38EEE8CA" w14:textId="77777777" w:rsidR="00D14B6D" w:rsidRPr="00384864" w:rsidRDefault="00D14B6D" w:rsidP="007E4E54">
            <w:pPr>
              <w:keepNext/>
              <w:jc w:val="right"/>
              <w:rPr>
                <w:rFonts w:ascii="Arial" w:hAnsi="Arial" w:cs="Arial"/>
                <w:sz w:val="22"/>
                <w:szCs w:val="22"/>
              </w:rPr>
            </w:pPr>
          </w:p>
        </w:tc>
      </w:tr>
      <w:tr w:rsidR="00D14B6D" w:rsidRPr="00384864" w14:paraId="2B77654F"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bottom"/>
          </w:tcPr>
          <w:p w14:paraId="0BB77895" w14:textId="017AC461" w:rsidR="00D14B6D" w:rsidRPr="00384864" w:rsidRDefault="00D14B6D" w:rsidP="00A577A4">
            <w:pPr>
              <w:keepNext/>
              <w:tabs>
                <w:tab w:val="left" w:pos="288"/>
              </w:tabs>
              <w:rPr>
                <w:rFonts w:ascii="Arial" w:hAnsi="Arial" w:cs="Arial"/>
                <w:bCs/>
                <w:sz w:val="22"/>
                <w:szCs w:val="22"/>
              </w:rPr>
            </w:pPr>
            <w:r w:rsidRPr="00384864">
              <w:rPr>
                <w:rFonts w:ascii="Arial" w:hAnsi="Arial" w:cs="Arial"/>
                <w:bCs/>
                <w:sz w:val="22"/>
                <w:szCs w:val="22"/>
              </w:rPr>
              <w:t>Banks and building societies</w:t>
            </w:r>
            <w:r w:rsidR="00A577A4" w:rsidRPr="00384864">
              <w:rPr>
                <w:rFonts w:ascii="Arial" w:hAnsi="Arial" w:cs="Arial"/>
                <w:bCs/>
                <w:sz w:val="22"/>
                <w:szCs w:val="22"/>
              </w:rPr>
              <w:t>:</w:t>
            </w:r>
          </w:p>
        </w:tc>
        <w:tc>
          <w:tcPr>
            <w:tcW w:w="1417" w:type="dxa"/>
            <w:tcBorders>
              <w:left w:val="single" w:sz="4" w:space="0" w:color="auto"/>
              <w:right w:val="single" w:sz="4" w:space="0" w:color="auto"/>
            </w:tcBorders>
            <w:vAlign w:val="center"/>
          </w:tcPr>
          <w:p w14:paraId="0A042F53" w14:textId="77777777" w:rsidR="00D14B6D" w:rsidRPr="00384864" w:rsidRDefault="00D14B6D" w:rsidP="007E4E54">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5A221CBF" w14:textId="77777777" w:rsidR="00D14B6D" w:rsidRPr="00384864" w:rsidRDefault="00D14B6D" w:rsidP="007E4E54">
            <w:pPr>
              <w:keepNext/>
              <w:jc w:val="right"/>
              <w:rPr>
                <w:rFonts w:ascii="Arial" w:hAnsi="Arial" w:cs="Arial"/>
                <w:sz w:val="22"/>
                <w:szCs w:val="22"/>
              </w:rPr>
            </w:pPr>
          </w:p>
        </w:tc>
        <w:tc>
          <w:tcPr>
            <w:tcW w:w="1417" w:type="dxa"/>
            <w:tcBorders>
              <w:left w:val="single" w:sz="4" w:space="0" w:color="auto"/>
              <w:right w:val="single" w:sz="4" w:space="0" w:color="auto"/>
            </w:tcBorders>
          </w:tcPr>
          <w:p w14:paraId="3AD87496" w14:textId="77777777" w:rsidR="00D14B6D" w:rsidRPr="00384864" w:rsidRDefault="00D14B6D" w:rsidP="007E4E54">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77A79E37" w14:textId="43089211" w:rsidR="00D14B6D" w:rsidRPr="00384864" w:rsidRDefault="00D14B6D" w:rsidP="007E4E54">
            <w:pPr>
              <w:keepNext/>
              <w:jc w:val="right"/>
              <w:rPr>
                <w:rFonts w:ascii="Arial" w:hAnsi="Arial" w:cs="Arial"/>
                <w:sz w:val="22"/>
                <w:szCs w:val="22"/>
              </w:rPr>
            </w:pPr>
          </w:p>
        </w:tc>
        <w:tc>
          <w:tcPr>
            <w:tcW w:w="1421" w:type="dxa"/>
            <w:tcBorders>
              <w:left w:val="single" w:sz="4" w:space="0" w:color="auto"/>
              <w:right w:val="single" w:sz="4" w:space="0" w:color="auto"/>
            </w:tcBorders>
            <w:shd w:val="clear" w:color="auto" w:fill="auto"/>
            <w:vAlign w:val="center"/>
          </w:tcPr>
          <w:p w14:paraId="746D9844" w14:textId="77777777" w:rsidR="00D14B6D" w:rsidRPr="00384864" w:rsidRDefault="00D14B6D" w:rsidP="007E4E54">
            <w:pPr>
              <w:keepNext/>
              <w:jc w:val="right"/>
              <w:rPr>
                <w:rFonts w:ascii="Arial" w:hAnsi="Arial" w:cs="Arial"/>
                <w:sz w:val="22"/>
                <w:szCs w:val="22"/>
              </w:rPr>
            </w:pPr>
          </w:p>
        </w:tc>
      </w:tr>
      <w:tr w:rsidR="00D502B9" w:rsidRPr="00384864" w14:paraId="483FB46F"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bottom"/>
          </w:tcPr>
          <w:p w14:paraId="1E76643D" w14:textId="77777777" w:rsidR="00D502B9" w:rsidRPr="00384864" w:rsidRDefault="00D502B9" w:rsidP="00D502B9">
            <w:pPr>
              <w:keepNext/>
              <w:numPr>
                <w:ilvl w:val="0"/>
                <w:numId w:val="1"/>
              </w:numPr>
              <w:ind w:left="318" w:hanging="284"/>
              <w:rPr>
                <w:rFonts w:ascii="Arial" w:hAnsi="Arial" w:cs="Arial"/>
                <w:bCs/>
                <w:sz w:val="22"/>
                <w:szCs w:val="22"/>
              </w:rPr>
            </w:pPr>
            <w:r w:rsidRPr="00384864">
              <w:rPr>
                <w:rFonts w:ascii="Arial" w:hAnsi="Arial" w:cs="Arial"/>
                <w:bCs/>
                <w:sz w:val="22"/>
                <w:szCs w:val="22"/>
              </w:rPr>
              <w:t>Unsecured</w:t>
            </w:r>
          </w:p>
        </w:tc>
        <w:tc>
          <w:tcPr>
            <w:tcW w:w="1417" w:type="dxa"/>
            <w:tcBorders>
              <w:left w:val="single" w:sz="4" w:space="0" w:color="auto"/>
              <w:right w:val="single" w:sz="4" w:space="0" w:color="auto"/>
            </w:tcBorders>
          </w:tcPr>
          <w:p w14:paraId="55DEB03F" w14:textId="798301F7" w:rsidR="00D502B9" w:rsidRPr="00384864" w:rsidRDefault="00D502B9" w:rsidP="00D502B9">
            <w:pPr>
              <w:keepNext/>
              <w:jc w:val="right"/>
              <w:rPr>
                <w:rFonts w:ascii="Arial" w:hAnsi="Arial" w:cs="Arial"/>
                <w:sz w:val="22"/>
                <w:szCs w:val="22"/>
              </w:rPr>
            </w:pPr>
            <w:r>
              <w:rPr>
                <w:rFonts w:ascii="Arial" w:hAnsi="Arial" w:cs="Arial"/>
                <w:sz w:val="22"/>
                <w:szCs w:val="22"/>
              </w:rPr>
              <w:t>6.34</w:t>
            </w:r>
          </w:p>
        </w:tc>
        <w:tc>
          <w:tcPr>
            <w:tcW w:w="1417" w:type="dxa"/>
            <w:tcBorders>
              <w:left w:val="single" w:sz="4" w:space="0" w:color="auto"/>
              <w:right w:val="single" w:sz="4" w:space="0" w:color="auto"/>
            </w:tcBorders>
            <w:shd w:val="clear" w:color="auto" w:fill="auto"/>
            <w:vAlign w:val="center"/>
          </w:tcPr>
          <w:p w14:paraId="20A6E84B" w14:textId="7DC763DE" w:rsidR="00D502B9" w:rsidRPr="00384864" w:rsidRDefault="007F121A" w:rsidP="00D502B9">
            <w:pPr>
              <w:keepNext/>
              <w:jc w:val="right"/>
              <w:rPr>
                <w:rFonts w:ascii="Arial" w:hAnsi="Arial" w:cs="Arial"/>
                <w:sz w:val="22"/>
                <w:szCs w:val="22"/>
              </w:rPr>
            </w:pPr>
            <w:r>
              <w:rPr>
                <w:rFonts w:ascii="Arial" w:hAnsi="Arial" w:cs="Arial"/>
                <w:sz w:val="22"/>
                <w:szCs w:val="22"/>
              </w:rPr>
              <w:t>(1.01)</w:t>
            </w:r>
          </w:p>
        </w:tc>
        <w:tc>
          <w:tcPr>
            <w:tcW w:w="1417" w:type="dxa"/>
            <w:tcBorders>
              <w:left w:val="single" w:sz="4" w:space="0" w:color="auto"/>
              <w:right w:val="single" w:sz="4" w:space="0" w:color="auto"/>
            </w:tcBorders>
          </w:tcPr>
          <w:p w14:paraId="36ECAF79" w14:textId="0BC15613" w:rsidR="00D502B9" w:rsidRPr="00384864" w:rsidRDefault="004351F8" w:rsidP="00D502B9">
            <w:pPr>
              <w:keepNext/>
              <w:jc w:val="right"/>
              <w:rPr>
                <w:rFonts w:ascii="Arial" w:hAnsi="Arial" w:cs="Arial"/>
                <w:sz w:val="22"/>
                <w:szCs w:val="22"/>
              </w:rPr>
            </w:pPr>
            <w:r>
              <w:rPr>
                <w:rFonts w:ascii="Arial" w:hAnsi="Arial" w:cs="Arial"/>
                <w:sz w:val="22"/>
                <w:szCs w:val="22"/>
              </w:rPr>
              <w:t>5.33</w:t>
            </w:r>
          </w:p>
        </w:tc>
        <w:tc>
          <w:tcPr>
            <w:tcW w:w="1417" w:type="dxa"/>
            <w:tcBorders>
              <w:left w:val="single" w:sz="4" w:space="0" w:color="auto"/>
              <w:right w:val="single" w:sz="4" w:space="0" w:color="auto"/>
            </w:tcBorders>
            <w:shd w:val="clear" w:color="auto" w:fill="auto"/>
            <w:vAlign w:val="center"/>
          </w:tcPr>
          <w:p w14:paraId="7516BFA5" w14:textId="7A62CEDA" w:rsidR="00D502B9" w:rsidRPr="00384864" w:rsidRDefault="002B3CB3" w:rsidP="00D502B9">
            <w:pPr>
              <w:keepNext/>
              <w:jc w:val="right"/>
              <w:rPr>
                <w:rFonts w:ascii="Arial" w:hAnsi="Arial" w:cs="Arial"/>
                <w:sz w:val="22"/>
                <w:szCs w:val="22"/>
              </w:rPr>
            </w:pPr>
            <w:r>
              <w:rPr>
                <w:rFonts w:ascii="Arial" w:hAnsi="Arial" w:cs="Arial"/>
                <w:sz w:val="22"/>
                <w:szCs w:val="22"/>
              </w:rPr>
              <w:t>4.21</w:t>
            </w:r>
          </w:p>
        </w:tc>
        <w:tc>
          <w:tcPr>
            <w:tcW w:w="1421" w:type="dxa"/>
            <w:tcBorders>
              <w:left w:val="single" w:sz="4" w:space="0" w:color="auto"/>
              <w:right w:val="single" w:sz="4" w:space="0" w:color="auto"/>
            </w:tcBorders>
            <w:shd w:val="clear" w:color="auto" w:fill="auto"/>
            <w:vAlign w:val="center"/>
          </w:tcPr>
          <w:p w14:paraId="04C30266" w14:textId="2B0EEF4E" w:rsidR="00D502B9" w:rsidRPr="00384864" w:rsidRDefault="00793A4C" w:rsidP="00D502B9">
            <w:pPr>
              <w:keepNext/>
              <w:jc w:val="right"/>
              <w:rPr>
                <w:rFonts w:ascii="Arial" w:hAnsi="Arial" w:cs="Arial"/>
                <w:sz w:val="22"/>
                <w:szCs w:val="22"/>
              </w:rPr>
            </w:pPr>
            <w:r>
              <w:rPr>
                <w:rFonts w:ascii="Arial" w:hAnsi="Arial" w:cs="Arial"/>
                <w:sz w:val="22"/>
                <w:szCs w:val="22"/>
              </w:rPr>
              <w:t>0.00</w:t>
            </w:r>
          </w:p>
        </w:tc>
      </w:tr>
      <w:tr w:rsidR="00D502B9" w:rsidRPr="00384864" w14:paraId="350D9E9B"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center"/>
          </w:tcPr>
          <w:p w14:paraId="4EF9D4B3" w14:textId="77777777" w:rsidR="00D502B9" w:rsidRPr="00384864" w:rsidRDefault="00D502B9" w:rsidP="00D502B9">
            <w:pPr>
              <w:keepNext/>
              <w:numPr>
                <w:ilvl w:val="0"/>
                <w:numId w:val="1"/>
              </w:numPr>
              <w:ind w:left="318" w:hanging="284"/>
              <w:rPr>
                <w:rFonts w:ascii="Arial" w:hAnsi="Arial" w:cs="Arial"/>
                <w:bCs/>
                <w:sz w:val="22"/>
                <w:szCs w:val="22"/>
              </w:rPr>
            </w:pPr>
            <w:r w:rsidRPr="00384864">
              <w:rPr>
                <w:rFonts w:ascii="Arial" w:hAnsi="Arial" w:cs="Arial"/>
                <w:bCs/>
                <w:sz w:val="22"/>
                <w:szCs w:val="22"/>
              </w:rPr>
              <w:t>Secured</w:t>
            </w:r>
          </w:p>
        </w:tc>
        <w:tc>
          <w:tcPr>
            <w:tcW w:w="1417" w:type="dxa"/>
            <w:tcBorders>
              <w:left w:val="single" w:sz="4" w:space="0" w:color="auto"/>
              <w:right w:val="single" w:sz="4" w:space="0" w:color="auto"/>
            </w:tcBorders>
          </w:tcPr>
          <w:p w14:paraId="52C2C174" w14:textId="450DBDAD" w:rsidR="00D502B9" w:rsidRPr="00384864" w:rsidRDefault="00D502B9" w:rsidP="00D502B9">
            <w:pPr>
              <w:keepNext/>
              <w:jc w:val="right"/>
              <w:rPr>
                <w:rFonts w:ascii="Arial" w:hAnsi="Arial" w:cs="Arial"/>
                <w:sz w:val="22"/>
                <w:szCs w:val="22"/>
              </w:rPr>
            </w:pPr>
            <w:r>
              <w:rPr>
                <w:rFonts w:ascii="Arial" w:hAnsi="Arial" w:cs="Arial"/>
                <w:sz w:val="22"/>
                <w:szCs w:val="22"/>
              </w:rPr>
              <w:t>-</w:t>
            </w:r>
          </w:p>
        </w:tc>
        <w:tc>
          <w:tcPr>
            <w:tcW w:w="1417" w:type="dxa"/>
            <w:tcBorders>
              <w:left w:val="single" w:sz="4" w:space="0" w:color="auto"/>
              <w:right w:val="single" w:sz="4" w:space="0" w:color="auto"/>
            </w:tcBorders>
            <w:shd w:val="clear" w:color="auto" w:fill="auto"/>
            <w:vAlign w:val="center"/>
          </w:tcPr>
          <w:p w14:paraId="7BC54693" w14:textId="1F975B7E" w:rsidR="00D502B9" w:rsidRPr="00384864" w:rsidRDefault="00586338" w:rsidP="00D502B9">
            <w:pPr>
              <w:keepNext/>
              <w:jc w:val="right"/>
              <w:rPr>
                <w:rFonts w:ascii="Arial" w:hAnsi="Arial" w:cs="Arial"/>
                <w:sz w:val="22"/>
                <w:szCs w:val="22"/>
              </w:rPr>
            </w:pPr>
            <w:r>
              <w:rPr>
                <w:rFonts w:ascii="Arial" w:hAnsi="Arial" w:cs="Arial"/>
                <w:sz w:val="22"/>
                <w:szCs w:val="22"/>
              </w:rPr>
              <w:t>3.60</w:t>
            </w:r>
          </w:p>
        </w:tc>
        <w:tc>
          <w:tcPr>
            <w:tcW w:w="1417" w:type="dxa"/>
            <w:tcBorders>
              <w:left w:val="single" w:sz="4" w:space="0" w:color="auto"/>
              <w:right w:val="single" w:sz="4" w:space="0" w:color="auto"/>
            </w:tcBorders>
          </w:tcPr>
          <w:p w14:paraId="4A3358AF" w14:textId="4FB535E4" w:rsidR="00D502B9" w:rsidRPr="00384864" w:rsidRDefault="004351F8" w:rsidP="00D502B9">
            <w:pPr>
              <w:keepNext/>
              <w:jc w:val="right"/>
              <w:rPr>
                <w:rFonts w:ascii="Arial" w:hAnsi="Arial" w:cs="Arial"/>
                <w:sz w:val="22"/>
                <w:szCs w:val="22"/>
              </w:rPr>
            </w:pPr>
            <w:r>
              <w:rPr>
                <w:rFonts w:ascii="Arial" w:hAnsi="Arial" w:cs="Arial"/>
                <w:sz w:val="22"/>
                <w:szCs w:val="22"/>
              </w:rPr>
              <w:t>3.60</w:t>
            </w:r>
          </w:p>
        </w:tc>
        <w:tc>
          <w:tcPr>
            <w:tcW w:w="1417" w:type="dxa"/>
            <w:tcBorders>
              <w:left w:val="single" w:sz="4" w:space="0" w:color="auto"/>
              <w:right w:val="single" w:sz="4" w:space="0" w:color="auto"/>
            </w:tcBorders>
            <w:shd w:val="clear" w:color="auto" w:fill="auto"/>
            <w:vAlign w:val="center"/>
          </w:tcPr>
          <w:p w14:paraId="37A47F9B" w14:textId="13FFCC9B" w:rsidR="00D502B9" w:rsidRPr="00384864" w:rsidRDefault="002B3CB3" w:rsidP="00D502B9">
            <w:pPr>
              <w:keepNext/>
              <w:jc w:val="right"/>
              <w:rPr>
                <w:rFonts w:ascii="Arial" w:hAnsi="Arial" w:cs="Arial"/>
                <w:sz w:val="22"/>
                <w:szCs w:val="22"/>
              </w:rPr>
            </w:pPr>
            <w:r>
              <w:rPr>
                <w:rFonts w:ascii="Arial" w:hAnsi="Arial" w:cs="Arial"/>
                <w:sz w:val="22"/>
                <w:szCs w:val="22"/>
              </w:rPr>
              <w:t>5.13</w:t>
            </w:r>
          </w:p>
        </w:tc>
        <w:tc>
          <w:tcPr>
            <w:tcW w:w="1421" w:type="dxa"/>
            <w:tcBorders>
              <w:left w:val="single" w:sz="4" w:space="0" w:color="auto"/>
              <w:right w:val="single" w:sz="4" w:space="0" w:color="auto"/>
            </w:tcBorders>
            <w:shd w:val="clear" w:color="auto" w:fill="auto"/>
            <w:vAlign w:val="center"/>
          </w:tcPr>
          <w:p w14:paraId="3CC03713" w14:textId="79F479A2" w:rsidR="00D502B9" w:rsidRPr="00384864" w:rsidRDefault="00793A4C" w:rsidP="00D502B9">
            <w:pPr>
              <w:keepNext/>
              <w:jc w:val="right"/>
              <w:rPr>
                <w:rFonts w:ascii="Arial" w:hAnsi="Arial" w:cs="Arial"/>
                <w:sz w:val="22"/>
                <w:szCs w:val="22"/>
              </w:rPr>
            </w:pPr>
            <w:r>
              <w:rPr>
                <w:rFonts w:ascii="Arial" w:hAnsi="Arial" w:cs="Arial"/>
                <w:sz w:val="22"/>
                <w:szCs w:val="22"/>
              </w:rPr>
              <w:t>0.54</w:t>
            </w:r>
          </w:p>
        </w:tc>
      </w:tr>
      <w:tr w:rsidR="00D502B9" w:rsidRPr="00384864" w14:paraId="7F4E9D85"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center"/>
          </w:tcPr>
          <w:p w14:paraId="668A7DD1" w14:textId="03ABBB55" w:rsidR="00D502B9" w:rsidRPr="00384864" w:rsidRDefault="00D502B9" w:rsidP="00D502B9">
            <w:pPr>
              <w:keepNext/>
              <w:rPr>
                <w:rFonts w:ascii="Arial" w:hAnsi="Arial" w:cs="Arial"/>
                <w:bCs/>
                <w:sz w:val="22"/>
                <w:szCs w:val="22"/>
              </w:rPr>
            </w:pPr>
            <w:r w:rsidRPr="00384864">
              <w:rPr>
                <w:rFonts w:ascii="Arial" w:hAnsi="Arial" w:cs="Arial"/>
                <w:bCs/>
                <w:sz w:val="22"/>
                <w:szCs w:val="22"/>
              </w:rPr>
              <w:t>Money market funds</w:t>
            </w:r>
          </w:p>
        </w:tc>
        <w:tc>
          <w:tcPr>
            <w:tcW w:w="1417" w:type="dxa"/>
            <w:tcBorders>
              <w:left w:val="single" w:sz="4" w:space="0" w:color="auto"/>
              <w:right w:val="single" w:sz="4" w:space="0" w:color="auto"/>
            </w:tcBorders>
          </w:tcPr>
          <w:p w14:paraId="25466E84" w14:textId="17D131AD" w:rsidR="00D502B9" w:rsidRPr="00384864" w:rsidRDefault="00D502B9" w:rsidP="00D502B9">
            <w:pPr>
              <w:keepNext/>
              <w:jc w:val="right"/>
              <w:rPr>
                <w:rFonts w:ascii="Arial" w:hAnsi="Arial" w:cs="Arial"/>
                <w:sz w:val="22"/>
                <w:szCs w:val="22"/>
              </w:rPr>
            </w:pPr>
            <w:r>
              <w:rPr>
                <w:rFonts w:ascii="Arial" w:hAnsi="Arial" w:cs="Arial"/>
                <w:sz w:val="22"/>
                <w:szCs w:val="22"/>
              </w:rPr>
              <w:t>65.48</w:t>
            </w:r>
          </w:p>
        </w:tc>
        <w:tc>
          <w:tcPr>
            <w:tcW w:w="1417" w:type="dxa"/>
            <w:tcBorders>
              <w:left w:val="single" w:sz="4" w:space="0" w:color="auto"/>
              <w:right w:val="single" w:sz="4" w:space="0" w:color="auto"/>
            </w:tcBorders>
            <w:shd w:val="clear" w:color="auto" w:fill="auto"/>
            <w:vAlign w:val="center"/>
          </w:tcPr>
          <w:p w14:paraId="1090C75B" w14:textId="2598E881" w:rsidR="00D502B9" w:rsidRPr="00384864" w:rsidRDefault="00586338" w:rsidP="00D502B9">
            <w:pPr>
              <w:keepNext/>
              <w:jc w:val="right"/>
              <w:rPr>
                <w:rFonts w:ascii="Arial" w:hAnsi="Arial" w:cs="Arial"/>
                <w:sz w:val="22"/>
                <w:szCs w:val="22"/>
              </w:rPr>
            </w:pPr>
            <w:r>
              <w:rPr>
                <w:rFonts w:ascii="Arial" w:hAnsi="Arial" w:cs="Arial"/>
                <w:sz w:val="22"/>
                <w:szCs w:val="22"/>
              </w:rPr>
              <w:t>(32.17)</w:t>
            </w:r>
          </w:p>
        </w:tc>
        <w:tc>
          <w:tcPr>
            <w:tcW w:w="1417" w:type="dxa"/>
            <w:tcBorders>
              <w:left w:val="single" w:sz="4" w:space="0" w:color="auto"/>
              <w:right w:val="single" w:sz="4" w:space="0" w:color="auto"/>
            </w:tcBorders>
          </w:tcPr>
          <w:p w14:paraId="757BBDB3" w14:textId="7D654A39" w:rsidR="00D502B9" w:rsidRPr="00384864" w:rsidRDefault="004351F8" w:rsidP="00D502B9">
            <w:pPr>
              <w:keepNext/>
              <w:jc w:val="right"/>
              <w:rPr>
                <w:rFonts w:ascii="Arial" w:hAnsi="Arial" w:cs="Arial"/>
                <w:sz w:val="22"/>
                <w:szCs w:val="22"/>
              </w:rPr>
            </w:pPr>
            <w:r>
              <w:rPr>
                <w:rFonts w:ascii="Arial" w:hAnsi="Arial" w:cs="Arial"/>
                <w:sz w:val="22"/>
                <w:szCs w:val="22"/>
              </w:rPr>
              <w:t>33.31</w:t>
            </w:r>
          </w:p>
        </w:tc>
        <w:tc>
          <w:tcPr>
            <w:tcW w:w="1417" w:type="dxa"/>
            <w:tcBorders>
              <w:left w:val="single" w:sz="4" w:space="0" w:color="auto"/>
              <w:right w:val="single" w:sz="4" w:space="0" w:color="auto"/>
            </w:tcBorders>
            <w:shd w:val="clear" w:color="auto" w:fill="auto"/>
            <w:vAlign w:val="center"/>
          </w:tcPr>
          <w:p w14:paraId="3B108ACD" w14:textId="6D6F990A" w:rsidR="00D502B9" w:rsidRPr="00384864" w:rsidRDefault="002B3CB3" w:rsidP="00D502B9">
            <w:pPr>
              <w:keepNext/>
              <w:jc w:val="right"/>
              <w:rPr>
                <w:rFonts w:ascii="Arial" w:hAnsi="Arial" w:cs="Arial"/>
                <w:sz w:val="22"/>
                <w:szCs w:val="22"/>
              </w:rPr>
            </w:pPr>
            <w:r>
              <w:rPr>
                <w:rFonts w:ascii="Arial" w:hAnsi="Arial" w:cs="Arial"/>
                <w:sz w:val="22"/>
                <w:szCs w:val="22"/>
              </w:rPr>
              <w:t>4.77</w:t>
            </w:r>
          </w:p>
        </w:tc>
        <w:tc>
          <w:tcPr>
            <w:tcW w:w="1421" w:type="dxa"/>
            <w:tcBorders>
              <w:left w:val="single" w:sz="4" w:space="0" w:color="auto"/>
              <w:right w:val="single" w:sz="4" w:space="0" w:color="auto"/>
            </w:tcBorders>
            <w:shd w:val="clear" w:color="auto" w:fill="auto"/>
            <w:vAlign w:val="center"/>
          </w:tcPr>
          <w:p w14:paraId="04A9C09B" w14:textId="6EDE8C07" w:rsidR="00D502B9" w:rsidRPr="00384864" w:rsidRDefault="00793A4C" w:rsidP="00D502B9">
            <w:pPr>
              <w:keepNext/>
              <w:jc w:val="right"/>
              <w:rPr>
                <w:rFonts w:ascii="Arial" w:hAnsi="Arial" w:cs="Arial"/>
                <w:sz w:val="22"/>
                <w:szCs w:val="22"/>
              </w:rPr>
            </w:pPr>
            <w:r>
              <w:rPr>
                <w:rFonts w:ascii="Arial" w:hAnsi="Arial" w:cs="Arial"/>
                <w:sz w:val="22"/>
                <w:szCs w:val="22"/>
              </w:rPr>
              <w:t>0.00</w:t>
            </w:r>
          </w:p>
        </w:tc>
      </w:tr>
      <w:tr w:rsidR="00D502B9" w:rsidRPr="00384864" w14:paraId="4E7C6917"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center"/>
          </w:tcPr>
          <w:p w14:paraId="3D377B89" w14:textId="5B3A34A8" w:rsidR="00D502B9" w:rsidRPr="00384864" w:rsidRDefault="00D502B9" w:rsidP="00D502B9">
            <w:pPr>
              <w:keepNext/>
              <w:rPr>
                <w:rFonts w:ascii="Arial" w:hAnsi="Arial" w:cs="Arial"/>
                <w:bCs/>
                <w:sz w:val="22"/>
                <w:szCs w:val="22"/>
              </w:rPr>
            </w:pPr>
            <w:r w:rsidRPr="00384864">
              <w:rPr>
                <w:rFonts w:ascii="Arial" w:hAnsi="Arial" w:cs="Arial"/>
                <w:bCs/>
                <w:sz w:val="22"/>
                <w:szCs w:val="22"/>
              </w:rPr>
              <w:t>Government:</w:t>
            </w:r>
          </w:p>
        </w:tc>
        <w:tc>
          <w:tcPr>
            <w:tcW w:w="1417" w:type="dxa"/>
            <w:tcBorders>
              <w:left w:val="single" w:sz="4" w:space="0" w:color="auto"/>
              <w:right w:val="single" w:sz="4" w:space="0" w:color="auto"/>
            </w:tcBorders>
          </w:tcPr>
          <w:p w14:paraId="148AFB42" w14:textId="77777777" w:rsidR="00D502B9" w:rsidRPr="00384864" w:rsidRDefault="00D502B9" w:rsidP="00D502B9">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32D5C734" w14:textId="77777777" w:rsidR="00D502B9" w:rsidRPr="00384864" w:rsidRDefault="00D502B9" w:rsidP="00D502B9">
            <w:pPr>
              <w:keepNext/>
              <w:jc w:val="right"/>
              <w:rPr>
                <w:rFonts w:ascii="Arial" w:hAnsi="Arial" w:cs="Arial"/>
                <w:sz w:val="22"/>
                <w:szCs w:val="22"/>
              </w:rPr>
            </w:pPr>
          </w:p>
        </w:tc>
        <w:tc>
          <w:tcPr>
            <w:tcW w:w="1417" w:type="dxa"/>
            <w:tcBorders>
              <w:left w:val="single" w:sz="4" w:space="0" w:color="auto"/>
              <w:right w:val="single" w:sz="4" w:space="0" w:color="auto"/>
            </w:tcBorders>
          </w:tcPr>
          <w:p w14:paraId="4E47E085" w14:textId="77777777" w:rsidR="00D502B9" w:rsidRPr="00384864" w:rsidRDefault="00D502B9" w:rsidP="00D502B9">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367D24DC" w14:textId="77777777" w:rsidR="00D502B9" w:rsidRPr="00384864" w:rsidRDefault="00D502B9" w:rsidP="00D502B9">
            <w:pPr>
              <w:keepNext/>
              <w:jc w:val="right"/>
              <w:rPr>
                <w:rFonts w:ascii="Arial" w:hAnsi="Arial" w:cs="Arial"/>
                <w:sz w:val="22"/>
                <w:szCs w:val="22"/>
              </w:rPr>
            </w:pPr>
          </w:p>
        </w:tc>
        <w:tc>
          <w:tcPr>
            <w:tcW w:w="1421" w:type="dxa"/>
            <w:tcBorders>
              <w:left w:val="single" w:sz="4" w:space="0" w:color="auto"/>
              <w:right w:val="single" w:sz="4" w:space="0" w:color="auto"/>
            </w:tcBorders>
            <w:shd w:val="clear" w:color="auto" w:fill="auto"/>
            <w:vAlign w:val="center"/>
          </w:tcPr>
          <w:p w14:paraId="79FBDDE4" w14:textId="77777777" w:rsidR="00D502B9" w:rsidRPr="00384864" w:rsidRDefault="00D502B9" w:rsidP="00D502B9">
            <w:pPr>
              <w:keepNext/>
              <w:jc w:val="right"/>
              <w:rPr>
                <w:rFonts w:ascii="Arial" w:hAnsi="Arial" w:cs="Arial"/>
                <w:sz w:val="22"/>
                <w:szCs w:val="22"/>
              </w:rPr>
            </w:pPr>
          </w:p>
        </w:tc>
      </w:tr>
      <w:tr w:rsidR="00D502B9" w:rsidRPr="00384864" w14:paraId="50A7E43A"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bottom"/>
          </w:tcPr>
          <w:p w14:paraId="05FE05C2" w14:textId="6C66B17E" w:rsidR="00D502B9" w:rsidRPr="00384864" w:rsidRDefault="00D502B9" w:rsidP="00D502B9">
            <w:pPr>
              <w:keepNext/>
              <w:numPr>
                <w:ilvl w:val="0"/>
                <w:numId w:val="1"/>
              </w:numPr>
              <w:ind w:left="318" w:hanging="284"/>
              <w:rPr>
                <w:rFonts w:ascii="Arial" w:hAnsi="Arial" w:cs="Arial"/>
                <w:bCs/>
                <w:sz w:val="22"/>
                <w:szCs w:val="22"/>
              </w:rPr>
            </w:pPr>
            <w:r w:rsidRPr="00384864">
              <w:rPr>
                <w:rFonts w:ascii="Arial" w:hAnsi="Arial" w:cs="Arial"/>
                <w:bCs/>
                <w:sz w:val="22"/>
                <w:szCs w:val="22"/>
              </w:rPr>
              <w:t>Local authorities</w:t>
            </w:r>
          </w:p>
        </w:tc>
        <w:tc>
          <w:tcPr>
            <w:tcW w:w="1417" w:type="dxa"/>
            <w:tcBorders>
              <w:left w:val="single" w:sz="4" w:space="0" w:color="auto"/>
              <w:right w:val="single" w:sz="4" w:space="0" w:color="auto"/>
            </w:tcBorders>
          </w:tcPr>
          <w:p w14:paraId="75D0E79D" w14:textId="665F458E" w:rsidR="00D502B9" w:rsidRPr="00384864" w:rsidRDefault="00D502B9" w:rsidP="00D502B9">
            <w:pPr>
              <w:keepNext/>
              <w:jc w:val="right"/>
              <w:rPr>
                <w:rFonts w:ascii="Arial" w:hAnsi="Arial" w:cs="Arial"/>
                <w:sz w:val="22"/>
                <w:szCs w:val="22"/>
              </w:rPr>
            </w:pPr>
            <w:r>
              <w:rPr>
                <w:rFonts w:ascii="Arial" w:hAnsi="Arial" w:cs="Arial"/>
                <w:sz w:val="22"/>
                <w:szCs w:val="22"/>
              </w:rPr>
              <w:t>7.00</w:t>
            </w:r>
          </w:p>
        </w:tc>
        <w:tc>
          <w:tcPr>
            <w:tcW w:w="1417" w:type="dxa"/>
            <w:tcBorders>
              <w:left w:val="single" w:sz="4" w:space="0" w:color="auto"/>
              <w:right w:val="single" w:sz="4" w:space="0" w:color="auto"/>
            </w:tcBorders>
            <w:shd w:val="clear" w:color="auto" w:fill="auto"/>
            <w:vAlign w:val="center"/>
          </w:tcPr>
          <w:p w14:paraId="27798C66" w14:textId="2D3070EC" w:rsidR="00D502B9" w:rsidRPr="00384864" w:rsidRDefault="00586338" w:rsidP="00D502B9">
            <w:pPr>
              <w:keepNext/>
              <w:jc w:val="right"/>
              <w:rPr>
                <w:rFonts w:ascii="Arial" w:hAnsi="Arial" w:cs="Arial"/>
                <w:sz w:val="22"/>
                <w:szCs w:val="22"/>
              </w:rPr>
            </w:pPr>
            <w:r>
              <w:rPr>
                <w:rFonts w:ascii="Arial" w:hAnsi="Arial" w:cs="Arial"/>
                <w:sz w:val="22"/>
                <w:szCs w:val="22"/>
              </w:rPr>
              <w:t>(2.00)</w:t>
            </w:r>
          </w:p>
        </w:tc>
        <w:tc>
          <w:tcPr>
            <w:tcW w:w="1417" w:type="dxa"/>
            <w:tcBorders>
              <w:left w:val="single" w:sz="4" w:space="0" w:color="auto"/>
              <w:right w:val="single" w:sz="4" w:space="0" w:color="auto"/>
            </w:tcBorders>
          </w:tcPr>
          <w:p w14:paraId="459DADDA" w14:textId="59017A93" w:rsidR="00D502B9" w:rsidRPr="00384864" w:rsidRDefault="00576B4F" w:rsidP="00D502B9">
            <w:pPr>
              <w:keepNext/>
              <w:jc w:val="right"/>
              <w:rPr>
                <w:rFonts w:ascii="Arial" w:hAnsi="Arial" w:cs="Arial"/>
                <w:sz w:val="22"/>
                <w:szCs w:val="22"/>
              </w:rPr>
            </w:pPr>
            <w:r>
              <w:rPr>
                <w:rFonts w:ascii="Arial" w:hAnsi="Arial" w:cs="Arial"/>
                <w:sz w:val="22"/>
                <w:szCs w:val="22"/>
              </w:rPr>
              <w:t>5.00</w:t>
            </w:r>
          </w:p>
        </w:tc>
        <w:tc>
          <w:tcPr>
            <w:tcW w:w="1417" w:type="dxa"/>
            <w:tcBorders>
              <w:left w:val="single" w:sz="4" w:space="0" w:color="auto"/>
              <w:right w:val="single" w:sz="4" w:space="0" w:color="auto"/>
            </w:tcBorders>
            <w:shd w:val="clear" w:color="auto" w:fill="auto"/>
            <w:vAlign w:val="center"/>
          </w:tcPr>
          <w:p w14:paraId="4D0E0D97" w14:textId="76348EF0" w:rsidR="00D502B9" w:rsidRPr="00384864" w:rsidRDefault="002B3CB3" w:rsidP="00D502B9">
            <w:pPr>
              <w:keepNext/>
              <w:jc w:val="right"/>
              <w:rPr>
                <w:rFonts w:ascii="Arial" w:hAnsi="Arial" w:cs="Arial"/>
                <w:sz w:val="22"/>
                <w:szCs w:val="22"/>
              </w:rPr>
            </w:pPr>
            <w:r>
              <w:rPr>
                <w:rFonts w:ascii="Arial" w:hAnsi="Arial" w:cs="Arial"/>
                <w:sz w:val="22"/>
                <w:szCs w:val="22"/>
              </w:rPr>
              <w:t>3.80</w:t>
            </w:r>
          </w:p>
        </w:tc>
        <w:tc>
          <w:tcPr>
            <w:tcW w:w="1421" w:type="dxa"/>
            <w:tcBorders>
              <w:left w:val="single" w:sz="4" w:space="0" w:color="auto"/>
              <w:right w:val="single" w:sz="4" w:space="0" w:color="auto"/>
            </w:tcBorders>
            <w:shd w:val="clear" w:color="auto" w:fill="auto"/>
            <w:vAlign w:val="center"/>
          </w:tcPr>
          <w:p w14:paraId="2F2C46E1" w14:textId="620423A3" w:rsidR="00D502B9" w:rsidRPr="00384864" w:rsidRDefault="00793A4C" w:rsidP="00D502B9">
            <w:pPr>
              <w:keepNext/>
              <w:jc w:val="right"/>
              <w:rPr>
                <w:rFonts w:ascii="Arial" w:hAnsi="Arial" w:cs="Arial"/>
                <w:sz w:val="22"/>
                <w:szCs w:val="22"/>
              </w:rPr>
            </w:pPr>
            <w:r>
              <w:rPr>
                <w:rFonts w:ascii="Arial" w:hAnsi="Arial" w:cs="Arial"/>
                <w:sz w:val="22"/>
                <w:szCs w:val="22"/>
              </w:rPr>
              <w:t>0.36</w:t>
            </w:r>
          </w:p>
        </w:tc>
      </w:tr>
      <w:tr w:rsidR="00D502B9" w:rsidRPr="00384864" w14:paraId="313572E4"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bottom"/>
          </w:tcPr>
          <w:p w14:paraId="1DF37423" w14:textId="5405B53A" w:rsidR="00D502B9" w:rsidRPr="00384864" w:rsidRDefault="00D502B9" w:rsidP="00D502B9">
            <w:pPr>
              <w:keepNext/>
              <w:numPr>
                <w:ilvl w:val="0"/>
                <w:numId w:val="1"/>
              </w:numPr>
              <w:ind w:left="318" w:hanging="284"/>
              <w:rPr>
                <w:rFonts w:ascii="Arial" w:hAnsi="Arial" w:cs="Arial"/>
                <w:bCs/>
                <w:sz w:val="22"/>
                <w:szCs w:val="22"/>
              </w:rPr>
            </w:pPr>
            <w:r w:rsidRPr="00384864">
              <w:rPr>
                <w:rFonts w:ascii="Arial" w:hAnsi="Arial" w:cs="Arial"/>
                <w:bCs/>
                <w:sz w:val="22"/>
                <w:szCs w:val="22"/>
              </w:rPr>
              <w:t>Treasury bills</w:t>
            </w:r>
          </w:p>
        </w:tc>
        <w:tc>
          <w:tcPr>
            <w:tcW w:w="1417" w:type="dxa"/>
            <w:tcBorders>
              <w:left w:val="single" w:sz="4" w:space="0" w:color="auto"/>
              <w:right w:val="single" w:sz="4" w:space="0" w:color="auto"/>
            </w:tcBorders>
          </w:tcPr>
          <w:p w14:paraId="1FBB2B66" w14:textId="3E5A3564" w:rsidR="00D502B9" w:rsidRPr="00384864" w:rsidRDefault="00D502B9" w:rsidP="00D502B9">
            <w:pPr>
              <w:keepNext/>
              <w:jc w:val="right"/>
              <w:rPr>
                <w:rFonts w:ascii="Arial" w:hAnsi="Arial" w:cs="Arial"/>
                <w:sz w:val="22"/>
                <w:szCs w:val="22"/>
              </w:rPr>
            </w:pPr>
            <w:r>
              <w:rPr>
                <w:rFonts w:ascii="Arial" w:hAnsi="Arial" w:cs="Arial"/>
                <w:sz w:val="22"/>
                <w:szCs w:val="22"/>
              </w:rPr>
              <w:t>13.00</w:t>
            </w:r>
          </w:p>
        </w:tc>
        <w:tc>
          <w:tcPr>
            <w:tcW w:w="1417" w:type="dxa"/>
            <w:tcBorders>
              <w:left w:val="single" w:sz="4" w:space="0" w:color="auto"/>
              <w:right w:val="single" w:sz="4" w:space="0" w:color="auto"/>
            </w:tcBorders>
            <w:shd w:val="clear" w:color="auto" w:fill="auto"/>
            <w:vAlign w:val="center"/>
          </w:tcPr>
          <w:p w14:paraId="6A7CA2DF" w14:textId="19BC1913" w:rsidR="00D502B9" w:rsidRPr="00384864" w:rsidRDefault="00586338" w:rsidP="00D502B9">
            <w:pPr>
              <w:keepNext/>
              <w:jc w:val="right"/>
              <w:rPr>
                <w:rFonts w:ascii="Arial" w:hAnsi="Arial" w:cs="Arial"/>
                <w:sz w:val="22"/>
                <w:szCs w:val="22"/>
              </w:rPr>
            </w:pPr>
            <w:r>
              <w:rPr>
                <w:rFonts w:ascii="Arial" w:hAnsi="Arial" w:cs="Arial"/>
                <w:sz w:val="22"/>
                <w:szCs w:val="22"/>
              </w:rPr>
              <w:t>(0.50)</w:t>
            </w:r>
          </w:p>
        </w:tc>
        <w:tc>
          <w:tcPr>
            <w:tcW w:w="1417" w:type="dxa"/>
            <w:tcBorders>
              <w:left w:val="single" w:sz="4" w:space="0" w:color="auto"/>
              <w:right w:val="single" w:sz="4" w:space="0" w:color="auto"/>
            </w:tcBorders>
          </w:tcPr>
          <w:p w14:paraId="4A813567" w14:textId="7D3D2383" w:rsidR="00D502B9" w:rsidRPr="00384864" w:rsidRDefault="00576B4F" w:rsidP="00D502B9">
            <w:pPr>
              <w:keepNext/>
              <w:jc w:val="right"/>
              <w:rPr>
                <w:rFonts w:ascii="Arial" w:hAnsi="Arial" w:cs="Arial"/>
                <w:sz w:val="22"/>
                <w:szCs w:val="22"/>
              </w:rPr>
            </w:pPr>
            <w:r>
              <w:rPr>
                <w:rFonts w:ascii="Arial" w:hAnsi="Arial" w:cs="Arial"/>
                <w:sz w:val="22"/>
                <w:szCs w:val="22"/>
              </w:rPr>
              <w:t>12.50</w:t>
            </w:r>
          </w:p>
        </w:tc>
        <w:tc>
          <w:tcPr>
            <w:tcW w:w="1417" w:type="dxa"/>
            <w:tcBorders>
              <w:left w:val="single" w:sz="4" w:space="0" w:color="auto"/>
              <w:right w:val="single" w:sz="4" w:space="0" w:color="auto"/>
            </w:tcBorders>
            <w:shd w:val="clear" w:color="auto" w:fill="auto"/>
            <w:vAlign w:val="center"/>
          </w:tcPr>
          <w:p w14:paraId="59EA9BF0" w14:textId="7F33B772" w:rsidR="00D502B9" w:rsidRPr="00384864" w:rsidRDefault="002B3CB3" w:rsidP="00D502B9">
            <w:pPr>
              <w:keepNext/>
              <w:jc w:val="right"/>
              <w:rPr>
                <w:rFonts w:ascii="Arial" w:hAnsi="Arial" w:cs="Arial"/>
                <w:sz w:val="22"/>
                <w:szCs w:val="22"/>
              </w:rPr>
            </w:pPr>
            <w:r>
              <w:rPr>
                <w:rFonts w:ascii="Arial" w:hAnsi="Arial" w:cs="Arial"/>
                <w:sz w:val="22"/>
                <w:szCs w:val="22"/>
              </w:rPr>
              <w:t>4.55</w:t>
            </w:r>
          </w:p>
        </w:tc>
        <w:tc>
          <w:tcPr>
            <w:tcW w:w="1421" w:type="dxa"/>
            <w:tcBorders>
              <w:left w:val="single" w:sz="4" w:space="0" w:color="auto"/>
              <w:right w:val="single" w:sz="4" w:space="0" w:color="auto"/>
            </w:tcBorders>
            <w:shd w:val="clear" w:color="auto" w:fill="auto"/>
            <w:vAlign w:val="center"/>
          </w:tcPr>
          <w:p w14:paraId="186D3921" w14:textId="3976BABB" w:rsidR="00D502B9" w:rsidRPr="00384864" w:rsidRDefault="00793A4C" w:rsidP="00D502B9">
            <w:pPr>
              <w:keepNext/>
              <w:jc w:val="right"/>
              <w:rPr>
                <w:rFonts w:ascii="Arial" w:hAnsi="Arial" w:cs="Arial"/>
                <w:sz w:val="22"/>
                <w:szCs w:val="22"/>
              </w:rPr>
            </w:pPr>
            <w:r>
              <w:rPr>
                <w:rFonts w:ascii="Arial" w:hAnsi="Arial" w:cs="Arial"/>
                <w:sz w:val="22"/>
                <w:szCs w:val="22"/>
              </w:rPr>
              <w:t>0.26</w:t>
            </w:r>
          </w:p>
        </w:tc>
      </w:tr>
      <w:tr w:rsidR="00D502B9" w:rsidRPr="00384864" w14:paraId="6E931D9A" w14:textId="77777777" w:rsidTr="00516B1F">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57BC4B" w14:textId="6B209F4D" w:rsidR="00D502B9" w:rsidRPr="00384864" w:rsidRDefault="00D502B9" w:rsidP="00D502B9">
            <w:pPr>
              <w:keepNext/>
              <w:rPr>
                <w:rFonts w:ascii="Arial" w:hAnsi="Arial" w:cs="Arial"/>
                <w:b/>
                <w:sz w:val="22"/>
                <w:szCs w:val="22"/>
              </w:rPr>
            </w:pPr>
            <w:r w:rsidRPr="00384864">
              <w:rPr>
                <w:rFonts w:ascii="Arial" w:hAnsi="Arial" w:cs="Arial"/>
                <w:b/>
                <w:sz w:val="22"/>
                <w:szCs w:val="22"/>
              </w:rPr>
              <w:t>Total</w:t>
            </w:r>
          </w:p>
        </w:tc>
        <w:tc>
          <w:tcPr>
            <w:tcW w:w="1417" w:type="dxa"/>
            <w:tcBorders>
              <w:top w:val="single" w:sz="4" w:space="0" w:color="auto"/>
              <w:left w:val="single" w:sz="4" w:space="0" w:color="auto"/>
              <w:bottom w:val="single" w:sz="4" w:space="0" w:color="auto"/>
              <w:right w:val="single" w:sz="4" w:space="0" w:color="auto"/>
            </w:tcBorders>
          </w:tcPr>
          <w:p w14:paraId="028B0DA1" w14:textId="263401CD" w:rsidR="00D502B9" w:rsidRPr="00384864" w:rsidRDefault="00D502B9" w:rsidP="00D502B9">
            <w:pPr>
              <w:keepNext/>
              <w:jc w:val="right"/>
              <w:rPr>
                <w:rFonts w:ascii="Arial" w:hAnsi="Arial" w:cs="Arial"/>
                <w:b/>
                <w:sz w:val="22"/>
                <w:szCs w:val="22"/>
              </w:rPr>
            </w:pPr>
            <w:r>
              <w:rPr>
                <w:rFonts w:ascii="Arial" w:hAnsi="Arial" w:cs="Arial"/>
                <w:b/>
                <w:sz w:val="22"/>
                <w:szCs w:val="22"/>
              </w:rPr>
              <w:t>91.82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EB360" w14:textId="5047F4D5" w:rsidR="00D502B9" w:rsidRPr="00384864" w:rsidRDefault="00586338" w:rsidP="00D502B9">
            <w:pPr>
              <w:keepNext/>
              <w:jc w:val="right"/>
              <w:rPr>
                <w:rFonts w:ascii="Arial" w:hAnsi="Arial" w:cs="Arial"/>
                <w:b/>
                <w:sz w:val="22"/>
                <w:szCs w:val="22"/>
              </w:rPr>
            </w:pPr>
            <w:r>
              <w:rPr>
                <w:rFonts w:ascii="Arial" w:hAnsi="Arial" w:cs="Arial"/>
                <w:b/>
                <w:sz w:val="22"/>
                <w:szCs w:val="22"/>
              </w:rPr>
              <w:t>(32.08)</w:t>
            </w:r>
          </w:p>
        </w:tc>
        <w:tc>
          <w:tcPr>
            <w:tcW w:w="1417" w:type="dxa"/>
            <w:tcBorders>
              <w:top w:val="single" w:sz="4" w:space="0" w:color="auto"/>
              <w:left w:val="single" w:sz="4" w:space="0" w:color="auto"/>
              <w:bottom w:val="single" w:sz="4" w:space="0" w:color="auto"/>
              <w:right w:val="single" w:sz="4" w:space="0" w:color="auto"/>
            </w:tcBorders>
          </w:tcPr>
          <w:p w14:paraId="46906852" w14:textId="05E27BD6" w:rsidR="00D502B9" w:rsidRPr="00384864" w:rsidRDefault="00576B4F" w:rsidP="00D502B9">
            <w:pPr>
              <w:keepNext/>
              <w:jc w:val="right"/>
              <w:rPr>
                <w:rFonts w:ascii="Arial" w:hAnsi="Arial" w:cs="Arial"/>
                <w:b/>
                <w:sz w:val="22"/>
                <w:szCs w:val="22"/>
              </w:rPr>
            </w:pPr>
            <w:r>
              <w:rPr>
                <w:rFonts w:ascii="Arial" w:hAnsi="Arial" w:cs="Arial"/>
                <w:b/>
                <w:sz w:val="22"/>
                <w:szCs w:val="22"/>
              </w:rPr>
              <w:t>59.74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44993C" w14:textId="7E5612B9" w:rsidR="00D502B9" w:rsidRPr="00384864" w:rsidRDefault="002B3CB3" w:rsidP="00D502B9">
            <w:pPr>
              <w:keepNext/>
              <w:jc w:val="right"/>
              <w:rPr>
                <w:rFonts w:ascii="Arial" w:hAnsi="Arial" w:cs="Arial"/>
                <w:b/>
                <w:sz w:val="22"/>
                <w:szCs w:val="22"/>
              </w:rPr>
            </w:pPr>
            <w:r>
              <w:rPr>
                <w:rFonts w:ascii="Arial" w:hAnsi="Arial" w:cs="Arial"/>
                <w:b/>
                <w:sz w:val="22"/>
                <w:szCs w:val="22"/>
              </w:rPr>
              <w:t>4.62</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43B76B10" w14:textId="5E54E8A1" w:rsidR="00D502B9" w:rsidRPr="00384864" w:rsidRDefault="00793A4C" w:rsidP="00D502B9">
            <w:pPr>
              <w:keepNext/>
              <w:jc w:val="right"/>
              <w:rPr>
                <w:rFonts w:ascii="Arial" w:hAnsi="Arial" w:cs="Arial"/>
                <w:b/>
                <w:sz w:val="22"/>
                <w:szCs w:val="22"/>
              </w:rPr>
            </w:pPr>
            <w:r>
              <w:rPr>
                <w:rFonts w:ascii="Arial" w:hAnsi="Arial" w:cs="Arial"/>
                <w:b/>
                <w:sz w:val="22"/>
                <w:szCs w:val="22"/>
              </w:rPr>
              <w:t>0.12</w:t>
            </w:r>
          </w:p>
        </w:tc>
      </w:tr>
      <w:tr w:rsidR="00D502B9" w:rsidRPr="00384864" w14:paraId="177CAC45" w14:textId="77777777" w:rsidTr="00516B1F">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1F5499C2" w14:textId="65D5EA28" w:rsidR="00D502B9" w:rsidRDefault="00D502B9" w:rsidP="00D502B9">
            <w:pPr>
              <w:keepNext/>
              <w:rPr>
                <w:rFonts w:ascii="Arial" w:hAnsi="Arial" w:cs="Arial"/>
                <w:bCs/>
                <w:sz w:val="22"/>
                <w:szCs w:val="22"/>
              </w:rPr>
            </w:pPr>
            <w:r w:rsidRPr="00384864">
              <w:rPr>
                <w:rFonts w:ascii="Arial" w:hAnsi="Arial" w:cs="Arial"/>
                <w:b/>
                <w:sz w:val="22"/>
                <w:szCs w:val="22"/>
              </w:rPr>
              <w:t>Long term investments</w:t>
            </w:r>
          </w:p>
          <w:p w14:paraId="5AE0936C" w14:textId="77CD7028" w:rsidR="00D502B9" w:rsidRPr="00657B22" w:rsidRDefault="00D502B9" w:rsidP="00D502B9">
            <w:pPr>
              <w:keepNext/>
              <w:rPr>
                <w:rFonts w:ascii="Arial" w:hAnsi="Arial" w:cs="Arial"/>
                <w:bCs/>
                <w:sz w:val="22"/>
                <w:szCs w:val="22"/>
              </w:rPr>
            </w:pPr>
            <w:r>
              <w:rPr>
                <w:rFonts w:ascii="Arial" w:hAnsi="Arial" w:cs="Arial"/>
                <w:bCs/>
                <w:sz w:val="22"/>
                <w:szCs w:val="22"/>
              </w:rPr>
              <w:t>Banks and building societies:</w:t>
            </w:r>
          </w:p>
        </w:tc>
        <w:tc>
          <w:tcPr>
            <w:tcW w:w="1417" w:type="dxa"/>
            <w:tcBorders>
              <w:top w:val="single" w:sz="4" w:space="0" w:color="auto"/>
              <w:left w:val="single" w:sz="4" w:space="0" w:color="auto"/>
              <w:right w:val="single" w:sz="4" w:space="0" w:color="auto"/>
            </w:tcBorders>
          </w:tcPr>
          <w:p w14:paraId="74846FB2" w14:textId="77777777" w:rsidR="00D502B9" w:rsidRPr="00384864" w:rsidRDefault="00D502B9" w:rsidP="00D502B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17BDFB39" w14:textId="77777777" w:rsidR="00D502B9" w:rsidRPr="00384864" w:rsidRDefault="00D502B9" w:rsidP="00D502B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tcPr>
          <w:p w14:paraId="6E5B8169" w14:textId="77777777" w:rsidR="00D502B9" w:rsidRPr="00384864" w:rsidRDefault="00D502B9" w:rsidP="00D502B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478092D4" w14:textId="77777777" w:rsidR="00D502B9" w:rsidRPr="00384864" w:rsidRDefault="00D502B9" w:rsidP="00D502B9">
            <w:pPr>
              <w:keepNext/>
              <w:jc w:val="right"/>
              <w:rPr>
                <w:rFonts w:ascii="Arial" w:hAnsi="Arial" w:cs="Arial"/>
                <w:sz w:val="22"/>
                <w:szCs w:val="22"/>
              </w:rPr>
            </w:pPr>
          </w:p>
        </w:tc>
        <w:tc>
          <w:tcPr>
            <w:tcW w:w="1421" w:type="dxa"/>
            <w:tcBorders>
              <w:top w:val="single" w:sz="4" w:space="0" w:color="auto"/>
              <w:left w:val="single" w:sz="4" w:space="0" w:color="auto"/>
              <w:right w:val="single" w:sz="4" w:space="0" w:color="auto"/>
            </w:tcBorders>
            <w:shd w:val="clear" w:color="auto" w:fill="auto"/>
            <w:vAlign w:val="center"/>
          </w:tcPr>
          <w:p w14:paraId="2A8DA842" w14:textId="77777777" w:rsidR="00D502B9" w:rsidRPr="00384864" w:rsidRDefault="00D502B9" w:rsidP="00D502B9">
            <w:pPr>
              <w:keepNext/>
              <w:jc w:val="right"/>
              <w:rPr>
                <w:rFonts w:ascii="Arial" w:hAnsi="Arial" w:cs="Arial"/>
                <w:sz w:val="22"/>
                <w:szCs w:val="22"/>
              </w:rPr>
            </w:pPr>
          </w:p>
        </w:tc>
      </w:tr>
      <w:tr w:rsidR="00D502B9" w:rsidRPr="00384864" w14:paraId="05B2BEFE"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center"/>
          </w:tcPr>
          <w:p w14:paraId="20FBD774" w14:textId="4FE9893E" w:rsidR="00D502B9" w:rsidRPr="004A1A98" w:rsidRDefault="00673E7D" w:rsidP="00D502B9">
            <w:pPr>
              <w:keepNext/>
              <w:numPr>
                <w:ilvl w:val="0"/>
                <w:numId w:val="1"/>
              </w:numPr>
              <w:ind w:left="318" w:hanging="284"/>
              <w:rPr>
                <w:rFonts w:ascii="Arial" w:hAnsi="Arial" w:cs="Arial"/>
                <w:sz w:val="22"/>
                <w:szCs w:val="22"/>
              </w:rPr>
            </w:pPr>
            <w:r>
              <w:rPr>
                <w:rFonts w:ascii="Arial" w:hAnsi="Arial" w:cs="Arial"/>
                <w:bCs/>
                <w:sz w:val="22"/>
                <w:szCs w:val="22"/>
              </w:rPr>
              <w:t>S</w:t>
            </w:r>
            <w:r w:rsidR="00D502B9" w:rsidRPr="00657B22">
              <w:rPr>
                <w:rFonts w:ascii="Arial" w:hAnsi="Arial" w:cs="Arial"/>
                <w:bCs/>
                <w:sz w:val="22"/>
                <w:szCs w:val="22"/>
              </w:rPr>
              <w:t xml:space="preserve">ecured </w:t>
            </w:r>
          </w:p>
        </w:tc>
        <w:tc>
          <w:tcPr>
            <w:tcW w:w="1417" w:type="dxa"/>
            <w:tcBorders>
              <w:left w:val="single" w:sz="4" w:space="0" w:color="auto"/>
              <w:right w:val="single" w:sz="4" w:space="0" w:color="auto"/>
            </w:tcBorders>
          </w:tcPr>
          <w:p w14:paraId="788538DB" w14:textId="3435E3C6" w:rsidR="00D502B9" w:rsidRPr="00384864" w:rsidRDefault="00D502B9" w:rsidP="00D502B9">
            <w:pPr>
              <w:keepNext/>
              <w:jc w:val="right"/>
              <w:rPr>
                <w:rFonts w:ascii="Arial" w:hAnsi="Arial" w:cs="Arial"/>
                <w:sz w:val="22"/>
                <w:szCs w:val="22"/>
              </w:rPr>
            </w:pPr>
            <w:r>
              <w:rPr>
                <w:rFonts w:ascii="Arial" w:hAnsi="Arial" w:cs="Arial"/>
                <w:sz w:val="22"/>
                <w:szCs w:val="22"/>
              </w:rPr>
              <w:t>5.09</w:t>
            </w:r>
          </w:p>
        </w:tc>
        <w:tc>
          <w:tcPr>
            <w:tcW w:w="1417" w:type="dxa"/>
            <w:tcBorders>
              <w:left w:val="single" w:sz="4" w:space="0" w:color="auto"/>
              <w:right w:val="single" w:sz="4" w:space="0" w:color="auto"/>
            </w:tcBorders>
            <w:shd w:val="clear" w:color="auto" w:fill="auto"/>
            <w:vAlign w:val="center"/>
          </w:tcPr>
          <w:p w14:paraId="29E320D9" w14:textId="26570DC0" w:rsidR="00D502B9" w:rsidRPr="00384864" w:rsidRDefault="004351F8" w:rsidP="00D502B9">
            <w:pPr>
              <w:keepNext/>
              <w:jc w:val="right"/>
              <w:rPr>
                <w:rFonts w:ascii="Arial" w:hAnsi="Arial" w:cs="Arial"/>
                <w:sz w:val="22"/>
                <w:szCs w:val="22"/>
              </w:rPr>
            </w:pPr>
            <w:r>
              <w:rPr>
                <w:rFonts w:ascii="Arial" w:hAnsi="Arial" w:cs="Arial"/>
                <w:sz w:val="22"/>
                <w:szCs w:val="22"/>
              </w:rPr>
              <w:t>8.91</w:t>
            </w:r>
          </w:p>
        </w:tc>
        <w:tc>
          <w:tcPr>
            <w:tcW w:w="1417" w:type="dxa"/>
            <w:tcBorders>
              <w:left w:val="single" w:sz="4" w:space="0" w:color="auto"/>
              <w:right w:val="single" w:sz="4" w:space="0" w:color="auto"/>
            </w:tcBorders>
          </w:tcPr>
          <w:p w14:paraId="096FDEE8" w14:textId="0C61BFF6" w:rsidR="00D502B9" w:rsidRPr="00384864" w:rsidRDefault="004351F8" w:rsidP="00D502B9">
            <w:pPr>
              <w:keepNext/>
              <w:jc w:val="right"/>
              <w:rPr>
                <w:rFonts w:ascii="Arial" w:hAnsi="Arial" w:cs="Arial"/>
                <w:sz w:val="22"/>
                <w:szCs w:val="22"/>
              </w:rPr>
            </w:pPr>
            <w:r>
              <w:rPr>
                <w:rFonts w:ascii="Arial" w:hAnsi="Arial" w:cs="Arial"/>
                <w:sz w:val="22"/>
                <w:szCs w:val="22"/>
              </w:rPr>
              <w:t>14.00</w:t>
            </w:r>
          </w:p>
        </w:tc>
        <w:tc>
          <w:tcPr>
            <w:tcW w:w="1417" w:type="dxa"/>
            <w:tcBorders>
              <w:left w:val="single" w:sz="4" w:space="0" w:color="auto"/>
              <w:right w:val="single" w:sz="4" w:space="0" w:color="auto"/>
            </w:tcBorders>
            <w:shd w:val="clear" w:color="auto" w:fill="auto"/>
            <w:vAlign w:val="center"/>
          </w:tcPr>
          <w:p w14:paraId="23C714FE" w14:textId="595EBAC0" w:rsidR="00D502B9" w:rsidRPr="00384864" w:rsidRDefault="002B3CB3" w:rsidP="00D502B9">
            <w:pPr>
              <w:keepNext/>
              <w:jc w:val="right"/>
              <w:rPr>
                <w:rFonts w:ascii="Arial" w:hAnsi="Arial" w:cs="Arial"/>
                <w:sz w:val="22"/>
                <w:szCs w:val="22"/>
              </w:rPr>
            </w:pPr>
            <w:r>
              <w:rPr>
                <w:rFonts w:ascii="Arial" w:hAnsi="Arial" w:cs="Arial"/>
                <w:sz w:val="22"/>
                <w:szCs w:val="22"/>
              </w:rPr>
              <w:t>4.03</w:t>
            </w:r>
          </w:p>
        </w:tc>
        <w:tc>
          <w:tcPr>
            <w:tcW w:w="1421" w:type="dxa"/>
            <w:tcBorders>
              <w:left w:val="single" w:sz="4" w:space="0" w:color="auto"/>
              <w:right w:val="single" w:sz="4" w:space="0" w:color="auto"/>
            </w:tcBorders>
            <w:shd w:val="clear" w:color="auto" w:fill="auto"/>
            <w:vAlign w:val="center"/>
          </w:tcPr>
          <w:p w14:paraId="277D1C48" w14:textId="2018AB80" w:rsidR="00D502B9" w:rsidRPr="00384864" w:rsidRDefault="00793A4C" w:rsidP="00D502B9">
            <w:pPr>
              <w:keepNext/>
              <w:jc w:val="right"/>
              <w:rPr>
                <w:rFonts w:ascii="Arial" w:hAnsi="Arial" w:cs="Arial"/>
                <w:sz w:val="22"/>
                <w:szCs w:val="22"/>
              </w:rPr>
            </w:pPr>
            <w:r>
              <w:rPr>
                <w:rFonts w:ascii="Arial" w:hAnsi="Arial" w:cs="Arial"/>
                <w:sz w:val="22"/>
                <w:szCs w:val="22"/>
              </w:rPr>
              <w:t>3.07</w:t>
            </w:r>
          </w:p>
        </w:tc>
      </w:tr>
      <w:tr w:rsidR="00D502B9" w:rsidRPr="00384864" w14:paraId="05D3A218" w14:textId="77777777" w:rsidTr="00516B1F">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DBFA80" w14:textId="7A30DAEC" w:rsidR="00D502B9" w:rsidRPr="00384864" w:rsidRDefault="00D502B9" w:rsidP="00D502B9">
            <w:pPr>
              <w:keepNext/>
              <w:rPr>
                <w:rFonts w:ascii="Arial" w:hAnsi="Arial" w:cs="Arial"/>
                <w:b/>
                <w:sz w:val="22"/>
                <w:szCs w:val="22"/>
              </w:rPr>
            </w:pPr>
            <w:r w:rsidRPr="00384864">
              <w:rPr>
                <w:rFonts w:ascii="Arial" w:hAnsi="Arial" w:cs="Arial"/>
                <w:b/>
                <w:sz w:val="22"/>
                <w:szCs w:val="22"/>
              </w:rPr>
              <w:t>Total</w:t>
            </w:r>
          </w:p>
        </w:tc>
        <w:tc>
          <w:tcPr>
            <w:tcW w:w="1417" w:type="dxa"/>
            <w:tcBorders>
              <w:top w:val="single" w:sz="4" w:space="0" w:color="auto"/>
              <w:left w:val="single" w:sz="4" w:space="0" w:color="auto"/>
              <w:bottom w:val="single" w:sz="4" w:space="0" w:color="auto"/>
              <w:right w:val="single" w:sz="4" w:space="0" w:color="auto"/>
            </w:tcBorders>
          </w:tcPr>
          <w:p w14:paraId="64639812" w14:textId="08E45057" w:rsidR="00D502B9" w:rsidRPr="00384864" w:rsidRDefault="00D502B9" w:rsidP="00D502B9">
            <w:pPr>
              <w:keepNext/>
              <w:jc w:val="right"/>
              <w:rPr>
                <w:rFonts w:ascii="Arial" w:hAnsi="Arial" w:cs="Arial"/>
                <w:b/>
                <w:sz w:val="22"/>
                <w:szCs w:val="22"/>
              </w:rPr>
            </w:pPr>
            <w:r>
              <w:rPr>
                <w:rFonts w:ascii="Arial" w:hAnsi="Arial" w:cs="Arial"/>
                <w:b/>
                <w:sz w:val="22"/>
                <w:szCs w:val="22"/>
              </w:rPr>
              <w:t>5.09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55096" w14:textId="0152600F" w:rsidR="00D502B9" w:rsidRPr="00384864" w:rsidRDefault="004351F8" w:rsidP="00D502B9">
            <w:pPr>
              <w:keepNext/>
              <w:jc w:val="right"/>
              <w:rPr>
                <w:rFonts w:ascii="Arial" w:hAnsi="Arial" w:cs="Arial"/>
                <w:b/>
                <w:sz w:val="22"/>
                <w:szCs w:val="22"/>
              </w:rPr>
            </w:pPr>
            <w:r>
              <w:rPr>
                <w:rFonts w:ascii="Arial" w:hAnsi="Arial" w:cs="Arial"/>
                <w:b/>
                <w:sz w:val="22"/>
                <w:szCs w:val="22"/>
              </w:rPr>
              <w:t>8.91</w:t>
            </w:r>
          </w:p>
        </w:tc>
        <w:tc>
          <w:tcPr>
            <w:tcW w:w="1417" w:type="dxa"/>
            <w:tcBorders>
              <w:top w:val="single" w:sz="4" w:space="0" w:color="auto"/>
              <w:left w:val="single" w:sz="4" w:space="0" w:color="auto"/>
              <w:bottom w:val="single" w:sz="4" w:space="0" w:color="auto"/>
              <w:right w:val="single" w:sz="4" w:space="0" w:color="auto"/>
            </w:tcBorders>
          </w:tcPr>
          <w:p w14:paraId="7B3D7FA3" w14:textId="59D3501B" w:rsidR="00D502B9" w:rsidRPr="00384864" w:rsidRDefault="00576B4F" w:rsidP="00D502B9">
            <w:pPr>
              <w:keepNext/>
              <w:jc w:val="right"/>
              <w:rPr>
                <w:rFonts w:ascii="Arial" w:hAnsi="Arial" w:cs="Arial"/>
                <w:b/>
                <w:sz w:val="22"/>
                <w:szCs w:val="22"/>
              </w:rPr>
            </w:pPr>
            <w:r>
              <w:rPr>
                <w:rFonts w:ascii="Arial" w:hAnsi="Arial" w:cs="Arial"/>
                <w:b/>
                <w:sz w:val="22"/>
                <w:szCs w:val="22"/>
              </w:rPr>
              <w:t>14.00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ED1EFF1" w14:textId="75FCBCA2" w:rsidR="00D502B9" w:rsidRPr="00384864" w:rsidRDefault="002B3CB3" w:rsidP="00D502B9">
            <w:pPr>
              <w:keepNext/>
              <w:jc w:val="right"/>
              <w:rPr>
                <w:rFonts w:ascii="Arial" w:hAnsi="Arial" w:cs="Arial"/>
                <w:b/>
                <w:sz w:val="22"/>
                <w:szCs w:val="22"/>
              </w:rPr>
            </w:pPr>
            <w:r>
              <w:rPr>
                <w:rFonts w:ascii="Arial" w:hAnsi="Arial" w:cs="Arial"/>
                <w:b/>
                <w:sz w:val="22"/>
                <w:szCs w:val="22"/>
              </w:rPr>
              <w:t>4.03</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36EEE4FD" w14:textId="74BCFCD6" w:rsidR="00D502B9" w:rsidRPr="00384864" w:rsidRDefault="00793A4C" w:rsidP="00D502B9">
            <w:pPr>
              <w:keepNext/>
              <w:jc w:val="right"/>
              <w:rPr>
                <w:rFonts w:ascii="Arial" w:hAnsi="Arial" w:cs="Arial"/>
                <w:b/>
                <w:sz w:val="22"/>
                <w:szCs w:val="22"/>
              </w:rPr>
            </w:pPr>
            <w:r>
              <w:rPr>
                <w:rFonts w:ascii="Arial" w:hAnsi="Arial" w:cs="Arial"/>
                <w:b/>
                <w:sz w:val="22"/>
                <w:szCs w:val="22"/>
              </w:rPr>
              <w:t>3.07</w:t>
            </w:r>
          </w:p>
        </w:tc>
      </w:tr>
      <w:tr w:rsidR="00D502B9" w:rsidRPr="00384864" w14:paraId="3693178C" w14:textId="77777777" w:rsidTr="00516B1F">
        <w:trPr>
          <w:cantSplit/>
          <w:trHeight w:val="255"/>
          <w:jc w:val="center"/>
        </w:trPr>
        <w:tc>
          <w:tcPr>
            <w:tcW w:w="3402" w:type="dxa"/>
            <w:tcBorders>
              <w:top w:val="single" w:sz="4" w:space="0" w:color="auto"/>
              <w:left w:val="single" w:sz="4" w:space="0" w:color="auto"/>
              <w:right w:val="single" w:sz="4" w:space="0" w:color="auto"/>
            </w:tcBorders>
            <w:shd w:val="clear" w:color="auto" w:fill="auto"/>
            <w:noWrap/>
            <w:vAlign w:val="bottom"/>
          </w:tcPr>
          <w:p w14:paraId="22FE2094" w14:textId="6EA83931" w:rsidR="00D502B9" w:rsidRPr="00384864" w:rsidRDefault="00D502B9" w:rsidP="00D502B9">
            <w:pPr>
              <w:keepNext/>
              <w:rPr>
                <w:rFonts w:ascii="Arial" w:hAnsi="Arial" w:cs="Arial"/>
                <w:b/>
                <w:sz w:val="22"/>
                <w:szCs w:val="22"/>
              </w:rPr>
            </w:pPr>
            <w:r w:rsidRPr="00384864">
              <w:rPr>
                <w:rFonts w:ascii="Arial" w:hAnsi="Arial" w:cs="Arial"/>
                <w:b/>
                <w:sz w:val="22"/>
                <w:szCs w:val="22"/>
              </w:rPr>
              <w:t>Higher yielding investments</w:t>
            </w:r>
          </w:p>
        </w:tc>
        <w:tc>
          <w:tcPr>
            <w:tcW w:w="1417" w:type="dxa"/>
            <w:tcBorders>
              <w:top w:val="single" w:sz="4" w:space="0" w:color="auto"/>
              <w:left w:val="single" w:sz="4" w:space="0" w:color="auto"/>
              <w:right w:val="single" w:sz="4" w:space="0" w:color="auto"/>
            </w:tcBorders>
          </w:tcPr>
          <w:p w14:paraId="47B9888A" w14:textId="77777777" w:rsidR="00D502B9" w:rsidRPr="00384864" w:rsidRDefault="00D502B9" w:rsidP="00D502B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1C406E56" w14:textId="08C5F813" w:rsidR="00D502B9" w:rsidRPr="00384864" w:rsidRDefault="00D502B9" w:rsidP="00D502B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tcPr>
          <w:p w14:paraId="2A6D3EBC" w14:textId="77777777" w:rsidR="00D502B9" w:rsidRPr="00384864" w:rsidRDefault="00D502B9" w:rsidP="00D502B9">
            <w:pPr>
              <w:keepNext/>
              <w:jc w:val="right"/>
              <w:rPr>
                <w:rFonts w:ascii="Arial" w:hAnsi="Arial" w:cs="Arial"/>
                <w:sz w:val="22"/>
                <w:szCs w:val="22"/>
              </w:rPr>
            </w:pPr>
          </w:p>
        </w:tc>
        <w:tc>
          <w:tcPr>
            <w:tcW w:w="1417" w:type="dxa"/>
            <w:tcBorders>
              <w:top w:val="single" w:sz="4" w:space="0" w:color="auto"/>
              <w:left w:val="single" w:sz="4" w:space="0" w:color="auto"/>
              <w:right w:val="single" w:sz="4" w:space="0" w:color="auto"/>
            </w:tcBorders>
            <w:shd w:val="clear" w:color="auto" w:fill="auto"/>
            <w:vAlign w:val="center"/>
          </w:tcPr>
          <w:p w14:paraId="115082D9" w14:textId="53C0E710" w:rsidR="00D502B9" w:rsidRPr="00384864" w:rsidRDefault="00D502B9" w:rsidP="00D502B9">
            <w:pPr>
              <w:keepNext/>
              <w:jc w:val="right"/>
              <w:rPr>
                <w:rFonts w:ascii="Arial" w:hAnsi="Arial" w:cs="Arial"/>
                <w:sz w:val="22"/>
                <w:szCs w:val="22"/>
              </w:rPr>
            </w:pPr>
          </w:p>
        </w:tc>
        <w:tc>
          <w:tcPr>
            <w:tcW w:w="1421" w:type="dxa"/>
            <w:tcBorders>
              <w:top w:val="single" w:sz="4" w:space="0" w:color="auto"/>
              <w:left w:val="single" w:sz="4" w:space="0" w:color="auto"/>
              <w:right w:val="single" w:sz="4" w:space="0" w:color="auto"/>
            </w:tcBorders>
            <w:shd w:val="clear" w:color="auto" w:fill="auto"/>
            <w:vAlign w:val="center"/>
          </w:tcPr>
          <w:p w14:paraId="58B86F4F" w14:textId="0470F20A" w:rsidR="00D502B9" w:rsidRPr="00384864" w:rsidRDefault="00D502B9" w:rsidP="00D502B9">
            <w:pPr>
              <w:keepNext/>
              <w:jc w:val="right"/>
              <w:rPr>
                <w:rFonts w:ascii="Arial" w:hAnsi="Arial" w:cs="Arial"/>
                <w:sz w:val="22"/>
                <w:szCs w:val="22"/>
              </w:rPr>
            </w:pPr>
          </w:p>
        </w:tc>
      </w:tr>
      <w:tr w:rsidR="00D502B9" w:rsidRPr="00384864" w14:paraId="2DF180A0"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bottom"/>
          </w:tcPr>
          <w:p w14:paraId="5C05DD21" w14:textId="67A0BF3C" w:rsidR="00D502B9" w:rsidRPr="00384864" w:rsidRDefault="00D502B9" w:rsidP="00D502B9">
            <w:pPr>
              <w:keepNext/>
              <w:rPr>
                <w:rFonts w:ascii="Arial" w:hAnsi="Arial" w:cs="Arial"/>
                <w:bCs/>
                <w:sz w:val="22"/>
                <w:szCs w:val="22"/>
              </w:rPr>
            </w:pPr>
            <w:r w:rsidRPr="00384864">
              <w:rPr>
                <w:rFonts w:ascii="Arial" w:hAnsi="Arial" w:cs="Arial"/>
                <w:bCs/>
                <w:sz w:val="22"/>
                <w:szCs w:val="22"/>
              </w:rPr>
              <w:t>Pooled funds:</w:t>
            </w:r>
          </w:p>
        </w:tc>
        <w:tc>
          <w:tcPr>
            <w:tcW w:w="1417" w:type="dxa"/>
            <w:tcBorders>
              <w:left w:val="single" w:sz="4" w:space="0" w:color="auto"/>
              <w:right w:val="single" w:sz="4" w:space="0" w:color="auto"/>
            </w:tcBorders>
          </w:tcPr>
          <w:p w14:paraId="15A41CC6" w14:textId="77777777" w:rsidR="00D502B9" w:rsidRPr="00384864" w:rsidRDefault="00D502B9" w:rsidP="00D502B9">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10D0096B" w14:textId="77777777" w:rsidR="00D502B9" w:rsidRPr="00384864" w:rsidRDefault="00D502B9" w:rsidP="00D502B9">
            <w:pPr>
              <w:keepNext/>
              <w:jc w:val="right"/>
              <w:rPr>
                <w:rFonts w:ascii="Arial" w:hAnsi="Arial" w:cs="Arial"/>
                <w:sz w:val="22"/>
                <w:szCs w:val="22"/>
              </w:rPr>
            </w:pPr>
          </w:p>
        </w:tc>
        <w:tc>
          <w:tcPr>
            <w:tcW w:w="1417" w:type="dxa"/>
            <w:tcBorders>
              <w:left w:val="single" w:sz="4" w:space="0" w:color="auto"/>
              <w:right w:val="single" w:sz="4" w:space="0" w:color="auto"/>
            </w:tcBorders>
          </w:tcPr>
          <w:p w14:paraId="705EC8ED" w14:textId="77777777" w:rsidR="00D502B9" w:rsidRPr="00384864" w:rsidRDefault="00D502B9" w:rsidP="00D502B9">
            <w:pPr>
              <w:keepNext/>
              <w:jc w:val="right"/>
              <w:rPr>
                <w:rFonts w:ascii="Arial" w:hAnsi="Arial" w:cs="Arial"/>
                <w:sz w:val="22"/>
                <w:szCs w:val="22"/>
              </w:rPr>
            </w:pPr>
          </w:p>
        </w:tc>
        <w:tc>
          <w:tcPr>
            <w:tcW w:w="1417" w:type="dxa"/>
            <w:tcBorders>
              <w:left w:val="single" w:sz="4" w:space="0" w:color="auto"/>
              <w:right w:val="single" w:sz="4" w:space="0" w:color="auto"/>
            </w:tcBorders>
            <w:shd w:val="clear" w:color="auto" w:fill="auto"/>
            <w:vAlign w:val="center"/>
          </w:tcPr>
          <w:p w14:paraId="39C7A0FF" w14:textId="632A7F34" w:rsidR="00D502B9" w:rsidRPr="00384864" w:rsidRDefault="00D502B9" w:rsidP="00D502B9">
            <w:pPr>
              <w:keepNext/>
              <w:jc w:val="right"/>
              <w:rPr>
                <w:rFonts w:ascii="Arial" w:hAnsi="Arial" w:cs="Arial"/>
                <w:sz w:val="22"/>
                <w:szCs w:val="22"/>
              </w:rPr>
            </w:pPr>
          </w:p>
        </w:tc>
        <w:tc>
          <w:tcPr>
            <w:tcW w:w="1421" w:type="dxa"/>
            <w:tcBorders>
              <w:left w:val="single" w:sz="4" w:space="0" w:color="auto"/>
              <w:right w:val="single" w:sz="4" w:space="0" w:color="auto"/>
            </w:tcBorders>
            <w:shd w:val="clear" w:color="auto" w:fill="auto"/>
            <w:vAlign w:val="center"/>
          </w:tcPr>
          <w:p w14:paraId="3A78235D" w14:textId="77777777" w:rsidR="00D502B9" w:rsidRPr="00384864" w:rsidRDefault="00D502B9" w:rsidP="00D502B9">
            <w:pPr>
              <w:keepNext/>
              <w:jc w:val="right"/>
              <w:rPr>
                <w:rFonts w:ascii="Arial" w:hAnsi="Arial" w:cs="Arial"/>
                <w:sz w:val="22"/>
                <w:szCs w:val="22"/>
              </w:rPr>
            </w:pPr>
          </w:p>
        </w:tc>
      </w:tr>
      <w:tr w:rsidR="00D502B9" w:rsidRPr="00384864" w14:paraId="5A706832"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bottom"/>
          </w:tcPr>
          <w:p w14:paraId="43FB1446" w14:textId="6DB1242D" w:rsidR="00D502B9" w:rsidRPr="00384864" w:rsidRDefault="00D502B9" w:rsidP="00D502B9">
            <w:pPr>
              <w:keepNext/>
              <w:numPr>
                <w:ilvl w:val="0"/>
                <w:numId w:val="1"/>
              </w:numPr>
              <w:ind w:left="318" w:hanging="284"/>
              <w:rPr>
                <w:rFonts w:ascii="Arial" w:hAnsi="Arial" w:cs="Arial"/>
                <w:bCs/>
                <w:sz w:val="22"/>
                <w:szCs w:val="22"/>
              </w:rPr>
            </w:pPr>
            <w:r w:rsidRPr="00384864">
              <w:rPr>
                <w:rFonts w:ascii="Arial" w:hAnsi="Arial" w:cs="Arial"/>
                <w:bCs/>
                <w:sz w:val="22"/>
                <w:szCs w:val="22"/>
              </w:rPr>
              <w:t>Pooled property*</w:t>
            </w:r>
          </w:p>
        </w:tc>
        <w:tc>
          <w:tcPr>
            <w:tcW w:w="1417" w:type="dxa"/>
            <w:tcBorders>
              <w:left w:val="single" w:sz="4" w:space="0" w:color="auto"/>
              <w:right w:val="single" w:sz="4" w:space="0" w:color="auto"/>
            </w:tcBorders>
          </w:tcPr>
          <w:p w14:paraId="0EDBB993" w14:textId="7E29AE8D" w:rsidR="00D502B9" w:rsidRPr="00384864" w:rsidRDefault="00D502B9" w:rsidP="00D502B9">
            <w:pPr>
              <w:keepNext/>
              <w:jc w:val="right"/>
              <w:rPr>
                <w:rFonts w:ascii="Arial" w:hAnsi="Arial" w:cs="Arial"/>
                <w:sz w:val="22"/>
                <w:szCs w:val="22"/>
              </w:rPr>
            </w:pPr>
            <w:r>
              <w:rPr>
                <w:rFonts w:ascii="Arial" w:hAnsi="Arial" w:cs="Arial"/>
                <w:sz w:val="22"/>
                <w:szCs w:val="22"/>
              </w:rPr>
              <w:t>4.00</w:t>
            </w:r>
          </w:p>
        </w:tc>
        <w:tc>
          <w:tcPr>
            <w:tcW w:w="1417" w:type="dxa"/>
            <w:tcBorders>
              <w:left w:val="single" w:sz="4" w:space="0" w:color="auto"/>
              <w:right w:val="single" w:sz="4" w:space="0" w:color="auto"/>
            </w:tcBorders>
            <w:shd w:val="clear" w:color="auto" w:fill="auto"/>
            <w:vAlign w:val="center"/>
          </w:tcPr>
          <w:p w14:paraId="1525C370" w14:textId="7C410CCC" w:rsidR="00D502B9" w:rsidRPr="00384864" w:rsidRDefault="004351F8" w:rsidP="00D502B9">
            <w:pPr>
              <w:keepNext/>
              <w:jc w:val="right"/>
              <w:rPr>
                <w:rFonts w:ascii="Arial" w:hAnsi="Arial" w:cs="Arial"/>
                <w:sz w:val="22"/>
                <w:szCs w:val="22"/>
              </w:rPr>
            </w:pPr>
            <w:r>
              <w:rPr>
                <w:rFonts w:ascii="Arial" w:hAnsi="Arial" w:cs="Arial"/>
                <w:sz w:val="22"/>
                <w:szCs w:val="22"/>
              </w:rPr>
              <w:t>0.00</w:t>
            </w:r>
          </w:p>
        </w:tc>
        <w:tc>
          <w:tcPr>
            <w:tcW w:w="1417" w:type="dxa"/>
            <w:tcBorders>
              <w:left w:val="single" w:sz="4" w:space="0" w:color="auto"/>
              <w:right w:val="single" w:sz="4" w:space="0" w:color="auto"/>
            </w:tcBorders>
          </w:tcPr>
          <w:p w14:paraId="238EC4EC" w14:textId="380FCB4F" w:rsidR="00D502B9" w:rsidRPr="00384864" w:rsidRDefault="00576B4F" w:rsidP="00D502B9">
            <w:pPr>
              <w:keepNext/>
              <w:jc w:val="right"/>
              <w:rPr>
                <w:rFonts w:ascii="Arial" w:hAnsi="Arial" w:cs="Arial"/>
                <w:sz w:val="22"/>
                <w:szCs w:val="22"/>
              </w:rPr>
            </w:pPr>
            <w:r>
              <w:rPr>
                <w:rFonts w:ascii="Arial" w:hAnsi="Arial" w:cs="Arial"/>
                <w:sz w:val="22"/>
                <w:szCs w:val="22"/>
              </w:rPr>
              <w:t>4.00</w:t>
            </w:r>
          </w:p>
        </w:tc>
        <w:tc>
          <w:tcPr>
            <w:tcW w:w="1417" w:type="dxa"/>
            <w:tcBorders>
              <w:left w:val="single" w:sz="4" w:space="0" w:color="auto"/>
              <w:right w:val="single" w:sz="4" w:space="0" w:color="auto"/>
            </w:tcBorders>
            <w:shd w:val="clear" w:color="auto" w:fill="auto"/>
            <w:vAlign w:val="center"/>
          </w:tcPr>
          <w:p w14:paraId="4E835BC8" w14:textId="51478C0E" w:rsidR="00D502B9" w:rsidRPr="00384864" w:rsidRDefault="002B3CB3" w:rsidP="00D502B9">
            <w:pPr>
              <w:keepNext/>
              <w:jc w:val="right"/>
              <w:rPr>
                <w:rFonts w:ascii="Arial" w:hAnsi="Arial" w:cs="Arial"/>
                <w:sz w:val="22"/>
                <w:szCs w:val="22"/>
              </w:rPr>
            </w:pPr>
            <w:r>
              <w:rPr>
                <w:rFonts w:ascii="Arial" w:hAnsi="Arial" w:cs="Arial"/>
                <w:sz w:val="22"/>
                <w:szCs w:val="22"/>
              </w:rPr>
              <w:t>3.50</w:t>
            </w:r>
          </w:p>
        </w:tc>
        <w:tc>
          <w:tcPr>
            <w:tcW w:w="1421" w:type="dxa"/>
            <w:tcBorders>
              <w:left w:val="single" w:sz="4" w:space="0" w:color="auto"/>
              <w:right w:val="single" w:sz="4" w:space="0" w:color="auto"/>
            </w:tcBorders>
            <w:shd w:val="clear" w:color="auto" w:fill="auto"/>
            <w:vAlign w:val="center"/>
          </w:tcPr>
          <w:p w14:paraId="2064E9F7" w14:textId="78370A34" w:rsidR="00D502B9" w:rsidRPr="00384864" w:rsidRDefault="00D502B9" w:rsidP="00D502B9">
            <w:pPr>
              <w:keepNext/>
              <w:jc w:val="right"/>
              <w:rPr>
                <w:rFonts w:ascii="Arial" w:hAnsi="Arial" w:cs="Arial"/>
                <w:sz w:val="22"/>
                <w:szCs w:val="22"/>
              </w:rPr>
            </w:pPr>
            <w:r w:rsidRPr="00384864">
              <w:rPr>
                <w:rFonts w:ascii="Arial" w:hAnsi="Arial" w:cs="Arial"/>
                <w:sz w:val="22"/>
                <w:szCs w:val="22"/>
              </w:rPr>
              <w:t>N/A</w:t>
            </w:r>
          </w:p>
        </w:tc>
      </w:tr>
      <w:tr w:rsidR="00D502B9" w:rsidRPr="00384864" w14:paraId="612E967D" w14:textId="77777777" w:rsidTr="00516B1F">
        <w:trPr>
          <w:cantSplit/>
          <w:trHeight w:val="255"/>
          <w:jc w:val="center"/>
        </w:trPr>
        <w:tc>
          <w:tcPr>
            <w:tcW w:w="3402" w:type="dxa"/>
            <w:tcBorders>
              <w:left w:val="single" w:sz="4" w:space="0" w:color="auto"/>
              <w:right w:val="single" w:sz="4" w:space="0" w:color="auto"/>
            </w:tcBorders>
            <w:shd w:val="clear" w:color="auto" w:fill="auto"/>
            <w:noWrap/>
            <w:vAlign w:val="bottom"/>
          </w:tcPr>
          <w:p w14:paraId="255A1A3C" w14:textId="71FF18C0" w:rsidR="00D502B9" w:rsidRPr="00384864" w:rsidRDefault="00D502B9" w:rsidP="00D502B9">
            <w:pPr>
              <w:keepNext/>
              <w:numPr>
                <w:ilvl w:val="0"/>
                <w:numId w:val="1"/>
              </w:numPr>
              <w:ind w:left="318" w:hanging="284"/>
              <w:rPr>
                <w:rFonts w:ascii="Arial" w:hAnsi="Arial" w:cs="Arial"/>
                <w:bCs/>
                <w:sz w:val="22"/>
                <w:szCs w:val="22"/>
              </w:rPr>
            </w:pPr>
            <w:r w:rsidRPr="00384864">
              <w:rPr>
                <w:rFonts w:ascii="Arial" w:hAnsi="Arial" w:cs="Arial"/>
                <w:bCs/>
                <w:sz w:val="22"/>
                <w:szCs w:val="22"/>
              </w:rPr>
              <w:t>Pooled equity*</w:t>
            </w:r>
          </w:p>
        </w:tc>
        <w:tc>
          <w:tcPr>
            <w:tcW w:w="1417" w:type="dxa"/>
            <w:tcBorders>
              <w:left w:val="single" w:sz="4" w:space="0" w:color="auto"/>
              <w:right w:val="single" w:sz="4" w:space="0" w:color="auto"/>
            </w:tcBorders>
          </w:tcPr>
          <w:p w14:paraId="04825ECC" w14:textId="2D4B25C3" w:rsidR="00D502B9" w:rsidRPr="00384864" w:rsidRDefault="00D502B9" w:rsidP="00D502B9">
            <w:pPr>
              <w:keepNext/>
              <w:jc w:val="right"/>
              <w:rPr>
                <w:rFonts w:ascii="Arial" w:hAnsi="Arial" w:cs="Arial"/>
                <w:sz w:val="22"/>
                <w:szCs w:val="22"/>
              </w:rPr>
            </w:pPr>
            <w:r>
              <w:rPr>
                <w:rFonts w:ascii="Arial" w:hAnsi="Arial" w:cs="Arial"/>
                <w:sz w:val="22"/>
                <w:szCs w:val="22"/>
              </w:rPr>
              <w:t>3.00</w:t>
            </w:r>
          </w:p>
        </w:tc>
        <w:tc>
          <w:tcPr>
            <w:tcW w:w="1417" w:type="dxa"/>
            <w:tcBorders>
              <w:left w:val="single" w:sz="4" w:space="0" w:color="auto"/>
              <w:right w:val="single" w:sz="4" w:space="0" w:color="auto"/>
            </w:tcBorders>
            <w:shd w:val="clear" w:color="auto" w:fill="auto"/>
            <w:vAlign w:val="center"/>
          </w:tcPr>
          <w:p w14:paraId="6DC99113" w14:textId="0180401E" w:rsidR="00D502B9" w:rsidRPr="00384864" w:rsidRDefault="004351F8" w:rsidP="00D502B9">
            <w:pPr>
              <w:keepNext/>
              <w:jc w:val="right"/>
              <w:rPr>
                <w:rFonts w:ascii="Arial" w:hAnsi="Arial" w:cs="Arial"/>
                <w:sz w:val="22"/>
                <w:szCs w:val="22"/>
              </w:rPr>
            </w:pPr>
            <w:r>
              <w:rPr>
                <w:rFonts w:ascii="Arial" w:hAnsi="Arial" w:cs="Arial"/>
                <w:sz w:val="22"/>
                <w:szCs w:val="22"/>
              </w:rPr>
              <w:t>0.00</w:t>
            </w:r>
          </w:p>
        </w:tc>
        <w:tc>
          <w:tcPr>
            <w:tcW w:w="1417" w:type="dxa"/>
            <w:tcBorders>
              <w:left w:val="single" w:sz="4" w:space="0" w:color="auto"/>
              <w:right w:val="single" w:sz="4" w:space="0" w:color="auto"/>
            </w:tcBorders>
          </w:tcPr>
          <w:p w14:paraId="6B8D4902" w14:textId="717766A3" w:rsidR="00D502B9" w:rsidRPr="00384864" w:rsidRDefault="00576B4F" w:rsidP="00D502B9">
            <w:pPr>
              <w:keepNext/>
              <w:jc w:val="right"/>
              <w:rPr>
                <w:rFonts w:ascii="Arial" w:hAnsi="Arial" w:cs="Arial"/>
                <w:sz w:val="22"/>
                <w:szCs w:val="22"/>
              </w:rPr>
            </w:pPr>
            <w:r>
              <w:rPr>
                <w:rFonts w:ascii="Arial" w:hAnsi="Arial" w:cs="Arial"/>
                <w:sz w:val="22"/>
                <w:szCs w:val="22"/>
              </w:rPr>
              <w:t>3.00</w:t>
            </w:r>
          </w:p>
        </w:tc>
        <w:tc>
          <w:tcPr>
            <w:tcW w:w="1417" w:type="dxa"/>
            <w:tcBorders>
              <w:left w:val="single" w:sz="4" w:space="0" w:color="auto"/>
              <w:right w:val="single" w:sz="4" w:space="0" w:color="auto"/>
            </w:tcBorders>
            <w:shd w:val="clear" w:color="auto" w:fill="auto"/>
            <w:vAlign w:val="center"/>
          </w:tcPr>
          <w:p w14:paraId="7C080F2C" w14:textId="63BA144B" w:rsidR="00D502B9" w:rsidRPr="00384864" w:rsidRDefault="002B3CB3" w:rsidP="00D502B9">
            <w:pPr>
              <w:keepNext/>
              <w:jc w:val="right"/>
              <w:rPr>
                <w:rFonts w:ascii="Arial" w:hAnsi="Arial" w:cs="Arial"/>
                <w:sz w:val="22"/>
                <w:szCs w:val="22"/>
              </w:rPr>
            </w:pPr>
            <w:r>
              <w:rPr>
                <w:rFonts w:ascii="Arial" w:hAnsi="Arial" w:cs="Arial"/>
                <w:sz w:val="22"/>
                <w:szCs w:val="22"/>
              </w:rPr>
              <w:t>5.56</w:t>
            </w:r>
          </w:p>
        </w:tc>
        <w:tc>
          <w:tcPr>
            <w:tcW w:w="1421" w:type="dxa"/>
            <w:tcBorders>
              <w:left w:val="single" w:sz="4" w:space="0" w:color="auto"/>
              <w:right w:val="single" w:sz="4" w:space="0" w:color="auto"/>
            </w:tcBorders>
            <w:shd w:val="clear" w:color="auto" w:fill="auto"/>
            <w:vAlign w:val="center"/>
          </w:tcPr>
          <w:p w14:paraId="5C3B1201" w14:textId="2ED98E9C" w:rsidR="00D502B9" w:rsidRPr="00384864" w:rsidRDefault="00D502B9" w:rsidP="00D502B9">
            <w:pPr>
              <w:keepNext/>
              <w:jc w:val="right"/>
              <w:rPr>
                <w:rFonts w:ascii="Arial" w:hAnsi="Arial" w:cs="Arial"/>
                <w:sz w:val="22"/>
                <w:szCs w:val="22"/>
              </w:rPr>
            </w:pPr>
            <w:r w:rsidRPr="00384864">
              <w:rPr>
                <w:rFonts w:ascii="Arial" w:hAnsi="Arial" w:cs="Arial"/>
                <w:sz w:val="22"/>
                <w:szCs w:val="22"/>
              </w:rPr>
              <w:t>N/A</w:t>
            </w:r>
          </w:p>
        </w:tc>
      </w:tr>
      <w:tr w:rsidR="00D502B9" w:rsidRPr="00384864" w14:paraId="181407E5" w14:textId="77777777" w:rsidTr="00516B1F">
        <w:trPr>
          <w:cantSplit/>
          <w:trHeight w:val="255"/>
          <w:jc w:val="center"/>
        </w:trPr>
        <w:tc>
          <w:tcPr>
            <w:tcW w:w="3402" w:type="dxa"/>
            <w:tcBorders>
              <w:left w:val="single" w:sz="4" w:space="0" w:color="auto"/>
              <w:bottom w:val="single" w:sz="4" w:space="0" w:color="auto"/>
              <w:right w:val="single" w:sz="4" w:space="0" w:color="auto"/>
            </w:tcBorders>
            <w:shd w:val="clear" w:color="auto" w:fill="auto"/>
            <w:noWrap/>
            <w:vAlign w:val="bottom"/>
          </w:tcPr>
          <w:p w14:paraId="7CD3C00E" w14:textId="212518AF" w:rsidR="00D502B9" w:rsidRPr="00384864" w:rsidRDefault="00D502B9" w:rsidP="00D502B9">
            <w:pPr>
              <w:keepNext/>
              <w:numPr>
                <w:ilvl w:val="0"/>
                <w:numId w:val="1"/>
              </w:numPr>
              <w:ind w:left="318" w:hanging="284"/>
              <w:rPr>
                <w:rFonts w:ascii="Arial" w:hAnsi="Arial" w:cs="Arial"/>
                <w:bCs/>
                <w:sz w:val="22"/>
                <w:szCs w:val="22"/>
              </w:rPr>
            </w:pPr>
            <w:r w:rsidRPr="00384864">
              <w:rPr>
                <w:rFonts w:ascii="Arial" w:hAnsi="Arial" w:cs="Arial"/>
                <w:bCs/>
                <w:sz w:val="22"/>
                <w:szCs w:val="22"/>
              </w:rPr>
              <w:t>Pooled multi-asset*</w:t>
            </w:r>
          </w:p>
        </w:tc>
        <w:tc>
          <w:tcPr>
            <w:tcW w:w="1417" w:type="dxa"/>
            <w:tcBorders>
              <w:left w:val="single" w:sz="4" w:space="0" w:color="auto"/>
              <w:bottom w:val="single" w:sz="4" w:space="0" w:color="auto"/>
              <w:right w:val="single" w:sz="4" w:space="0" w:color="auto"/>
            </w:tcBorders>
          </w:tcPr>
          <w:p w14:paraId="27763141" w14:textId="5CC8A341" w:rsidR="00D502B9" w:rsidRPr="00384864" w:rsidRDefault="00D502B9" w:rsidP="00D502B9">
            <w:pPr>
              <w:keepNext/>
              <w:jc w:val="right"/>
              <w:rPr>
                <w:rFonts w:ascii="Arial" w:hAnsi="Arial" w:cs="Arial"/>
                <w:sz w:val="22"/>
                <w:szCs w:val="22"/>
              </w:rPr>
            </w:pPr>
            <w:r>
              <w:rPr>
                <w:rFonts w:ascii="Arial" w:hAnsi="Arial" w:cs="Arial"/>
                <w:sz w:val="22"/>
                <w:szCs w:val="22"/>
              </w:rPr>
              <w:t>3.00</w:t>
            </w:r>
          </w:p>
        </w:tc>
        <w:tc>
          <w:tcPr>
            <w:tcW w:w="1417" w:type="dxa"/>
            <w:tcBorders>
              <w:left w:val="single" w:sz="4" w:space="0" w:color="auto"/>
              <w:bottom w:val="single" w:sz="4" w:space="0" w:color="auto"/>
              <w:right w:val="single" w:sz="4" w:space="0" w:color="auto"/>
            </w:tcBorders>
            <w:shd w:val="clear" w:color="auto" w:fill="auto"/>
            <w:vAlign w:val="center"/>
          </w:tcPr>
          <w:p w14:paraId="4503B55A" w14:textId="3E41E50B" w:rsidR="00D502B9" w:rsidRPr="00384864" w:rsidRDefault="004351F8" w:rsidP="00D502B9">
            <w:pPr>
              <w:keepNext/>
              <w:jc w:val="right"/>
              <w:rPr>
                <w:rFonts w:ascii="Arial" w:hAnsi="Arial" w:cs="Arial"/>
                <w:sz w:val="22"/>
                <w:szCs w:val="22"/>
              </w:rPr>
            </w:pPr>
            <w:r>
              <w:rPr>
                <w:rFonts w:ascii="Arial" w:hAnsi="Arial" w:cs="Arial"/>
                <w:sz w:val="22"/>
                <w:szCs w:val="22"/>
              </w:rPr>
              <w:t>0.00</w:t>
            </w:r>
          </w:p>
        </w:tc>
        <w:tc>
          <w:tcPr>
            <w:tcW w:w="1417" w:type="dxa"/>
            <w:tcBorders>
              <w:left w:val="single" w:sz="4" w:space="0" w:color="auto"/>
              <w:bottom w:val="single" w:sz="4" w:space="0" w:color="auto"/>
              <w:right w:val="single" w:sz="4" w:space="0" w:color="auto"/>
            </w:tcBorders>
          </w:tcPr>
          <w:p w14:paraId="3BA1EB0C" w14:textId="2D4C2EB1" w:rsidR="00D502B9" w:rsidRPr="00384864" w:rsidRDefault="00576B4F" w:rsidP="00D502B9">
            <w:pPr>
              <w:keepNext/>
              <w:jc w:val="right"/>
              <w:rPr>
                <w:rFonts w:ascii="Arial" w:hAnsi="Arial" w:cs="Arial"/>
                <w:sz w:val="22"/>
                <w:szCs w:val="22"/>
              </w:rPr>
            </w:pPr>
            <w:r>
              <w:rPr>
                <w:rFonts w:ascii="Arial" w:hAnsi="Arial" w:cs="Arial"/>
                <w:sz w:val="22"/>
                <w:szCs w:val="22"/>
              </w:rPr>
              <w:t>3.00</w:t>
            </w:r>
          </w:p>
        </w:tc>
        <w:tc>
          <w:tcPr>
            <w:tcW w:w="1417" w:type="dxa"/>
            <w:tcBorders>
              <w:left w:val="single" w:sz="4" w:space="0" w:color="auto"/>
              <w:bottom w:val="single" w:sz="4" w:space="0" w:color="auto"/>
              <w:right w:val="single" w:sz="4" w:space="0" w:color="auto"/>
            </w:tcBorders>
            <w:shd w:val="clear" w:color="auto" w:fill="auto"/>
            <w:vAlign w:val="center"/>
          </w:tcPr>
          <w:p w14:paraId="55B2C0EA" w14:textId="705997FA" w:rsidR="00D502B9" w:rsidRPr="00384864" w:rsidRDefault="00793A4C" w:rsidP="00D502B9">
            <w:pPr>
              <w:keepNext/>
              <w:jc w:val="right"/>
              <w:rPr>
                <w:rFonts w:ascii="Arial" w:hAnsi="Arial" w:cs="Arial"/>
                <w:sz w:val="22"/>
                <w:szCs w:val="22"/>
              </w:rPr>
            </w:pPr>
            <w:r>
              <w:rPr>
                <w:rFonts w:ascii="Arial" w:hAnsi="Arial" w:cs="Arial"/>
                <w:sz w:val="22"/>
                <w:szCs w:val="22"/>
              </w:rPr>
              <w:t>4.69</w:t>
            </w:r>
          </w:p>
        </w:tc>
        <w:tc>
          <w:tcPr>
            <w:tcW w:w="1421" w:type="dxa"/>
            <w:tcBorders>
              <w:left w:val="single" w:sz="4" w:space="0" w:color="auto"/>
              <w:bottom w:val="single" w:sz="4" w:space="0" w:color="auto"/>
              <w:right w:val="single" w:sz="4" w:space="0" w:color="auto"/>
            </w:tcBorders>
            <w:shd w:val="clear" w:color="auto" w:fill="auto"/>
            <w:vAlign w:val="center"/>
          </w:tcPr>
          <w:p w14:paraId="459FA1EE" w14:textId="37AAFF31" w:rsidR="00D502B9" w:rsidRPr="00384864" w:rsidRDefault="00D502B9" w:rsidP="00D502B9">
            <w:pPr>
              <w:keepNext/>
              <w:jc w:val="right"/>
              <w:rPr>
                <w:rFonts w:ascii="Arial" w:hAnsi="Arial" w:cs="Arial"/>
                <w:sz w:val="22"/>
                <w:szCs w:val="22"/>
              </w:rPr>
            </w:pPr>
            <w:r w:rsidRPr="00384864">
              <w:rPr>
                <w:rFonts w:ascii="Arial" w:hAnsi="Arial" w:cs="Arial"/>
                <w:sz w:val="22"/>
                <w:szCs w:val="22"/>
              </w:rPr>
              <w:t>N/A</w:t>
            </w:r>
          </w:p>
        </w:tc>
      </w:tr>
      <w:tr w:rsidR="00D502B9" w:rsidRPr="00384864" w14:paraId="33725710" w14:textId="77777777" w:rsidTr="00516B1F">
        <w:trPr>
          <w:cantSplit/>
          <w:trHeight w:val="255"/>
          <w:jc w:val="center"/>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0295A" w14:textId="57E379E4" w:rsidR="00D502B9" w:rsidRPr="00384864" w:rsidRDefault="00D502B9" w:rsidP="00D502B9">
            <w:pPr>
              <w:keepNext/>
              <w:rPr>
                <w:rFonts w:ascii="Arial" w:hAnsi="Arial" w:cs="Arial"/>
                <w:b/>
                <w:sz w:val="22"/>
                <w:szCs w:val="22"/>
              </w:rPr>
            </w:pPr>
            <w:r w:rsidRPr="00384864">
              <w:rPr>
                <w:rFonts w:ascii="Arial" w:hAnsi="Arial" w:cs="Arial"/>
                <w:b/>
                <w:sz w:val="22"/>
                <w:szCs w:val="22"/>
              </w:rPr>
              <w:t>Total</w:t>
            </w:r>
          </w:p>
        </w:tc>
        <w:tc>
          <w:tcPr>
            <w:tcW w:w="1417" w:type="dxa"/>
            <w:tcBorders>
              <w:top w:val="single" w:sz="4" w:space="0" w:color="auto"/>
              <w:left w:val="single" w:sz="4" w:space="0" w:color="auto"/>
              <w:bottom w:val="single" w:sz="4" w:space="0" w:color="auto"/>
              <w:right w:val="single" w:sz="4" w:space="0" w:color="auto"/>
            </w:tcBorders>
          </w:tcPr>
          <w:p w14:paraId="71297E24" w14:textId="643FE270" w:rsidR="00D502B9" w:rsidRPr="00384864" w:rsidRDefault="00D502B9" w:rsidP="00D502B9">
            <w:pPr>
              <w:keepNext/>
              <w:jc w:val="right"/>
              <w:rPr>
                <w:rFonts w:ascii="Arial" w:hAnsi="Arial" w:cs="Arial"/>
                <w:b/>
                <w:sz w:val="22"/>
                <w:szCs w:val="22"/>
              </w:rPr>
            </w:pPr>
            <w:r>
              <w:rPr>
                <w:rFonts w:ascii="Arial" w:hAnsi="Arial" w:cs="Arial"/>
                <w:b/>
                <w:sz w:val="22"/>
                <w:szCs w:val="22"/>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CDEFDF" w14:textId="10F23B86" w:rsidR="00D502B9" w:rsidRPr="00384864" w:rsidRDefault="004351F8" w:rsidP="00D502B9">
            <w:pPr>
              <w:keepNext/>
              <w:jc w:val="right"/>
              <w:rPr>
                <w:rFonts w:ascii="Arial" w:hAnsi="Arial" w:cs="Arial"/>
                <w:b/>
                <w:sz w:val="22"/>
                <w:szCs w:val="22"/>
              </w:rPr>
            </w:pPr>
            <w:r>
              <w:rPr>
                <w:rFonts w:ascii="Arial" w:hAnsi="Arial" w:cs="Arial"/>
                <w:b/>
                <w:sz w:val="22"/>
                <w:szCs w:val="22"/>
              </w:rPr>
              <w:t>0.00</w:t>
            </w:r>
          </w:p>
        </w:tc>
        <w:tc>
          <w:tcPr>
            <w:tcW w:w="1417" w:type="dxa"/>
            <w:tcBorders>
              <w:top w:val="single" w:sz="4" w:space="0" w:color="auto"/>
              <w:left w:val="single" w:sz="4" w:space="0" w:color="auto"/>
              <w:bottom w:val="single" w:sz="4" w:space="0" w:color="auto"/>
              <w:right w:val="single" w:sz="4" w:space="0" w:color="auto"/>
            </w:tcBorders>
          </w:tcPr>
          <w:p w14:paraId="46665BC5" w14:textId="5B8FFF4C" w:rsidR="00D502B9" w:rsidRPr="00384864" w:rsidRDefault="00576B4F" w:rsidP="00D502B9">
            <w:pPr>
              <w:keepNext/>
              <w:jc w:val="right"/>
              <w:rPr>
                <w:rFonts w:ascii="Arial" w:hAnsi="Arial" w:cs="Arial"/>
                <w:b/>
                <w:sz w:val="22"/>
                <w:szCs w:val="22"/>
              </w:rPr>
            </w:pPr>
            <w:r>
              <w:rPr>
                <w:rFonts w:ascii="Arial" w:hAnsi="Arial" w:cs="Arial"/>
                <w:b/>
                <w:sz w:val="22"/>
                <w:szCs w:val="22"/>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CAF3CE" w14:textId="1C984AB8" w:rsidR="00D502B9" w:rsidRPr="00384864" w:rsidRDefault="00793A4C" w:rsidP="00D502B9">
            <w:pPr>
              <w:keepNext/>
              <w:jc w:val="right"/>
              <w:rPr>
                <w:rFonts w:ascii="Arial" w:hAnsi="Arial" w:cs="Arial"/>
                <w:b/>
                <w:sz w:val="22"/>
                <w:szCs w:val="22"/>
              </w:rPr>
            </w:pPr>
            <w:r>
              <w:rPr>
                <w:rFonts w:ascii="Arial" w:hAnsi="Arial" w:cs="Arial"/>
                <w:b/>
                <w:sz w:val="22"/>
                <w:szCs w:val="22"/>
              </w:rPr>
              <w:t>4.48</w:t>
            </w:r>
          </w:p>
        </w:tc>
        <w:tc>
          <w:tcPr>
            <w:tcW w:w="1421" w:type="dxa"/>
            <w:tcBorders>
              <w:top w:val="single" w:sz="4" w:space="0" w:color="auto"/>
              <w:left w:val="single" w:sz="4" w:space="0" w:color="auto"/>
              <w:bottom w:val="single" w:sz="4" w:space="0" w:color="auto"/>
              <w:right w:val="single" w:sz="4" w:space="0" w:color="auto"/>
            </w:tcBorders>
            <w:shd w:val="clear" w:color="auto" w:fill="auto"/>
            <w:vAlign w:val="center"/>
          </w:tcPr>
          <w:p w14:paraId="0FF7E0A8" w14:textId="56C396DD" w:rsidR="00D502B9" w:rsidRPr="00384864" w:rsidRDefault="00D502B9" w:rsidP="00D502B9">
            <w:pPr>
              <w:keepNext/>
              <w:jc w:val="right"/>
              <w:rPr>
                <w:rFonts w:ascii="Arial" w:hAnsi="Arial" w:cs="Arial"/>
                <w:b/>
                <w:sz w:val="22"/>
                <w:szCs w:val="22"/>
              </w:rPr>
            </w:pPr>
            <w:r w:rsidRPr="00384864">
              <w:rPr>
                <w:rFonts w:ascii="Arial" w:hAnsi="Arial" w:cs="Arial"/>
                <w:b/>
                <w:sz w:val="22"/>
                <w:szCs w:val="22"/>
              </w:rPr>
              <w:t>N/A</w:t>
            </w:r>
          </w:p>
        </w:tc>
      </w:tr>
      <w:tr w:rsidR="00D502B9" w:rsidRPr="00C64046" w14:paraId="28A5E7ED" w14:textId="77777777" w:rsidTr="00516B1F">
        <w:trPr>
          <w:cantSplit/>
          <w:trHeight w:val="283"/>
          <w:jc w:val="center"/>
        </w:trPr>
        <w:tc>
          <w:tcPr>
            <w:tcW w:w="3402" w:type="dxa"/>
            <w:tcBorders>
              <w:left w:val="single" w:sz="4" w:space="0" w:color="auto"/>
              <w:bottom w:val="single" w:sz="4" w:space="0" w:color="auto"/>
              <w:right w:val="single" w:sz="4" w:space="0" w:color="auto"/>
            </w:tcBorders>
            <w:shd w:val="clear" w:color="auto" w:fill="auto"/>
            <w:noWrap/>
            <w:vAlign w:val="center"/>
          </w:tcPr>
          <w:p w14:paraId="4482C5F9" w14:textId="45589394" w:rsidR="00D502B9" w:rsidRPr="00384864" w:rsidRDefault="00D502B9" w:rsidP="00D502B9">
            <w:pPr>
              <w:keepNext/>
              <w:rPr>
                <w:rFonts w:ascii="Arial" w:hAnsi="Arial" w:cs="Arial"/>
                <w:b/>
                <w:sz w:val="22"/>
                <w:szCs w:val="22"/>
              </w:rPr>
            </w:pPr>
            <w:r w:rsidRPr="00384864">
              <w:rPr>
                <w:rFonts w:ascii="Arial" w:hAnsi="Arial" w:cs="Arial"/>
                <w:b/>
                <w:sz w:val="22"/>
                <w:szCs w:val="22"/>
              </w:rPr>
              <w:t>Total investments</w:t>
            </w:r>
          </w:p>
        </w:tc>
        <w:tc>
          <w:tcPr>
            <w:tcW w:w="1417" w:type="dxa"/>
            <w:tcBorders>
              <w:left w:val="single" w:sz="4" w:space="0" w:color="auto"/>
              <w:bottom w:val="single" w:sz="4" w:space="0" w:color="auto"/>
              <w:right w:val="single" w:sz="4" w:space="0" w:color="auto"/>
            </w:tcBorders>
          </w:tcPr>
          <w:p w14:paraId="46664E02" w14:textId="5DECBF6C" w:rsidR="00D502B9" w:rsidRPr="00384864" w:rsidRDefault="00D502B9" w:rsidP="00D502B9">
            <w:pPr>
              <w:keepNext/>
              <w:jc w:val="right"/>
              <w:rPr>
                <w:rFonts w:ascii="Arial" w:hAnsi="Arial" w:cs="Arial"/>
                <w:b/>
                <w:sz w:val="22"/>
                <w:szCs w:val="22"/>
              </w:rPr>
            </w:pPr>
            <w:r>
              <w:rPr>
                <w:rFonts w:ascii="Arial" w:hAnsi="Arial" w:cs="Arial"/>
                <w:b/>
                <w:sz w:val="22"/>
                <w:szCs w:val="22"/>
              </w:rPr>
              <w:t>106.91</w:t>
            </w:r>
          </w:p>
        </w:tc>
        <w:tc>
          <w:tcPr>
            <w:tcW w:w="1417" w:type="dxa"/>
            <w:tcBorders>
              <w:left w:val="single" w:sz="4" w:space="0" w:color="auto"/>
              <w:bottom w:val="single" w:sz="4" w:space="0" w:color="auto"/>
              <w:right w:val="single" w:sz="4" w:space="0" w:color="auto"/>
            </w:tcBorders>
            <w:shd w:val="clear" w:color="auto" w:fill="auto"/>
            <w:vAlign w:val="center"/>
          </w:tcPr>
          <w:p w14:paraId="3DAE5B2C" w14:textId="04D220C8" w:rsidR="00D502B9" w:rsidRPr="00384864" w:rsidRDefault="004351F8" w:rsidP="00D502B9">
            <w:pPr>
              <w:keepNext/>
              <w:jc w:val="right"/>
              <w:rPr>
                <w:rFonts w:ascii="Arial" w:hAnsi="Arial" w:cs="Arial"/>
                <w:b/>
                <w:sz w:val="22"/>
                <w:szCs w:val="22"/>
              </w:rPr>
            </w:pPr>
            <w:r>
              <w:rPr>
                <w:rFonts w:ascii="Arial" w:hAnsi="Arial" w:cs="Arial"/>
                <w:b/>
                <w:sz w:val="22"/>
                <w:szCs w:val="22"/>
              </w:rPr>
              <w:t>(23.17)</w:t>
            </w:r>
          </w:p>
        </w:tc>
        <w:tc>
          <w:tcPr>
            <w:tcW w:w="1417" w:type="dxa"/>
            <w:tcBorders>
              <w:left w:val="single" w:sz="4" w:space="0" w:color="auto"/>
              <w:bottom w:val="single" w:sz="4" w:space="0" w:color="auto"/>
              <w:right w:val="single" w:sz="4" w:space="0" w:color="auto"/>
            </w:tcBorders>
          </w:tcPr>
          <w:p w14:paraId="0A7D434A" w14:textId="24C952F4" w:rsidR="00D502B9" w:rsidRPr="00384864" w:rsidRDefault="00576B4F" w:rsidP="00D502B9">
            <w:pPr>
              <w:keepNext/>
              <w:jc w:val="right"/>
              <w:rPr>
                <w:rFonts w:ascii="Arial" w:hAnsi="Arial" w:cs="Arial"/>
                <w:b/>
                <w:sz w:val="22"/>
                <w:szCs w:val="22"/>
              </w:rPr>
            </w:pPr>
            <w:r>
              <w:rPr>
                <w:rFonts w:ascii="Arial" w:hAnsi="Arial" w:cs="Arial"/>
                <w:b/>
                <w:sz w:val="22"/>
                <w:szCs w:val="22"/>
              </w:rPr>
              <w:t>83.74</w:t>
            </w:r>
          </w:p>
        </w:tc>
        <w:tc>
          <w:tcPr>
            <w:tcW w:w="1417" w:type="dxa"/>
            <w:tcBorders>
              <w:left w:val="single" w:sz="4" w:space="0" w:color="auto"/>
              <w:bottom w:val="single" w:sz="4" w:space="0" w:color="auto"/>
              <w:right w:val="single" w:sz="4" w:space="0" w:color="auto"/>
            </w:tcBorders>
            <w:shd w:val="clear" w:color="auto" w:fill="auto"/>
            <w:vAlign w:val="center"/>
          </w:tcPr>
          <w:p w14:paraId="6019D031" w14:textId="4C7249DD" w:rsidR="00D502B9" w:rsidRPr="00384864" w:rsidRDefault="00793A4C" w:rsidP="00D502B9">
            <w:pPr>
              <w:keepNext/>
              <w:jc w:val="right"/>
              <w:rPr>
                <w:rFonts w:ascii="Arial" w:hAnsi="Arial" w:cs="Arial"/>
                <w:b/>
                <w:sz w:val="22"/>
                <w:szCs w:val="22"/>
              </w:rPr>
            </w:pPr>
            <w:r>
              <w:rPr>
                <w:rFonts w:ascii="Arial" w:hAnsi="Arial" w:cs="Arial"/>
                <w:b/>
                <w:sz w:val="22"/>
                <w:szCs w:val="22"/>
              </w:rPr>
              <w:t>4.50</w:t>
            </w:r>
          </w:p>
        </w:tc>
        <w:tc>
          <w:tcPr>
            <w:tcW w:w="1421" w:type="dxa"/>
            <w:tcBorders>
              <w:left w:val="single" w:sz="4" w:space="0" w:color="auto"/>
              <w:bottom w:val="single" w:sz="4" w:space="0" w:color="auto"/>
              <w:right w:val="single" w:sz="4" w:space="0" w:color="auto"/>
            </w:tcBorders>
            <w:shd w:val="clear" w:color="auto" w:fill="auto"/>
            <w:vAlign w:val="center"/>
          </w:tcPr>
          <w:p w14:paraId="5954E36E" w14:textId="3F90535D" w:rsidR="00D502B9" w:rsidRPr="00C64046" w:rsidRDefault="00793A4C" w:rsidP="00D502B9">
            <w:pPr>
              <w:keepNext/>
              <w:jc w:val="right"/>
              <w:rPr>
                <w:rFonts w:ascii="Arial" w:hAnsi="Arial" w:cs="Arial"/>
                <w:b/>
                <w:sz w:val="22"/>
                <w:szCs w:val="22"/>
              </w:rPr>
            </w:pPr>
            <w:r>
              <w:rPr>
                <w:rFonts w:ascii="Arial" w:hAnsi="Arial" w:cs="Arial"/>
                <w:b/>
                <w:sz w:val="22"/>
                <w:szCs w:val="22"/>
              </w:rPr>
              <w:t>0.60</w:t>
            </w:r>
          </w:p>
        </w:tc>
      </w:tr>
    </w:tbl>
    <w:p w14:paraId="65BA6F40" w14:textId="1BC94190" w:rsidR="00DE6341" w:rsidRPr="0075025D" w:rsidRDefault="00DE6341" w:rsidP="00DE6341">
      <w:pPr>
        <w:pStyle w:val="ListParagraph"/>
        <w:spacing w:after="240"/>
        <w:rPr>
          <w:rFonts w:ascii="Arial" w:hAnsi="Arial" w:cs="Arial"/>
          <w:sz w:val="20"/>
          <w:szCs w:val="20"/>
        </w:rPr>
      </w:pPr>
      <w:r w:rsidRPr="0075025D">
        <w:rPr>
          <w:rFonts w:ascii="Arial" w:hAnsi="Arial" w:cs="Arial"/>
          <w:sz w:val="20"/>
          <w:szCs w:val="20"/>
        </w:rPr>
        <w:t xml:space="preserve">* The rates provided for pooled fund investments are reflective of </w:t>
      </w:r>
      <w:r w:rsidR="00136AB8" w:rsidRPr="0075025D">
        <w:rPr>
          <w:rFonts w:ascii="Arial" w:hAnsi="Arial" w:cs="Arial"/>
          <w:sz w:val="20"/>
          <w:szCs w:val="20"/>
        </w:rPr>
        <w:t>annualised income</w:t>
      </w:r>
      <w:r w:rsidR="00B57A7B" w:rsidRPr="0075025D">
        <w:rPr>
          <w:rFonts w:ascii="Arial" w:hAnsi="Arial" w:cs="Arial"/>
          <w:sz w:val="20"/>
          <w:szCs w:val="20"/>
        </w:rPr>
        <w:t xml:space="preserve"> returns</w:t>
      </w:r>
      <w:r w:rsidR="00515E42" w:rsidRPr="0075025D">
        <w:rPr>
          <w:rFonts w:ascii="Arial" w:hAnsi="Arial" w:cs="Arial"/>
          <w:sz w:val="20"/>
          <w:szCs w:val="20"/>
        </w:rPr>
        <w:t xml:space="preserve"> </w:t>
      </w:r>
      <w:r w:rsidR="00A33177" w:rsidRPr="0075025D">
        <w:rPr>
          <w:rFonts w:ascii="Arial" w:hAnsi="Arial" w:cs="Arial"/>
          <w:sz w:val="20"/>
          <w:szCs w:val="20"/>
        </w:rPr>
        <w:t>based on the market value of investments at the start of the year</w:t>
      </w:r>
      <w:r w:rsidRPr="0075025D">
        <w:rPr>
          <w:rFonts w:ascii="Arial" w:hAnsi="Arial" w:cs="Arial"/>
          <w:sz w:val="20"/>
          <w:szCs w:val="20"/>
        </w:rPr>
        <w:t>.</w:t>
      </w:r>
    </w:p>
    <w:p w14:paraId="3C4ACD15" w14:textId="26731D06" w:rsidR="00DE6341" w:rsidRPr="0075025D" w:rsidRDefault="00DE6341" w:rsidP="00DE6341">
      <w:pPr>
        <w:pStyle w:val="ListParagraph"/>
        <w:spacing w:after="240"/>
        <w:rPr>
          <w:rFonts w:ascii="Arial" w:hAnsi="Arial" w:cs="Arial"/>
          <w:sz w:val="20"/>
          <w:szCs w:val="20"/>
        </w:rPr>
      </w:pPr>
      <w:r w:rsidRPr="0075025D">
        <w:rPr>
          <w:rFonts w:ascii="Arial" w:hAnsi="Arial" w:cs="Arial"/>
          <w:sz w:val="20"/>
          <w:szCs w:val="20"/>
        </w:rPr>
        <w:t xml:space="preserve">Note: </w:t>
      </w:r>
      <w:proofErr w:type="gramStart"/>
      <w:r w:rsidRPr="0075025D">
        <w:rPr>
          <w:rFonts w:ascii="Arial" w:hAnsi="Arial" w:cs="Arial"/>
          <w:sz w:val="20"/>
          <w:szCs w:val="20"/>
        </w:rPr>
        <w:t>the</w:t>
      </w:r>
      <w:proofErr w:type="gramEnd"/>
      <w:r w:rsidR="00D8028C" w:rsidRPr="00D8028C">
        <w:rPr>
          <w:rFonts w:ascii="Arial" w:hAnsi="Arial" w:cs="Arial"/>
          <w:sz w:val="20"/>
          <w:szCs w:val="20"/>
        </w:rPr>
        <w:t xml:space="preserve"> 31 March</w:t>
      </w:r>
      <w:r w:rsidRPr="0075025D">
        <w:rPr>
          <w:rFonts w:ascii="Arial" w:hAnsi="Arial" w:cs="Arial"/>
          <w:sz w:val="20"/>
          <w:szCs w:val="20"/>
        </w:rPr>
        <w:t xml:space="preserve"> figures</w:t>
      </w:r>
      <w:r w:rsidR="00E572BE" w:rsidRPr="0075025D">
        <w:rPr>
          <w:rFonts w:ascii="Arial" w:hAnsi="Arial" w:cs="Arial"/>
          <w:sz w:val="20"/>
          <w:szCs w:val="20"/>
        </w:rPr>
        <w:t xml:space="preserve"> in</w:t>
      </w:r>
      <w:r w:rsidRPr="0075025D">
        <w:rPr>
          <w:rFonts w:ascii="Arial" w:hAnsi="Arial" w:cs="Arial"/>
          <w:sz w:val="20"/>
          <w:szCs w:val="20"/>
        </w:rPr>
        <w:t xml:space="preserve"> </w:t>
      </w:r>
      <w:r w:rsidR="00060720" w:rsidRPr="0075025D">
        <w:rPr>
          <w:rFonts w:ascii="Arial" w:hAnsi="Arial" w:cs="Arial"/>
          <w:sz w:val="20"/>
          <w:szCs w:val="20"/>
        </w:rPr>
        <w:t>T</w:t>
      </w:r>
      <w:r w:rsidRPr="0075025D">
        <w:rPr>
          <w:rFonts w:ascii="Arial" w:hAnsi="Arial" w:cs="Arial"/>
          <w:sz w:val="20"/>
          <w:szCs w:val="20"/>
        </w:rPr>
        <w:t xml:space="preserve">able </w:t>
      </w:r>
      <w:r w:rsidR="00060720" w:rsidRPr="0075025D">
        <w:rPr>
          <w:rFonts w:ascii="Arial" w:hAnsi="Arial" w:cs="Arial"/>
          <w:sz w:val="20"/>
          <w:szCs w:val="20"/>
        </w:rPr>
        <w:t>4</w:t>
      </w:r>
      <w:r w:rsidRPr="0075025D">
        <w:rPr>
          <w:rFonts w:ascii="Arial" w:hAnsi="Arial" w:cs="Arial"/>
          <w:sz w:val="20"/>
          <w:szCs w:val="20"/>
        </w:rPr>
        <w:t xml:space="preserve"> are from the balance sheet in the PCC’s accounts, but adjusted to exclude operational cash, accrued interest and other accounting adjustments.</w:t>
      </w:r>
    </w:p>
    <w:p w14:paraId="249BE56D" w14:textId="183BDE48" w:rsidR="00ED0957" w:rsidRPr="003C0779" w:rsidRDefault="00DA7460" w:rsidP="003C3808">
      <w:pPr>
        <w:pStyle w:val="ListParagraph"/>
        <w:numPr>
          <w:ilvl w:val="1"/>
          <w:numId w:val="2"/>
        </w:numPr>
        <w:spacing w:after="240"/>
        <w:ind w:left="720" w:hanging="720"/>
        <w:rPr>
          <w:rFonts w:ascii="Arial" w:hAnsi="Arial" w:cs="Arial"/>
        </w:rPr>
      </w:pPr>
      <w:r>
        <w:rPr>
          <w:rFonts w:ascii="Arial" w:hAnsi="Arial" w:cs="Arial"/>
        </w:rPr>
        <w:t xml:space="preserve">The drop in investment balances since the year end can primarily be attributed to the </w:t>
      </w:r>
      <w:r w:rsidR="009451C3" w:rsidRPr="003C0779">
        <w:rPr>
          <w:rFonts w:ascii="Arial" w:hAnsi="Arial" w:cs="Arial"/>
        </w:rPr>
        <w:t xml:space="preserve">payment of </w:t>
      </w:r>
      <w:r w:rsidR="00607869" w:rsidRPr="003C0779">
        <w:rPr>
          <w:rFonts w:ascii="Arial" w:hAnsi="Arial" w:cs="Arial"/>
        </w:rPr>
        <w:t>£</w:t>
      </w:r>
      <w:r w:rsidR="00184283" w:rsidRPr="003C0779">
        <w:rPr>
          <w:rFonts w:ascii="Arial" w:hAnsi="Arial" w:cs="Arial"/>
        </w:rPr>
        <w:t>39.5</w:t>
      </w:r>
      <w:r w:rsidR="00956985">
        <w:rPr>
          <w:rFonts w:ascii="Arial" w:hAnsi="Arial" w:cs="Arial"/>
        </w:rPr>
        <w:t>0</w:t>
      </w:r>
      <w:r w:rsidR="00184283" w:rsidRPr="003C0779">
        <w:rPr>
          <w:rFonts w:ascii="Arial" w:hAnsi="Arial" w:cs="Arial"/>
        </w:rPr>
        <w:t xml:space="preserve">m </w:t>
      </w:r>
      <w:r w:rsidR="00384F07">
        <w:rPr>
          <w:rFonts w:ascii="Arial" w:hAnsi="Arial" w:cs="Arial"/>
        </w:rPr>
        <w:t>on 1</w:t>
      </w:r>
      <w:r w:rsidR="00384F07" w:rsidRPr="00384F07">
        <w:rPr>
          <w:rFonts w:ascii="Arial" w:hAnsi="Arial" w:cs="Arial"/>
          <w:vertAlign w:val="superscript"/>
        </w:rPr>
        <w:t>st</w:t>
      </w:r>
      <w:r w:rsidR="00384F07">
        <w:rPr>
          <w:rFonts w:ascii="Arial" w:hAnsi="Arial" w:cs="Arial"/>
        </w:rPr>
        <w:t xml:space="preserve"> April </w:t>
      </w:r>
      <w:r w:rsidR="00184283" w:rsidRPr="003C0779">
        <w:rPr>
          <w:rFonts w:ascii="Arial" w:hAnsi="Arial" w:cs="Arial"/>
        </w:rPr>
        <w:t xml:space="preserve">to </w:t>
      </w:r>
      <w:r w:rsidR="00B31182">
        <w:rPr>
          <w:rFonts w:ascii="Arial" w:hAnsi="Arial" w:cs="Arial"/>
        </w:rPr>
        <w:t>pre-</w:t>
      </w:r>
      <w:r w:rsidR="00184283" w:rsidRPr="003C0779">
        <w:rPr>
          <w:rFonts w:ascii="Arial" w:hAnsi="Arial" w:cs="Arial"/>
        </w:rPr>
        <w:t xml:space="preserve">pay </w:t>
      </w:r>
      <w:r w:rsidR="00516B1F">
        <w:rPr>
          <w:rFonts w:ascii="Arial" w:hAnsi="Arial" w:cs="Arial"/>
        </w:rPr>
        <w:t>three</w:t>
      </w:r>
      <w:r w:rsidR="00184283" w:rsidRPr="003C0779">
        <w:rPr>
          <w:rFonts w:ascii="Arial" w:hAnsi="Arial" w:cs="Arial"/>
        </w:rPr>
        <w:t xml:space="preserve"> years of employer pension contributions </w:t>
      </w:r>
      <w:r w:rsidR="00756852" w:rsidRPr="003C0779">
        <w:rPr>
          <w:rFonts w:ascii="Arial" w:hAnsi="Arial" w:cs="Arial"/>
        </w:rPr>
        <w:t xml:space="preserve">in advance. </w:t>
      </w:r>
      <w:r w:rsidR="008A0012" w:rsidRPr="003C0779">
        <w:rPr>
          <w:rFonts w:ascii="Arial" w:hAnsi="Arial" w:cs="Arial"/>
        </w:rPr>
        <w:t>By making this payment in advance</w:t>
      </w:r>
      <w:r w:rsidR="00283119" w:rsidRPr="003C0779">
        <w:rPr>
          <w:rFonts w:ascii="Arial" w:hAnsi="Arial" w:cs="Arial"/>
        </w:rPr>
        <w:t xml:space="preserve"> the PCC </w:t>
      </w:r>
      <w:r w:rsidR="004D0929" w:rsidRPr="003C0779">
        <w:rPr>
          <w:rFonts w:ascii="Arial" w:hAnsi="Arial" w:cs="Arial"/>
        </w:rPr>
        <w:t>has received</w:t>
      </w:r>
      <w:r w:rsidR="00051F56" w:rsidRPr="003C0779">
        <w:rPr>
          <w:rFonts w:ascii="Arial" w:hAnsi="Arial" w:cs="Arial"/>
        </w:rPr>
        <w:t xml:space="preserve"> a discount of 4.4%pa, </w:t>
      </w:r>
      <w:r w:rsidR="00C57DF3">
        <w:rPr>
          <w:rFonts w:ascii="Arial" w:hAnsi="Arial" w:cs="Arial"/>
        </w:rPr>
        <w:t xml:space="preserve">which will deliver a saving/an effective return </w:t>
      </w:r>
      <w:r w:rsidR="00051F56" w:rsidRPr="003C0779">
        <w:rPr>
          <w:rFonts w:ascii="Arial" w:hAnsi="Arial" w:cs="Arial"/>
        </w:rPr>
        <w:t xml:space="preserve">estimated at </w:t>
      </w:r>
      <w:r w:rsidR="00D20348" w:rsidRPr="003C0779">
        <w:rPr>
          <w:rFonts w:ascii="Arial" w:hAnsi="Arial" w:cs="Arial"/>
        </w:rPr>
        <w:t>£2.6</w:t>
      </w:r>
      <w:r w:rsidR="00956985">
        <w:rPr>
          <w:rFonts w:ascii="Arial" w:hAnsi="Arial" w:cs="Arial"/>
        </w:rPr>
        <w:t>0</w:t>
      </w:r>
      <w:r w:rsidR="00D20348" w:rsidRPr="003C0779">
        <w:rPr>
          <w:rFonts w:ascii="Arial" w:hAnsi="Arial" w:cs="Arial"/>
        </w:rPr>
        <w:t>m over 3 years</w:t>
      </w:r>
      <w:r w:rsidR="00FD72F7" w:rsidRPr="003C0779">
        <w:rPr>
          <w:rFonts w:ascii="Arial" w:hAnsi="Arial" w:cs="Arial"/>
        </w:rPr>
        <w:t>.</w:t>
      </w:r>
    </w:p>
    <w:p w14:paraId="1CAA6883" w14:textId="1E638EC1" w:rsidR="00155FC6" w:rsidRPr="00821BEC" w:rsidRDefault="00FA1B13" w:rsidP="003C3808">
      <w:pPr>
        <w:pStyle w:val="ListParagraph"/>
        <w:numPr>
          <w:ilvl w:val="1"/>
          <w:numId w:val="2"/>
        </w:numPr>
        <w:spacing w:after="240"/>
        <w:ind w:left="720" w:hanging="720"/>
        <w:rPr>
          <w:rFonts w:ascii="Arial" w:hAnsi="Arial" w:cs="Arial"/>
        </w:rPr>
      </w:pPr>
      <w:r w:rsidRPr="00821BEC">
        <w:rPr>
          <w:rFonts w:ascii="Arial" w:hAnsi="Arial" w:cs="Arial"/>
        </w:rPr>
        <w:t xml:space="preserve">The CIPFA Code and government guidance both require the PCC to invest its funds prudently, and to have regard to the security and liquidity of its investments before seeking the </w:t>
      </w:r>
      <w:r w:rsidR="00DA2BA6">
        <w:rPr>
          <w:rFonts w:ascii="Arial" w:hAnsi="Arial" w:cs="Arial"/>
        </w:rPr>
        <w:t>optimum</w:t>
      </w:r>
      <w:r w:rsidRPr="00821BEC">
        <w:rPr>
          <w:rFonts w:ascii="Arial" w:hAnsi="Arial" w:cs="Arial"/>
        </w:rPr>
        <w:t xml:space="preserve"> rate of return, or yield.  The PCC’s objective when investing money is therefore to strike an appropriate balance </w:t>
      </w:r>
      <w:r w:rsidRPr="00821BEC">
        <w:rPr>
          <w:rFonts w:ascii="Arial" w:hAnsi="Arial" w:cs="Arial"/>
        </w:rPr>
        <w:lastRenderedPageBreak/>
        <w:t>between risk and return, minimising the risk of incurring losses from defaults a</w:t>
      </w:r>
      <w:r w:rsidR="00370A7F" w:rsidRPr="00821BEC">
        <w:rPr>
          <w:rFonts w:ascii="Arial" w:hAnsi="Arial" w:cs="Arial"/>
        </w:rPr>
        <w:t>longside</w:t>
      </w:r>
      <w:r w:rsidRPr="00821BEC">
        <w:rPr>
          <w:rFonts w:ascii="Arial" w:hAnsi="Arial" w:cs="Arial"/>
        </w:rPr>
        <w:t xml:space="preserve"> the risk of receiving unsuitably low investment income</w:t>
      </w:r>
      <w:r w:rsidR="00BF117E" w:rsidRPr="00821BEC">
        <w:rPr>
          <w:rFonts w:ascii="Arial" w:hAnsi="Arial" w:cs="Arial"/>
        </w:rPr>
        <w:t>.</w:t>
      </w:r>
      <w:r w:rsidR="00370A7F" w:rsidRPr="00821BEC">
        <w:rPr>
          <w:rFonts w:ascii="Arial" w:hAnsi="Arial" w:cs="Arial"/>
        </w:rPr>
        <w:t xml:space="preserve">  The PCC’s Treasury Management Strategy Statement (TMSS) </w:t>
      </w:r>
      <w:r w:rsidR="007B7754" w:rsidRPr="00821BEC">
        <w:rPr>
          <w:rFonts w:ascii="Arial" w:hAnsi="Arial" w:cs="Arial"/>
        </w:rPr>
        <w:t>sets out how it will manage and mitigate these risks.</w:t>
      </w:r>
    </w:p>
    <w:p w14:paraId="507820D0" w14:textId="30FE4257" w:rsidR="00DE6341" w:rsidRPr="000E3EEB" w:rsidRDefault="00323561" w:rsidP="003C3808">
      <w:pPr>
        <w:pStyle w:val="ListParagraph"/>
        <w:numPr>
          <w:ilvl w:val="1"/>
          <w:numId w:val="2"/>
        </w:numPr>
        <w:spacing w:after="240"/>
        <w:ind w:left="720" w:hanging="720"/>
        <w:rPr>
          <w:rFonts w:ascii="Arial" w:hAnsi="Arial" w:cs="Arial"/>
        </w:rPr>
      </w:pPr>
      <w:r w:rsidRPr="00323561">
        <w:rPr>
          <w:rFonts w:ascii="Arial" w:hAnsi="Arial" w:cs="Arial"/>
        </w:rPr>
        <w:t>As demonstrated by the liability benchmark in this report, the Authority expects to be a long-term investor and treasury investments therefore include both short-term low risk instruments to manage day-to-day cash flows and longer-term instruments where limited additional risk is accepted in return for higher investment income to support local public services</w:t>
      </w:r>
      <w:r w:rsidR="00ED0190" w:rsidRPr="000E3EEB">
        <w:rPr>
          <w:rFonts w:ascii="Arial" w:hAnsi="Arial" w:cs="Arial"/>
        </w:rPr>
        <w:t xml:space="preserve">. </w:t>
      </w:r>
    </w:p>
    <w:p w14:paraId="486E6B11" w14:textId="4A4B8A9A" w:rsidR="00DE6341" w:rsidRPr="004D6C28" w:rsidRDefault="00E561CC" w:rsidP="003C3808">
      <w:pPr>
        <w:pStyle w:val="ListParagraph"/>
        <w:numPr>
          <w:ilvl w:val="1"/>
          <w:numId w:val="2"/>
        </w:numPr>
        <w:spacing w:after="240"/>
        <w:ind w:left="720" w:hanging="720"/>
        <w:rPr>
          <w:rFonts w:ascii="Arial" w:hAnsi="Arial" w:cs="Arial"/>
        </w:rPr>
      </w:pPr>
      <w:r w:rsidRPr="00E561CC">
        <w:rPr>
          <w:rFonts w:ascii="Arial" w:hAnsi="Arial" w:cs="Arial"/>
        </w:rPr>
        <w:t xml:space="preserve">The progression of risk and return metrics are shown in the extracts from </w:t>
      </w:r>
      <w:proofErr w:type="spellStart"/>
      <w:r w:rsidRPr="00E561CC">
        <w:rPr>
          <w:rFonts w:ascii="Arial" w:hAnsi="Arial" w:cs="Arial"/>
        </w:rPr>
        <w:t>Arlingclose’s</w:t>
      </w:r>
      <w:proofErr w:type="spellEnd"/>
      <w:r w:rsidRPr="00E561CC">
        <w:rPr>
          <w:rFonts w:ascii="Arial" w:hAnsi="Arial" w:cs="Arial"/>
        </w:rPr>
        <w:t xml:space="preserve"> quarterly investment benchmarking in Table 5 below.</w:t>
      </w:r>
      <w:r w:rsidR="008B1542">
        <w:rPr>
          <w:rFonts w:ascii="Arial" w:hAnsi="Arial" w:cs="Arial"/>
        </w:rPr>
        <w:t xml:space="preserve"> The table shows that</w:t>
      </w:r>
      <w:r w:rsidR="003C7935">
        <w:rPr>
          <w:rFonts w:ascii="Arial" w:hAnsi="Arial" w:cs="Arial"/>
        </w:rPr>
        <w:t xml:space="preserve"> the PCC is ear</w:t>
      </w:r>
      <w:r w:rsidR="003D6570">
        <w:rPr>
          <w:rFonts w:ascii="Arial" w:hAnsi="Arial" w:cs="Arial"/>
        </w:rPr>
        <w:t xml:space="preserve">ning a higher rate than other authorities </w:t>
      </w:r>
      <w:r w:rsidR="001C3AD1">
        <w:rPr>
          <w:rFonts w:ascii="Arial" w:hAnsi="Arial" w:cs="Arial"/>
        </w:rPr>
        <w:t xml:space="preserve">advised by Arlingclose </w:t>
      </w:r>
      <w:r w:rsidR="003D6570">
        <w:rPr>
          <w:rFonts w:ascii="Arial" w:hAnsi="Arial" w:cs="Arial"/>
        </w:rPr>
        <w:t>while incurring less risk.</w:t>
      </w:r>
    </w:p>
    <w:tbl>
      <w:tblPr>
        <w:tblW w:w="847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1417"/>
        <w:gridCol w:w="1417"/>
        <w:gridCol w:w="1417"/>
      </w:tblGrid>
      <w:tr w:rsidR="003F25FC" w:rsidRPr="00DB57E5" w14:paraId="1E4A18BD" w14:textId="77777777" w:rsidTr="0096701F">
        <w:tc>
          <w:tcPr>
            <w:tcW w:w="2802" w:type="dxa"/>
            <w:tcBorders>
              <w:top w:val="single" w:sz="4" w:space="0" w:color="auto"/>
              <w:bottom w:val="single" w:sz="4" w:space="0" w:color="auto"/>
            </w:tcBorders>
            <w:shd w:val="clear" w:color="auto" w:fill="auto"/>
          </w:tcPr>
          <w:p w14:paraId="4E294602" w14:textId="279149AB" w:rsidR="003F25FC" w:rsidRPr="00DB57E5" w:rsidRDefault="00C64A60" w:rsidP="00977206">
            <w:pPr>
              <w:pStyle w:val="ListParagraph"/>
              <w:keepNext/>
              <w:keepLines/>
              <w:ind w:left="0"/>
              <w:rPr>
                <w:rFonts w:ascii="Arial" w:hAnsi="Arial" w:cs="Arial"/>
                <w:b/>
                <w:bCs/>
              </w:rPr>
            </w:pPr>
            <w:r w:rsidRPr="00DB57E5">
              <w:rPr>
                <w:rFonts w:ascii="Arial" w:hAnsi="Arial" w:cs="Arial"/>
                <w:b/>
                <w:bCs/>
              </w:rPr>
              <w:t>Table 5: Investment benchmarking (</w:t>
            </w:r>
            <w:r w:rsidR="00153E59" w:rsidRPr="00DB57E5">
              <w:rPr>
                <w:rFonts w:ascii="Arial" w:hAnsi="Arial" w:cs="Arial"/>
                <w:b/>
                <w:bCs/>
              </w:rPr>
              <w:t>excluding pooled funds</w:t>
            </w:r>
            <w:r w:rsidRPr="00DB57E5">
              <w:rPr>
                <w:rFonts w:ascii="Arial" w:hAnsi="Arial" w:cs="Arial"/>
                <w:b/>
                <w:bCs/>
              </w:rPr>
              <w:t>)</w:t>
            </w:r>
          </w:p>
        </w:tc>
        <w:tc>
          <w:tcPr>
            <w:tcW w:w="1417" w:type="dxa"/>
            <w:tcBorders>
              <w:top w:val="single" w:sz="4" w:space="0" w:color="auto"/>
              <w:bottom w:val="single" w:sz="4" w:space="0" w:color="auto"/>
            </w:tcBorders>
            <w:shd w:val="clear" w:color="auto" w:fill="auto"/>
          </w:tcPr>
          <w:p w14:paraId="206F8DD3" w14:textId="739498A7" w:rsidR="003F25FC" w:rsidRPr="00DB57E5" w:rsidRDefault="003F25FC" w:rsidP="00153E59">
            <w:pPr>
              <w:pStyle w:val="ListParagraph"/>
              <w:keepNext/>
              <w:keepLines/>
              <w:ind w:left="0"/>
              <w:jc w:val="center"/>
              <w:rPr>
                <w:rFonts w:ascii="Arial" w:hAnsi="Arial" w:cs="Arial"/>
                <w:b/>
                <w:bCs/>
              </w:rPr>
            </w:pPr>
            <w:r w:rsidRPr="00DB57E5">
              <w:rPr>
                <w:rFonts w:ascii="Arial" w:hAnsi="Arial" w:cs="Arial"/>
                <w:b/>
                <w:bCs/>
              </w:rPr>
              <w:t xml:space="preserve">Credit </w:t>
            </w:r>
            <w:r w:rsidR="00153E59" w:rsidRPr="00DB57E5">
              <w:rPr>
                <w:rFonts w:ascii="Arial" w:hAnsi="Arial" w:cs="Arial"/>
                <w:b/>
                <w:bCs/>
              </w:rPr>
              <w:t>r</w:t>
            </w:r>
            <w:r w:rsidRPr="00DB57E5">
              <w:rPr>
                <w:rFonts w:ascii="Arial" w:hAnsi="Arial" w:cs="Arial"/>
                <w:b/>
                <w:bCs/>
              </w:rPr>
              <w:t>ating</w:t>
            </w:r>
          </w:p>
        </w:tc>
        <w:tc>
          <w:tcPr>
            <w:tcW w:w="1417" w:type="dxa"/>
            <w:tcBorders>
              <w:top w:val="single" w:sz="4" w:space="0" w:color="auto"/>
              <w:bottom w:val="single" w:sz="4" w:space="0" w:color="auto"/>
            </w:tcBorders>
            <w:shd w:val="clear" w:color="auto" w:fill="auto"/>
          </w:tcPr>
          <w:p w14:paraId="72A09BFC" w14:textId="7641DFB9" w:rsidR="003F25FC" w:rsidRPr="00DB57E5" w:rsidRDefault="003F25FC" w:rsidP="00153E59">
            <w:pPr>
              <w:pStyle w:val="ListParagraph"/>
              <w:keepNext/>
              <w:keepLines/>
              <w:ind w:left="0"/>
              <w:jc w:val="center"/>
              <w:rPr>
                <w:rFonts w:ascii="Arial" w:hAnsi="Arial" w:cs="Arial"/>
                <w:b/>
                <w:bCs/>
              </w:rPr>
            </w:pPr>
            <w:r w:rsidRPr="00DB57E5">
              <w:rPr>
                <w:rFonts w:ascii="Arial" w:hAnsi="Arial" w:cs="Arial"/>
                <w:b/>
                <w:bCs/>
              </w:rPr>
              <w:t xml:space="preserve">Bail-in </w:t>
            </w:r>
            <w:r w:rsidR="00153E59" w:rsidRPr="00DB57E5">
              <w:rPr>
                <w:rFonts w:ascii="Arial" w:hAnsi="Arial" w:cs="Arial"/>
                <w:b/>
                <w:bCs/>
              </w:rPr>
              <w:t>e</w:t>
            </w:r>
            <w:r w:rsidRPr="00DB57E5">
              <w:rPr>
                <w:rFonts w:ascii="Arial" w:hAnsi="Arial" w:cs="Arial"/>
                <w:b/>
                <w:bCs/>
              </w:rPr>
              <w:t>xposure</w:t>
            </w:r>
          </w:p>
        </w:tc>
        <w:tc>
          <w:tcPr>
            <w:tcW w:w="1417" w:type="dxa"/>
            <w:tcBorders>
              <w:top w:val="single" w:sz="4" w:space="0" w:color="auto"/>
              <w:bottom w:val="single" w:sz="4" w:space="0" w:color="auto"/>
            </w:tcBorders>
            <w:shd w:val="clear" w:color="auto" w:fill="auto"/>
          </w:tcPr>
          <w:p w14:paraId="168D0591" w14:textId="159480AD" w:rsidR="003F25FC" w:rsidRPr="00DB57E5" w:rsidRDefault="003F25FC" w:rsidP="00153E59">
            <w:pPr>
              <w:pStyle w:val="ListParagraph"/>
              <w:keepNext/>
              <w:keepLines/>
              <w:ind w:left="0"/>
              <w:jc w:val="center"/>
              <w:rPr>
                <w:rFonts w:ascii="Arial" w:hAnsi="Arial" w:cs="Arial"/>
                <w:b/>
                <w:bCs/>
              </w:rPr>
            </w:pPr>
            <w:r w:rsidRPr="00DB57E5">
              <w:rPr>
                <w:rFonts w:ascii="Arial" w:hAnsi="Arial" w:cs="Arial"/>
                <w:b/>
                <w:bCs/>
              </w:rPr>
              <w:t>W</w:t>
            </w:r>
            <w:r w:rsidR="00153E59" w:rsidRPr="00DB57E5">
              <w:rPr>
                <w:rFonts w:ascii="Arial" w:hAnsi="Arial" w:cs="Arial"/>
                <w:b/>
                <w:bCs/>
              </w:rPr>
              <w:t>eighted average maturity</w:t>
            </w:r>
            <w:r w:rsidRPr="00DB57E5">
              <w:rPr>
                <w:rFonts w:ascii="Arial" w:hAnsi="Arial" w:cs="Arial"/>
                <w:b/>
                <w:bCs/>
              </w:rPr>
              <w:br/>
              <w:t>(days)</w:t>
            </w:r>
          </w:p>
        </w:tc>
        <w:tc>
          <w:tcPr>
            <w:tcW w:w="1417" w:type="dxa"/>
            <w:tcBorders>
              <w:top w:val="single" w:sz="4" w:space="0" w:color="auto"/>
              <w:bottom w:val="single" w:sz="4" w:space="0" w:color="auto"/>
            </w:tcBorders>
            <w:shd w:val="clear" w:color="auto" w:fill="auto"/>
          </w:tcPr>
          <w:p w14:paraId="3B1B3842" w14:textId="4B8638F5" w:rsidR="003F25FC" w:rsidRPr="00DB57E5" w:rsidRDefault="003F25FC" w:rsidP="00153E59">
            <w:pPr>
              <w:pStyle w:val="ListParagraph"/>
              <w:keepNext/>
              <w:keepLines/>
              <w:ind w:left="0"/>
              <w:jc w:val="center"/>
              <w:rPr>
                <w:rFonts w:ascii="Arial" w:hAnsi="Arial" w:cs="Arial"/>
                <w:b/>
                <w:bCs/>
              </w:rPr>
            </w:pPr>
            <w:r w:rsidRPr="00DB57E5">
              <w:rPr>
                <w:rFonts w:ascii="Arial" w:hAnsi="Arial" w:cs="Arial"/>
                <w:b/>
                <w:bCs/>
              </w:rPr>
              <w:t xml:space="preserve">Rate of </w:t>
            </w:r>
            <w:r w:rsidR="00153E59" w:rsidRPr="00DB57E5">
              <w:rPr>
                <w:rFonts w:ascii="Arial" w:hAnsi="Arial" w:cs="Arial"/>
                <w:b/>
                <w:bCs/>
              </w:rPr>
              <w:t>r</w:t>
            </w:r>
            <w:r w:rsidRPr="00DB57E5">
              <w:rPr>
                <w:rFonts w:ascii="Arial" w:hAnsi="Arial" w:cs="Arial"/>
                <w:b/>
                <w:bCs/>
              </w:rPr>
              <w:t>eturn</w:t>
            </w:r>
          </w:p>
        </w:tc>
      </w:tr>
      <w:tr w:rsidR="00E561CC" w:rsidRPr="00DB57E5" w14:paraId="6639551B" w14:textId="77777777" w:rsidTr="00523117">
        <w:tc>
          <w:tcPr>
            <w:tcW w:w="2802" w:type="dxa"/>
            <w:tcBorders>
              <w:top w:val="single" w:sz="4" w:space="0" w:color="auto"/>
              <w:left w:val="single" w:sz="4" w:space="0" w:color="auto"/>
              <w:bottom w:val="nil"/>
              <w:right w:val="single" w:sz="4" w:space="0" w:color="auto"/>
            </w:tcBorders>
            <w:shd w:val="clear" w:color="auto" w:fill="auto"/>
          </w:tcPr>
          <w:p w14:paraId="3DA62F91" w14:textId="0ECE3E83" w:rsidR="00E561CC" w:rsidRPr="00DB57E5" w:rsidRDefault="00E561CC" w:rsidP="00E561CC">
            <w:pPr>
              <w:pStyle w:val="ListParagraph"/>
              <w:keepNext/>
              <w:keepLines/>
              <w:ind w:left="0"/>
              <w:rPr>
                <w:rFonts w:ascii="Arial" w:hAnsi="Arial" w:cs="Arial"/>
              </w:rPr>
            </w:pPr>
            <w:r w:rsidRPr="00DB57E5">
              <w:rPr>
                <w:rFonts w:ascii="Arial" w:hAnsi="Arial" w:cs="Arial"/>
              </w:rPr>
              <w:t>31.03.202</w:t>
            </w:r>
            <w:r>
              <w:rPr>
                <w:rFonts w:ascii="Arial" w:hAnsi="Arial" w:cs="Arial"/>
              </w:rPr>
              <w:t>3</w:t>
            </w:r>
          </w:p>
        </w:tc>
        <w:tc>
          <w:tcPr>
            <w:tcW w:w="1417" w:type="dxa"/>
            <w:tcBorders>
              <w:top w:val="single" w:sz="4" w:space="0" w:color="auto"/>
              <w:left w:val="single" w:sz="4" w:space="0" w:color="auto"/>
              <w:bottom w:val="nil"/>
              <w:right w:val="single" w:sz="4" w:space="0" w:color="auto"/>
            </w:tcBorders>
            <w:shd w:val="clear" w:color="auto" w:fill="auto"/>
            <w:vAlign w:val="bottom"/>
          </w:tcPr>
          <w:p w14:paraId="2B7B948F" w14:textId="6A4BB3E3" w:rsidR="00E561CC" w:rsidRPr="00DB57E5" w:rsidRDefault="00E561CC" w:rsidP="00E561CC">
            <w:pPr>
              <w:pStyle w:val="ListParagraph"/>
              <w:keepNext/>
              <w:keepLines/>
              <w:ind w:left="0"/>
              <w:jc w:val="center"/>
              <w:rPr>
                <w:rFonts w:ascii="Arial" w:hAnsi="Arial" w:cs="Arial"/>
              </w:rPr>
            </w:pPr>
            <w:r w:rsidRPr="00DB57E5">
              <w:rPr>
                <w:rFonts w:ascii="Arial" w:hAnsi="Arial" w:cs="Arial"/>
              </w:rPr>
              <w:t>AA-</w:t>
            </w:r>
          </w:p>
        </w:tc>
        <w:tc>
          <w:tcPr>
            <w:tcW w:w="1417" w:type="dxa"/>
            <w:tcBorders>
              <w:top w:val="single" w:sz="4" w:space="0" w:color="auto"/>
              <w:left w:val="single" w:sz="4" w:space="0" w:color="auto"/>
              <w:bottom w:val="nil"/>
              <w:right w:val="single" w:sz="4" w:space="0" w:color="auto"/>
            </w:tcBorders>
            <w:shd w:val="clear" w:color="auto" w:fill="auto"/>
            <w:vAlign w:val="bottom"/>
          </w:tcPr>
          <w:p w14:paraId="3EFF0558" w14:textId="57224211" w:rsidR="00E561CC" w:rsidRPr="00DB57E5" w:rsidRDefault="00E561CC" w:rsidP="00E561CC">
            <w:pPr>
              <w:pStyle w:val="ListParagraph"/>
              <w:keepNext/>
              <w:keepLines/>
              <w:ind w:left="0"/>
              <w:jc w:val="center"/>
              <w:rPr>
                <w:rFonts w:ascii="Arial" w:hAnsi="Arial" w:cs="Arial"/>
              </w:rPr>
            </w:pPr>
            <w:r>
              <w:rPr>
                <w:rFonts w:ascii="Arial" w:hAnsi="Arial" w:cs="Arial"/>
              </w:rPr>
              <w:t>74%</w:t>
            </w:r>
          </w:p>
        </w:tc>
        <w:tc>
          <w:tcPr>
            <w:tcW w:w="1417" w:type="dxa"/>
            <w:tcBorders>
              <w:top w:val="single" w:sz="4" w:space="0" w:color="auto"/>
              <w:left w:val="single" w:sz="4" w:space="0" w:color="auto"/>
              <w:bottom w:val="nil"/>
              <w:right w:val="single" w:sz="4" w:space="0" w:color="auto"/>
            </w:tcBorders>
            <w:shd w:val="clear" w:color="auto" w:fill="auto"/>
            <w:vAlign w:val="bottom"/>
          </w:tcPr>
          <w:p w14:paraId="587CE12D" w14:textId="2AF0908F" w:rsidR="00E561CC" w:rsidRPr="00DB57E5" w:rsidRDefault="00E561CC" w:rsidP="00E561CC">
            <w:pPr>
              <w:pStyle w:val="ListParagraph"/>
              <w:keepNext/>
              <w:keepLines/>
              <w:ind w:left="0"/>
              <w:jc w:val="center"/>
              <w:rPr>
                <w:rFonts w:ascii="Arial" w:hAnsi="Arial" w:cs="Arial"/>
              </w:rPr>
            </w:pPr>
            <w:r w:rsidRPr="00DB57E5">
              <w:rPr>
                <w:rFonts w:ascii="Arial" w:hAnsi="Arial" w:cs="Arial"/>
              </w:rPr>
              <w:t>6</w:t>
            </w:r>
            <w:r>
              <w:rPr>
                <w:rFonts w:ascii="Arial" w:hAnsi="Arial" w:cs="Arial"/>
              </w:rPr>
              <w:t>0</w:t>
            </w:r>
          </w:p>
        </w:tc>
        <w:tc>
          <w:tcPr>
            <w:tcW w:w="1417" w:type="dxa"/>
            <w:tcBorders>
              <w:top w:val="single" w:sz="4" w:space="0" w:color="auto"/>
              <w:left w:val="single" w:sz="4" w:space="0" w:color="auto"/>
              <w:bottom w:val="nil"/>
              <w:right w:val="single" w:sz="4" w:space="0" w:color="auto"/>
            </w:tcBorders>
            <w:shd w:val="clear" w:color="auto" w:fill="auto"/>
            <w:vAlign w:val="bottom"/>
          </w:tcPr>
          <w:p w14:paraId="49D75DE1" w14:textId="4B7A1329" w:rsidR="00E561CC" w:rsidRPr="00DB57E5" w:rsidRDefault="00E561CC" w:rsidP="00E561CC">
            <w:pPr>
              <w:pStyle w:val="ListParagraph"/>
              <w:keepNext/>
              <w:keepLines/>
              <w:ind w:left="0"/>
              <w:jc w:val="center"/>
              <w:rPr>
                <w:rFonts w:ascii="Arial" w:hAnsi="Arial" w:cs="Arial"/>
              </w:rPr>
            </w:pPr>
            <w:r>
              <w:rPr>
                <w:rFonts w:ascii="Arial" w:hAnsi="Arial" w:cs="Arial"/>
              </w:rPr>
              <w:t>3.98</w:t>
            </w:r>
            <w:r w:rsidRPr="00DB57E5">
              <w:rPr>
                <w:rFonts w:ascii="Arial" w:hAnsi="Arial" w:cs="Arial"/>
              </w:rPr>
              <w:t>%</w:t>
            </w:r>
          </w:p>
        </w:tc>
      </w:tr>
      <w:tr w:rsidR="001527E7" w:rsidRPr="00DB57E5" w14:paraId="62CDA992" w14:textId="77777777" w:rsidTr="00523117">
        <w:tc>
          <w:tcPr>
            <w:tcW w:w="2802" w:type="dxa"/>
            <w:tcBorders>
              <w:top w:val="nil"/>
              <w:left w:val="single" w:sz="4" w:space="0" w:color="auto"/>
              <w:bottom w:val="single" w:sz="4" w:space="0" w:color="auto"/>
              <w:right w:val="single" w:sz="4" w:space="0" w:color="auto"/>
            </w:tcBorders>
            <w:shd w:val="clear" w:color="auto" w:fill="auto"/>
          </w:tcPr>
          <w:p w14:paraId="1BA3DF8E" w14:textId="7AAAE92F" w:rsidR="001527E7" w:rsidRPr="00DB57E5" w:rsidRDefault="001527E7" w:rsidP="001527E7">
            <w:pPr>
              <w:pStyle w:val="ListParagraph"/>
              <w:keepNext/>
              <w:keepLines/>
              <w:ind w:left="0"/>
              <w:rPr>
                <w:rFonts w:ascii="Arial" w:hAnsi="Arial" w:cs="Arial"/>
              </w:rPr>
            </w:pPr>
            <w:r>
              <w:rPr>
                <w:rFonts w:ascii="Arial" w:hAnsi="Arial" w:cs="Arial"/>
              </w:rPr>
              <w:t>30.06.2023</w:t>
            </w:r>
          </w:p>
        </w:tc>
        <w:tc>
          <w:tcPr>
            <w:tcW w:w="1417" w:type="dxa"/>
            <w:tcBorders>
              <w:top w:val="nil"/>
              <w:left w:val="single" w:sz="4" w:space="0" w:color="auto"/>
              <w:bottom w:val="single" w:sz="4" w:space="0" w:color="auto"/>
              <w:right w:val="single" w:sz="4" w:space="0" w:color="auto"/>
            </w:tcBorders>
            <w:shd w:val="clear" w:color="auto" w:fill="auto"/>
            <w:vAlign w:val="center"/>
          </w:tcPr>
          <w:p w14:paraId="78C41CB4" w14:textId="3C594118" w:rsidR="001527E7" w:rsidRPr="00DB57E5" w:rsidRDefault="003171EF" w:rsidP="001527E7">
            <w:pPr>
              <w:pStyle w:val="ListParagraph"/>
              <w:keepNext/>
              <w:keepLines/>
              <w:ind w:left="0"/>
              <w:jc w:val="center"/>
              <w:rPr>
                <w:rFonts w:ascii="Arial" w:hAnsi="Arial" w:cs="Arial"/>
              </w:rPr>
            </w:pPr>
            <w:r w:rsidRPr="00DB57E5">
              <w:rPr>
                <w:rFonts w:ascii="Arial" w:hAnsi="Arial" w:cs="Arial"/>
              </w:rPr>
              <w:t>AA-</w:t>
            </w:r>
            <w:r w:rsidR="001527E7">
              <w:rPr>
                <w:rFonts w:ascii="Arial" w:hAnsi="Arial" w:cs="Arial"/>
                <w:color w:val="000000"/>
                <w:sz w:val="22"/>
                <w:szCs w:val="22"/>
              </w:rPr>
              <w:t xml:space="preserve"> </w:t>
            </w:r>
          </w:p>
        </w:tc>
        <w:tc>
          <w:tcPr>
            <w:tcW w:w="1417" w:type="dxa"/>
            <w:tcBorders>
              <w:top w:val="nil"/>
              <w:left w:val="single" w:sz="4" w:space="0" w:color="auto"/>
              <w:bottom w:val="single" w:sz="4" w:space="0" w:color="auto"/>
              <w:right w:val="single" w:sz="4" w:space="0" w:color="auto"/>
            </w:tcBorders>
            <w:shd w:val="clear" w:color="auto" w:fill="auto"/>
            <w:vAlign w:val="center"/>
          </w:tcPr>
          <w:p w14:paraId="168E2898" w14:textId="6D533D84" w:rsidR="001527E7" w:rsidRPr="00DB57E5" w:rsidRDefault="001527E7" w:rsidP="001527E7">
            <w:pPr>
              <w:pStyle w:val="ListParagraph"/>
              <w:keepNext/>
              <w:keepLines/>
              <w:ind w:left="0"/>
              <w:jc w:val="center"/>
              <w:rPr>
                <w:rFonts w:ascii="Arial" w:hAnsi="Arial" w:cs="Arial"/>
              </w:rPr>
            </w:pPr>
            <w:r>
              <w:rPr>
                <w:rFonts w:ascii="Arial" w:hAnsi="Arial" w:cs="Arial"/>
                <w:color w:val="000000"/>
                <w:sz w:val="22"/>
                <w:szCs w:val="22"/>
              </w:rPr>
              <w:t>53%</w:t>
            </w:r>
          </w:p>
        </w:tc>
        <w:tc>
          <w:tcPr>
            <w:tcW w:w="1417" w:type="dxa"/>
            <w:tcBorders>
              <w:top w:val="nil"/>
              <w:left w:val="single" w:sz="4" w:space="0" w:color="auto"/>
              <w:bottom w:val="single" w:sz="4" w:space="0" w:color="auto"/>
              <w:right w:val="single" w:sz="4" w:space="0" w:color="auto"/>
            </w:tcBorders>
            <w:shd w:val="clear" w:color="auto" w:fill="auto"/>
            <w:vAlign w:val="center"/>
          </w:tcPr>
          <w:p w14:paraId="66B804CA" w14:textId="2D6BE073" w:rsidR="001527E7" w:rsidRPr="00DB57E5" w:rsidRDefault="001527E7" w:rsidP="001527E7">
            <w:pPr>
              <w:pStyle w:val="ListParagraph"/>
              <w:keepNext/>
              <w:keepLines/>
              <w:ind w:left="0"/>
              <w:jc w:val="center"/>
              <w:rPr>
                <w:rFonts w:ascii="Arial" w:hAnsi="Arial" w:cs="Arial"/>
              </w:rPr>
            </w:pPr>
            <w:r>
              <w:rPr>
                <w:rFonts w:ascii="Arial" w:hAnsi="Arial" w:cs="Arial"/>
                <w:color w:val="000000"/>
                <w:sz w:val="22"/>
                <w:szCs w:val="22"/>
              </w:rPr>
              <w:t>243</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9CB4B7" w14:textId="1E8E5A0C" w:rsidR="001527E7" w:rsidRPr="00DB57E5" w:rsidRDefault="001527E7" w:rsidP="001527E7">
            <w:pPr>
              <w:pStyle w:val="ListParagraph"/>
              <w:keepNext/>
              <w:keepLines/>
              <w:ind w:left="0"/>
              <w:jc w:val="center"/>
              <w:rPr>
                <w:rFonts w:ascii="Arial" w:hAnsi="Arial" w:cs="Arial"/>
              </w:rPr>
            </w:pPr>
            <w:r>
              <w:rPr>
                <w:rFonts w:ascii="Arial" w:hAnsi="Arial" w:cs="Arial"/>
                <w:color w:val="000000"/>
                <w:sz w:val="22"/>
                <w:szCs w:val="22"/>
              </w:rPr>
              <w:t>4.63%</w:t>
            </w:r>
          </w:p>
        </w:tc>
      </w:tr>
      <w:tr w:rsidR="001527E7" w:rsidRPr="00DB57E5" w14:paraId="3A251CB8" w14:textId="77777777" w:rsidTr="00523117">
        <w:tc>
          <w:tcPr>
            <w:tcW w:w="2802" w:type="dxa"/>
            <w:tcBorders>
              <w:top w:val="single" w:sz="4" w:space="0" w:color="auto"/>
              <w:left w:val="single" w:sz="4" w:space="0" w:color="auto"/>
              <w:bottom w:val="nil"/>
              <w:right w:val="single" w:sz="4" w:space="0" w:color="auto"/>
            </w:tcBorders>
            <w:shd w:val="clear" w:color="auto" w:fill="auto"/>
          </w:tcPr>
          <w:p w14:paraId="48C1B2E7" w14:textId="77777777" w:rsidR="001527E7" w:rsidRPr="00DB57E5" w:rsidRDefault="001527E7" w:rsidP="001527E7">
            <w:pPr>
              <w:pStyle w:val="ListParagraph"/>
              <w:keepNext/>
              <w:keepLines/>
              <w:ind w:left="0"/>
              <w:rPr>
                <w:rFonts w:ascii="Arial" w:hAnsi="Arial" w:cs="Arial"/>
              </w:rPr>
            </w:pPr>
            <w:r w:rsidRPr="00DB57E5">
              <w:rPr>
                <w:rFonts w:ascii="Arial" w:hAnsi="Arial" w:cs="Arial"/>
              </w:rPr>
              <w:t>Police &amp; Fire Authorities</w:t>
            </w:r>
          </w:p>
        </w:tc>
        <w:tc>
          <w:tcPr>
            <w:tcW w:w="1417" w:type="dxa"/>
            <w:tcBorders>
              <w:top w:val="single" w:sz="4" w:space="0" w:color="auto"/>
              <w:left w:val="single" w:sz="4" w:space="0" w:color="auto"/>
              <w:bottom w:val="nil"/>
              <w:right w:val="single" w:sz="4" w:space="0" w:color="auto"/>
            </w:tcBorders>
            <w:shd w:val="clear" w:color="auto" w:fill="auto"/>
            <w:vAlign w:val="center"/>
          </w:tcPr>
          <w:p w14:paraId="49F9182A" w14:textId="522E542A" w:rsidR="001527E7" w:rsidRPr="00DB57E5" w:rsidRDefault="001527E7" w:rsidP="001527E7">
            <w:pPr>
              <w:pStyle w:val="ListParagraph"/>
              <w:keepNext/>
              <w:keepLines/>
              <w:ind w:left="0"/>
              <w:jc w:val="center"/>
              <w:rPr>
                <w:rFonts w:ascii="Arial" w:hAnsi="Arial" w:cs="Arial"/>
              </w:rPr>
            </w:pPr>
            <w:r>
              <w:rPr>
                <w:rFonts w:ascii="Arial" w:hAnsi="Arial" w:cs="Arial"/>
                <w:color w:val="000000"/>
                <w:sz w:val="22"/>
                <w:szCs w:val="22"/>
              </w:rPr>
              <w:t>A+</w:t>
            </w:r>
          </w:p>
        </w:tc>
        <w:tc>
          <w:tcPr>
            <w:tcW w:w="1417" w:type="dxa"/>
            <w:tcBorders>
              <w:top w:val="single" w:sz="4" w:space="0" w:color="auto"/>
              <w:left w:val="single" w:sz="4" w:space="0" w:color="auto"/>
              <w:bottom w:val="nil"/>
              <w:right w:val="single" w:sz="4" w:space="0" w:color="auto"/>
            </w:tcBorders>
            <w:shd w:val="clear" w:color="auto" w:fill="auto"/>
            <w:vAlign w:val="center"/>
          </w:tcPr>
          <w:p w14:paraId="7420F1B3" w14:textId="2F7F4EE7" w:rsidR="001527E7" w:rsidRPr="00DB57E5" w:rsidRDefault="001527E7" w:rsidP="001527E7">
            <w:pPr>
              <w:pStyle w:val="ListParagraph"/>
              <w:keepNext/>
              <w:keepLines/>
              <w:ind w:left="0"/>
              <w:jc w:val="center"/>
              <w:rPr>
                <w:rFonts w:ascii="Arial" w:hAnsi="Arial" w:cs="Arial"/>
              </w:rPr>
            </w:pPr>
            <w:r>
              <w:rPr>
                <w:rFonts w:ascii="Arial" w:hAnsi="Arial" w:cs="Arial"/>
                <w:color w:val="000000"/>
                <w:sz w:val="22"/>
                <w:szCs w:val="22"/>
              </w:rPr>
              <w:t>84%</w:t>
            </w:r>
          </w:p>
        </w:tc>
        <w:tc>
          <w:tcPr>
            <w:tcW w:w="1417" w:type="dxa"/>
            <w:tcBorders>
              <w:top w:val="single" w:sz="4" w:space="0" w:color="auto"/>
              <w:left w:val="single" w:sz="4" w:space="0" w:color="auto"/>
              <w:bottom w:val="nil"/>
              <w:right w:val="single" w:sz="4" w:space="0" w:color="auto"/>
            </w:tcBorders>
            <w:shd w:val="clear" w:color="auto" w:fill="auto"/>
            <w:vAlign w:val="center"/>
          </w:tcPr>
          <w:p w14:paraId="2EE55631" w14:textId="7C8EABD5" w:rsidR="001527E7" w:rsidRPr="00DB57E5" w:rsidRDefault="001527E7" w:rsidP="001527E7">
            <w:pPr>
              <w:pStyle w:val="ListParagraph"/>
              <w:keepNext/>
              <w:keepLines/>
              <w:ind w:left="0"/>
              <w:jc w:val="center"/>
              <w:rPr>
                <w:rFonts w:ascii="Arial" w:hAnsi="Arial" w:cs="Arial"/>
              </w:rPr>
            </w:pPr>
            <w:r>
              <w:rPr>
                <w:rFonts w:ascii="Arial" w:hAnsi="Arial" w:cs="Arial"/>
                <w:color w:val="000000"/>
                <w:sz w:val="22"/>
                <w:szCs w:val="22"/>
              </w:rPr>
              <w:t>35</w:t>
            </w:r>
          </w:p>
        </w:tc>
        <w:tc>
          <w:tcPr>
            <w:tcW w:w="1417" w:type="dxa"/>
            <w:tcBorders>
              <w:top w:val="single" w:sz="4" w:space="0" w:color="auto"/>
              <w:left w:val="single" w:sz="4" w:space="0" w:color="auto"/>
              <w:bottom w:val="nil"/>
              <w:right w:val="single" w:sz="4" w:space="0" w:color="auto"/>
            </w:tcBorders>
            <w:shd w:val="clear" w:color="auto" w:fill="auto"/>
            <w:vAlign w:val="center"/>
          </w:tcPr>
          <w:p w14:paraId="2F285A83" w14:textId="5943B730" w:rsidR="001527E7" w:rsidRPr="00DB57E5" w:rsidRDefault="001527E7" w:rsidP="001527E7">
            <w:pPr>
              <w:pStyle w:val="ListParagraph"/>
              <w:keepNext/>
              <w:keepLines/>
              <w:ind w:left="0"/>
              <w:jc w:val="center"/>
              <w:rPr>
                <w:rFonts w:ascii="Arial" w:hAnsi="Arial" w:cs="Arial"/>
              </w:rPr>
            </w:pPr>
            <w:r>
              <w:rPr>
                <w:rFonts w:ascii="Arial" w:hAnsi="Arial" w:cs="Arial"/>
                <w:color w:val="000000"/>
                <w:sz w:val="22"/>
                <w:szCs w:val="22"/>
              </w:rPr>
              <w:t>4.21%</w:t>
            </w:r>
          </w:p>
        </w:tc>
      </w:tr>
      <w:tr w:rsidR="001527E7" w:rsidRPr="00BA4271" w14:paraId="07B6DF70" w14:textId="77777777" w:rsidTr="00523117">
        <w:tc>
          <w:tcPr>
            <w:tcW w:w="2802" w:type="dxa"/>
            <w:tcBorders>
              <w:top w:val="nil"/>
              <w:left w:val="single" w:sz="4" w:space="0" w:color="auto"/>
              <w:bottom w:val="single" w:sz="4" w:space="0" w:color="auto"/>
              <w:right w:val="single" w:sz="4" w:space="0" w:color="auto"/>
            </w:tcBorders>
            <w:shd w:val="clear" w:color="auto" w:fill="auto"/>
          </w:tcPr>
          <w:p w14:paraId="3CCBA379" w14:textId="77777777" w:rsidR="001527E7" w:rsidRPr="00DB57E5" w:rsidRDefault="001527E7" w:rsidP="001527E7">
            <w:pPr>
              <w:pStyle w:val="ListParagraph"/>
              <w:keepNext/>
              <w:keepLines/>
              <w:ind w:left="0"/>
              <w:rPr>
                <w:rFonts w:ascii="Arial" w:hAnsi="Arial" w:cs="Arial"/>
              </w:rPr>
            </w:pPr>
            <w:r w:rsidRPr="00DB57E5">
              <w:rPr>
                <w:rFonts w:ascii="Arial" w:hAnsi="Arial" w:cs="Arial"/>
              </w:rPr>
              <w:t>All LAs</w:t>
            </w:r>
          </w:p>
        </w:tc>
        <w:tc>
          <w:tcPr>
            <w:tcW w:w="1417" w:type="dxa"/>
            <w:tcBorders>
              <w:top w:val="nil"/>
              <w:left w:val="single" w:sz="4" w:space="0" w:color="auto"/>
              <w:bottom w:val="single" w:sz="4" w:space="0" w:color="auto"/>
              <w:right w:val="single" w:sz="4" w:space="0" w:color="auto"/>
            </w:tcBorders>
            <w:shd w:val="clear" w:color="auto" w:fill="auto"/>
            <w:vAlign w:val="center"/>
          </w:tcPr>
          <w:p w14:paraId="6B4B309F" w14:textId="0CB69062" w:rsidR="001527E7" w:rsidRPr="00DB57E5" w:rsidRDefault="001527E7" w:rsidP="001527E7">
            <w:pPr>
              <w:pStyle w:val="ListParagraph"/>
              <w:keepNext/>
              <w:keepLines/>
              <w:ind w:left="0"/>
              <w:jc w:val="center"/>
              <w:rPr>
                <w:rFonts w:ascii="Arial" w:hAnsi="Arial" w:cs="Arial"/>
              </w:rPr>
            </w:pPr>
            <w:r>
              <w:rPr>
                <w:rFonts w:ascii="Arial" w:hAnsi="Arial" w:cs="Arial"/>
                <w:color w:val="000000"/>
                <w:sz w:val="22"/>
                <w:szCs w:val="22"/>
              </w:rPr>
              <w:t>A+</w:t>
            </w:r>
          </w:p>
        </w:tc>
        <w:tc>
          <w:tcPr>
            <w:tcW w:w="1417" w:type="dxa"/>
            <w:tcBorders>
              <w:top w:val="nil"/>
              <w:left w:val="single" w:sz="4" w:space="0" w:color="auto"/>
              <w:bottom w:val="single" w:sz="4" w:space="0" w:color="auto"/>
              <w:right w:val="single" w:sz="4" w:space="0" w:color="auto"/>
            </w:tcBorders>
            <w:shd w:val="clear" w:color="auto" w:fill="auto"/>
            <w:vAlign w:val="center"/>
          </w:tcPr>
          <w:p w14:paraId="3E953188" w14:textId="3B8F1315" w:rsidR="001527E7" w:rsidRPr="00DB57E5" w:rsidRDefault="001527E7" w:rsidP="001527E7">
            <w:pPr>
              <w:pStyle w:val="ListParagraph"/>
              <w:keepNext/>
              <w:keepLines/>
              <w:ind w:left="0"/>
              <w:jc w:val="center"/>
              <w:rPr>
                <w:rFonts w:ascii="Arial" w:hAnsi="Arial" w:cs="Arial"/>
              </w:rPr>
            </w:pPr>
            <w:r>
              <w:rPr>
                <w:rFonts w:ascii="Arial" w:hAnsi="Arial" w:cs="Arial"/>
                <w:color w:val="000000"/>
                <w:sz w:val="22"/>
                <w:szCs w:val="22"/>
              </w:rPr>
              <w:t>63%</w:t>
            </w:r>
          </w:p>
        </w:tc>
        <w:tc>
          <w:tcPr>
            <w:tcW w:w="1417" w:type="dxa"/>
            <w:tcBorders>
              <w:top w:val="nil"/>
              <w:left w:val="single" w:sz="4" w:space="0" w:color="auto"/>
              <w:bottom w:val="single" w:sz="4" w:space="0" w:color="auto"/>
              <w:right w:val="single" w:sz="4" w:space="0" w:color="auto"/>
            </w:tcBorders>
            <w:shd w:val="clear" w:color="auto" w:fill="auto"/>
            <w:vAlign w:val="center"/>
          </w:tcPr>
          <w:p w14:paraId="7C9A0C4A" w14:textId="5D8AA4C7" w:rsidR="001527E7" w:rsidRPr="00DB57E5" w:rsidRDefault="001527E7" w:rsidP="001527E7">
            <w:pPr>
              <w:pStyle w:val="ListParagraph"/>
              <w:keepNext/>
              <w:keepLines/>
              <w:ind w:left="0"/>
              <w:jc w:val="center"/>
              <w:rPr>
                <w:rFonts w:ascii="Arial" w:hAnsi="Arial" w:cs="Arial"/>
              </w:rPr>
            </w:pPr>
            <w:r>
              <w:rPr>
                <w:rFonts w:ascii="Arial" w:hAnsi="Arial" w:cs="Arial"/>
                <w:color w:val="000000"/>
                <w:sz w:val="22"/>
                <w:szCs w:val="22"/>
              </w:rPr>
              <w:t>11</w:t>
            </w:r>
          </w:p>
        </w:tc>
        <w:tc>
          <w:tcPr>
            <w:tcW w:w="1417" w:type="dxa"/>
            <w:tcBorders>
              <w:top w:val="nil"/>
              <w:left w:val="single" w:sz="4" w:space="0" w:color="auto"/>
              <w:bottom w:val="single" w:sz="4" w:space="0" w:color="auto"/>
              <w:right w:val="single" w:sz="4" w:space="0" w:color="auto"/>
            </w:tcBorders>
            <w:shd w:val="clear" w:color="auto" w:fill="auto"/>
            <w:vAlign w:val="center"/>
          </w:tcPr>
          <w:p w14:paraId="3CD66393" w14:textId="7AC0CAB9" w:rsidR="001527E7" w:rsidRPr="00DB57E5" w:rsidRDefault="001527E7" w:rsidP="001527E7">
            <w:pPr>
              <w:pStyle w:val="ListParagraph"/>
              <w:keepNext/>
              <w:keepLines/>
              <w:ind w:left="0"/>
              <w:jc w:val="center"/>
              <w:rPr>
                <w:rFonts w:ascii="Arial" w:hAnsi="Arial" w:cs="Arial"/>
              </w:rPr>
            </w:pPr>
            <w:r>
              <w:rPr>
                <w:rFonts w:ascii="Arial" w:hAnsi="Arial" w:cs="Arial"/>
                <w:color w:val="000000"/>
                <w:sz w:val="22"/>
                <w:szCs w:val="22"/>
              </w:rPr>
              <w:t>4.44%</w:t>
            </w:r>
          </w:p>
        </w:tc>
      </w:tr>
    </w:tbl>
    <w:p w14:paraId="791F3C42" w14:textId="77777777" w:rsidR="00FB3650" w:rsidRPr="00022722" w:rsidRDefault="00FB3650" w:rsidP="00022722">
      <w:pPr>
        <w:spacing w:after="240"/>
        <w:rPr>
          <w:rFonts w:ascii="Arial" w:hAnsi="Arial" w:cs="Arial"/>
          <w:b/>
          <w:bCs/>
        </w:rPr>
      </w:pPr>
    </w:p>
    <w:p w14:paraId="3DF49417" w14:textId="4F2FD585" w:rsidR="007403DE" w:rsidRPr="0068422F" w:rsidRDefault="007403DE" w:rsidP="007403DE">
      <w:pPr>
        <w:pStyle w:val="ListParagraph"/>
        <w:spacing w:after="240"/>
        <w:rPr>
          <w:rFonts w:ascii="Arial" w:hAnsi="Arial" w:cs="Arial"/>
          <w:b/>
          <w:bCs/>
        </w:rPr>
      </w:pPr>
      <w:r w:rsidRPr="0068422F">
        <w:rPr>
          <w:rFonts w:ascii="Arial" w:hAnsi="Arial" w:cs="Arial"/>
          <w:b/>
          <w:bCs/>
        </w:rPr>
        <w:t>Externally managed pooled funds</w:t>
      </w:r>
    </w:p>
    <w:p w14:paraId="114F7B54" w14:textId="1BC97797" w:rsidR="00627C2A" w:rsidRPr="003B6F75" w:rsidRDefault="00A82781" w:rsidP="00627C2A">
      <w:pPr>
        <w:pStyle w:val="ListParagraph"/>
        <w:numPr>
          <w:ilvl w:val="1"/>
          <w:numId w:val="2"/>
        </w:numPr>
        <w:spacing w:after="240"/>
        <w:ind w:left="720" w:hanging="720"/>
        <w:rPr>
          <w:rFonts w:ascii="Arial" w:hAnsi="Arial" w:cs="Arial"/>
        </w:rPr>
      </w:pPr>
      <w:r>
        <w:rPr>
          <w:rFonts w:ascii="Arial" w:hAnsi="Arial" w:cs="Arial"/>
        </w:rPr>
        <w:t xml:space="preserve">As </w:t>
      </w:r>
      <w:proofErr w:type="gramStart"/>
      <w:r>
        <w:rPr>
          <w:rFonts w:ascii="Arial" w:hAnsi="Arial" w:cs="Arial"/>
        </w:rPr>
        <w:t>at</w:t>
      </w:r>
      <w:proofErr w:type="gramEnd"/>
      <w:r>
        <w:rPr>
          <w:rFonts w:ascii="Arial" w:hAnsi="Arial" w:cs="Arial"/>
        </w:rPr>
        <w:t xml:space="preserve"> 30</w:t>
      </w:r>
      <w:r w:rsidRPr="00A82781">
        <w:rPr>
          <w:rFonts w:ascii="Arial" w:hAnsi="Arial" w:cs="Arial"/>
          <w:vertAlign w:val="superscript"/>
        </w:rPr>
        <w:t>th</w:t>
      </w:r>
      <w:r>
        <w:rPr>
          <w:rFonts w:ascii="Arial" w:hAnsi="Arial" w:cs="Arial"/>
        </w:rPr>
        <w:t xml:space="preserve"> June 2023, </w:t>
      </w:r>
      <w:r w:rsidR="000528AA" w:rsidRPr="000528AA">
        <w:rPr>
          <w:rFonts w:ascii="Arial" w:hAnsi="Arial" w:cs="Arial"/>
        </w:rPr>
        <w:t>£</w:t>
      </w:r>
      <w:r w:rsidR="0049106B">
        <w:rPr>
          <w:rFonts w:ascii="Arial" w:hAnsi="Arial" w:cs="Arial"/>
        </w:rPr>
        <w:t>10</w:t>
      </w:r>
      <w:r w:rsidR="000528AA" w:rsidRPr="000528AA">
        <w:rPr>
          <w:rFonts w:ascii="Arial" w:hAnsi="Arial" w:cs="Arial"/>
        </w:rPr>
        <w:t xml:space="preserve">m of the </w:t>
      </w:r>
      <w:r w:rsidR="0049106B">
        <w:rPr>
          <w:rFonts w:ascii="Arial" w:hAnsi="Arial" w:cs="Arial"/>
        </w:rPr>
        <w:t>PCC</w:t>
      </w:r>
      <w:r w:rsidR="000528AA" w:rsidRPr="000528AA">
        <w:rPr>
          <w:rFonts w:ascii="Arial" w:hAnsi="Arial" w:cs="Arial"/>
        </w:rPr>
        <w:t xml:space="preserve">’s investments </w:t>
      </w:r>
      <w:r w:rsidR="004D6B12" w:rsidRPr="00BD79F5">
        <w:rPr>
          <w:rFonts w:ascii="Arial" w:hAnsi="Arial" w:cs="Arial"/>
        </w:rPr>
        <w:t>w</w:t>
      </w:r>
      <w:r w:rsidR="000B1C66" w:rsidRPr="00BD79F5">
        <w:rPr>
          <w:rFonts w:ascii="Arial" w:hAnsi="Arial" w:cs="Arial"/>
        </w:rPr>
        <w:t>ere</w:t>
      </w:r>
      <w:r w:rsidR="000528AA" w:rsidRPr="000528AA">
        <w:rPr>
          <w:rFonts w:ascii="Arial" w:hAnsi="Arial" w:cs="Arial"/>
        </w:rPr>
        <w:t xml:space="preserve"> invested in externally managed strategic pooled funds </w:t>
      </w:r>
      <w:r w:rsidR="000B1C66" w:rsidRPr="00BD79F5">
        <w:rPr>
          <w:rFonts w:ascii="Arial" w:hAnsi="Arial" w:cs="Arial"/>
        </w:rPr>
        <w:t xml:space="preserve">as part of the strategy to </w:t>
      </w:r>
      <w:r w:rsidR="0093260E" w:rsidRPr="00BD79F5">
        <w:rPr>
          <w:rFonts w:ascii="Arial" w:hAnsi="Arial" w:cs="Arial"/>
        </w:rPr>
        <w:t xml:space="preserve">invest the PCC’s core cash balances </w:t>
      </w:r>
      <w:r w:rsidR="000B1C66" w:rsidRPr="00BD79F5">
        <w:rPr>
          <w:rFonts w:ascii="Arial" w:hAnsi="Arial" w:cs="Arial"/>
        </w:rPr>
        <w:t>up to £</w:t>
      </w:r>
      <w:r w:rsidR="00BD79F5" w:rsidRPr="00BD79F5">
        <w:rPr>
          <w:rFonts w:ascii="Arial" w:hAnsi="Arial" w:cs="Arial"/>
        </w:rPr>
        <w:t xml:space="preserve">40m </w:t>
      </w:r>
      <w:r w:rsidR="000B1C66" w:rsidRPr="00BD79F5">
        <w:rPr>
          <w:rFonts w:ascii="Arial" w:hAnsi="Arial" w:cs="Arial"/>
        </w:rPr>
        <w:t xml:space="preserve">in longer term investments </w:t>
      </w:r>
      <w:r w:rsidR="000528AA" w:rsidRPr="000528AA">
        <w:rPr>
          <w:rFonts w:ascii="Arial" w:hAnsi="Arial" w:cs="Arial"/>
        </w:rPr>
        <w:t xml:space="preserve">where short-term security and liquidity are lesser considerations, and the objectives instead are regular revenue income and long-term price stability. </w:t>
      </w:r>
      <w:r w:rsidR="000528AA" w:rsidRPr="00BD79F5">
        <w:rPr>
          <w:rFonts w:ascii="Arial" w:hAnsi="Arial" w:cs="Arial"/>
        </w:rPr>
        <w:t xml:space="preserve">These funds generated an average total return of </w:t>
      </w:r>
      <w:r w:rsidR="006D5A3F" w:rsidRPr="00BD79F5">
        <w:rPr>
          <w:rFonts w:ascii="Arial" w:hAnsi="Arial" w:cs="Arial"/>
        </w:rPr>
        <w:t>23.98</w:t>
      </w:r>
      <w:r w:rsidR="000528AA" w:rsidRPr="00BD79F5">
        <w:rPr>
          <w:rFonts w:ascii="Arial" w:hAnsi="Arial" w:cs="Arial"/>
        </w:rPr>
        <w:t>%</w:t>
      </w:r>
      <w:r w:rsidR="006D5A3F" w:rsidRPr="00BD79F5">
        <w:rPr>
          <w:rFonts w:ascii="Arial" w:hAnsi="Arial" w:cs="Arial"/>
        </w:rPr>
        <w:t xml:space="preserve"> since purchase</w:t>
      </w:r>
      <w:r w:rsidR="0093260E" w:rsidRPr="00BD79F5">
        <w:rPr>
          <w:rFonts w:ascii="Arial" w:hAnsi="Arial" w:cs="Arial"/>
        </w:rPr>
        <w:t xml:space="preserve"> (on average a return of 4.</w:t>
      </w:r>
      <w:r w:rsidR="001375CE">
        <w:rPr>
          <w:rFonts w:ascii="Arial" w:hAnsi="Arial" w:cs="Arial"/>
        </w:rPr>
        <w:t>4</w:t>
      </w:r>
      <w:r w:rsidR="0093260E" w:rsidRPr="00BD79F5">
        <w:rPr>
          <w:rFonts w:ascii="Arial" w:hAnsi="Arial" w:cs="Arial"/>
        </w:rPr>
        <w:t xml:space="preserve">% per annum during a </w:t>
      </w:r>
      <w:r w:rsidR="00F21DA8" w:rsidRPr="00BD79F5">
        <w:rPr>
          <w:rFonts w:ascii="Arial" w:hAnsi="Arial" w:cs="Arial"/>
        </w:rPr>
        <w:t xml:space="preserve">low interest rate environment </w:t>
      </w:r>
      <w:r w:rsidR="008B1184" w:rsidRPr="00BD79F5">
        <w:rPr>
          <w:rFonts w:ascii="Arial" w:hAnsi="Arial" w:cs="Arial"/>
        </w:rPr>
        <w:t xml:space="preserve">period </w:t>
      </w:r>
      <w:r w:rsidR="0093260E" w:rsidRPr="00BD79F5">
        <w:rPr>
          <w:rFonts w:ascii="Arial" w:hAnsi="Arial" w:cs="Arial"/>
        </w:rPr>
        <w:t xml:space="preserve">where </w:t>
      </w:r>
      <w:r w:rsidR="00F21DA8" w:rsidRPr="00BD79F5">
        <w:rPr>
          <w:rFonts w:ascii="Arial" w:hAnsi="Arial" w:cs="Arial"/>
        </w:rPr>
        <w:t xml:space="preserve">the return on </w:t>
      </w:r>
      <w:proofErr w:type="spellStart"/>
      <w:r w:rsidR="00F21DA8" w:rsidRPr="00BD79F5">
        <w:rPr>
          <w:rFonts w:ascii="Arial" w:hAnsi="Arial" w:cs="Arial"/>
        </w:rPr>
        <w:t>non pooled</w:t>
      </w:r>
      <w:proofErr w:type="spellEnd"/>
      <w:r w:rsidR="00F21DA8" w:rsidRPr="00BD79F5">
        <w:rPr>
          <w:rFonts w:ascii="Arial" w:hAnsi="Arial" w:cs="Arial"/>
        </w:rPr>
        <w:t xml:space="preserve"> investments had been less than 1%)</w:t>
      </w:r>
    </w:p>
    <w:p w14:paraId="7AFE9EFA" w14:textId="3AD28ECA" w:rsidR="004928CD" w:rsidRDefault="00BB28B5" w:rsidP="004928CD">
      <w:pPr>
        <w:pStyle w:val="ListParagraph"/>
        <w:numPr>
          <w:ilvl w:val="1"/>
          <w:numId w:val="2"/>
        </w:numPr>
        <w:spacing w:after="240"/>
        <w:ind w:left="720" w:hanging="720"/>
        <w:rPr>
          <w:rFonts w:ascii="Arial" w:hAnsi="Arial" w:cs="Arial"/>
        </w:rPr>
      </w:pPr>
      <w:r w:rsidRPr="00BB28B5">
        <w:rPr>
          <w:rFonts w:ascii="Arial" w:hAnsi="Arial" w:cs="Arial"/>
        </w:rPr>
        <w:t>Financial market conditions were volatile during the quarter, but favourable in some areas. Resilient economic data, which led to diminishing talk of recessions at a time when interest rate peaks are thought to be near</w:t>
      </w:r>
      <w:r w:rsidR="00EB05A5">
        <w:rPr>
          <w:rFonts w:ascii="Arial" w:hAnsi="Arial" w:cs="Arial"/>
        </w:rPr>
        <w:t>,</w:t>
      </w:r>
      <w:r w:rsidRPr="00BB28B5">
        <w:rPr>
          <w:rFonts w:ascii="Arial" w:hAnsi="Arial" w:cs="Arial"/>
        </w:rPr>
        <w:t xml:space="preserve"> initially helped UK, euro-</w:t>
      </w:r>
      <w:proofErr w:type="gramStart"/>
      <w:r w:rsidRPr="00BB28B5">
        <w:rPr>
          <w:rFonts w:ascii="Arial" w:hAnsi="Arial" w:cs="Arial"/>
        </w:rPr>
        <w:t>area</w:t>
      </w:r>
      <w:proofErr w:type="gramEnd"/>
      <w:r w:rsidRPr="00BB28B5">
        <w:rPr>
          <w:rFonts w:ascii="Arial" w:hAnsi="Arial" w:cs="Arial"/>
        </w:rPr>
        <w:t xml:space="preserve"> and US equity markets. However, UK equities fell in May (sterling’s strength weighed on some sectors) and ended the quarter marginally lower.  Eurozone equities were slightly higher but did not match the larger global rally in US equities (helped by a soft-landing scenario for the economy and enthusiasm over AI) and Japanese equities</w:t>
      </w:r>
      <w:r w:rsidR="0009617C" w:rsidRPr="003B6F75">
        <w:rPr>
          <w:rFonts w:ascii="Arial" w:hAnsi="Arial" w:cs="Arial"/>
        </w:rPr>
        <w:t xml:space="preserve">. </w:t>
      </w:r>
    </w:p>
    <w:p w14:paraId="4A23100E" w14:textId="187E3CAF" w:rsidR="00BB28B5" w:rsidRDefault="0049106B" w:rsidP="004928CD">
      <w:pPr>
        <w:pStyle w:val="ListParagraph"/>
        <w:numPr>
          <w:ilvl w:val="1"/>
          <w:numId w:val="2"/>
        </w:numPr>
        <w:spacing w:after="240"/>
        <w:ind w:left="720" w:hanging="720"/>
        <w:rPr>
          <w:rFonts w:ascii="Arial" w:hAnsi="Arial" w:cs="Arial"/>
        </w:rPr>
      </w:pPr>
      <w:r w:rsidRPr="0049106B">
        <w:rPr>
          <w:rFonts w:ascii="Arial" w:hAnsi="Arial" w:cs="Arial"/>
        </w:rPr>
        <w:t xml:space="preserve">UK property markets continued to struggle as higher interest rates and bond yields and higher funding costs weighed on the sector.  There was some </w:t>
      </w:r>
      <w:r w:rsidRPr="0049106B">
        <w:rPr>
          <w:rFonts w:ascii="Arial" w:hAnsi="Arial" w:cs="Arial"/>
        </w:rPr>
        <w:lastRenderedPageBreak/>
        <w:t>improvement in May, building on signs of returning investor interest and transactional activity in calendar Q1 and a perception that the downturn in commercial real estate may be bottoming out. This has helped support capital values and rental income. The additional move upwards in yields in late May/June and the prospect of sluggish economic growth however constrain</w:t>
      </w:r>
      <w:r w:rsidR="008C2869">
        <w:rPr>
          <w:rFonts w:ascii="Arial" w:hAnsi="Arial" w:cs="Arial"/>
        </w:rPr>
        <w:t>ed</w:t>
      </w:r>
      <w:r w:rsidRPr="0049106B">
        <w:rPr>
          <w:rFonts w:ascii="Arial" w:hAnsi="Arial" w:cs="Arial"/>
        </w:rPr>
        <w:t xml:space="preserve"> the outlook</w:t>
      </w:r>
      <w:r>
        <w:rPr>
          <w:rFonts w:ascii="Arial" w:hAnsi="Arial" w:cs="Arial"/>
        </w:rPr>
        <w:t xml:space="preserve">. </w:t>
      </w:r>
    </w:p>
    <w:p w14:paraId="23115E51" w14:textId="0535C60E" w:rsidR="00F32E0B" w:rsidRDefault="00D35245" w:rsidP="004928CD">
      <w:pPr>
        <w:pStyle w:val="ListParagraph"/>
        <w:numPr>
          <w:ilvl w:val="1"/>
          <w:numId w:val="2"/>
        </w:numPr>
        <w:spacing w:after="240"/>
        <w:ind w:left="720" w:hanging="720"/>
        <w:rPr>
          <w:rFonts w:ascii="Arial" w:hAnsi="Arial" w:cs="Arial"/>
        </w:rPr>
      </w:pPr>
      <w:r w:rsidRPr="00D35245">
        <w:rPr>
          <w:rFonts w:ascii="Arial" w:hAnsi="Arial" w:cs="Arial"/>
        </w:rPr>
        <w:t xml:space="preserve">The combination of the above had a marginal negative effect on the combined value of the </w:t>
      </w:r>
      <w:r>
        <w:rPr>
          <w:rFonts w:ascii="Arial" w:hAnsi="Arial" w:cs="Arial"/>
        </w:rPr>
        <w:t>PCC</w:t>
      </w:r>
      <w:r w:rsidRPr="00D35245">
        <w:rPr>
          <w:rFonts w:ascii="Arial" w:hAnsi="Arial" w:cs="Arial"/>
        </w:rPr>
        <w:t xml:space="preserve">’s </w:t>
      </w:r>
      <w:r w:rsidR="008C2869">
        <w:rPr>
          <w:rFonts w:ascii="Arial" w:hAnsi="Arial" w:cs="Arial"/>
        </w:rPr>
        <w:t xml:space="preserve">pooled </w:t>
      </w:r>
      <w:r w:rsidRPr="00D35245">
        <w:rPr>
          <w:rFonts w:ascii="Arial" w:hAnsi="Arial" w:cs="Arial"/>
        </w:rPr>
        <w:t>funds since March 2023.  Income returns remained broadly consistent, but capital values have decreased particularly in the pooled property and multi-asset funds</w:t>
      </w:r>
      <w:r w:rsidR="008C2869">
        <w:rPr>
          <w:rFonts w:ascii="Arial" w:hAnsi="Arial" w:cs="Arial"/>
        </w:rPr>
        <w:t xml:space="preserve"> held by the PCC</w:t>
      </w:r>
      <w:r>
        <w:rPr>
          <w:rFonts w:ascii="Arial" w:hAnsi="Arial" w:cs="Arial"/>
        </w:rPr>
        <w:t xml:space="preserve">. </w:t>
      </w:r>
    </w:p>
    <w:p w14:paraId="70132A98" w14:textId="0D0642D7" w:rsidR="00D35245" w:rsidRDefault="00C66C9F" w:rsidP="004928CD">
      <w:pPr>
        <w:pStyle w:val="ListParagraph"/>
        <w:numPr>
          <w:ilvl w:val="1"/>
          <w:numId w:val="2"/>
        </w:numPr>
        <w:spacing w:after="240"/>
        <w:ind w:left="720" w:hanging="720"/>
        <w:rPr>
          <w:rFonts w:ascii="Arial" w:hAnsi="Arial" w:cs="Arial"/>
        </w:rPr>
      </w:pPr>
      <w:r w:rsidRPr="00C66C9F">
        <w:rPr>
          <w:rFonts w:ascii="Arial" w:hAnsi="Arial" w:cs="Arial"/>
        </w:rPr>
        <w:t xml:space="preserve">Because these funds have no defined maturity date, but are available for withdrawal after a notice period, their performance and continued suitability in meeting the </w:t>
      </w:r>
      <w:r>
        <w:rPr>
          <w:rFonts w:ascii="Arial" w:hAnsi="Arial" w:cs="Arial"/>
        </w:rPr>
        <w:t>PCC</w:t>
      </w:r>
      <w:r w:rsidRPr="00C66C9F">
        <w:rPr>
          <w:rFonts w:ascii="Arial" w:hAnsi="Arial" w:cs="Arial"/>
        </w:rPr>
        <w:t xml:space="preserve">’s medium-to long-term investment objectives are regularly reviewed. </w:t>
      </w:r>
      <w:r w:rsidR="00066D4B">
        <w:rPr>
          <w:rFonts w:ascii="Arial" w:hAnsi="Arial" w:cs="Arial"/>
        </w:rPr>
        <w:t>Having take</w:t>
      </w:r>
      <w:r w:rsidR="001375CE">
        <w:rPr>
          <w:rFonts w:ascii="Arial" w:hAnsi="Arial" w:cs="Arial"/>
        </w:rPr>
        <w:t>n</w:t>
      </w:r>
      <w:r w:rsidR="00066D4B">
        <w:rPr>
          <w:rFonts w:ascii="Arial" w:hAnsi="Arial" w:cs="Arial"/>
        </w:rPr>
        <w:t xml:space="preserve"> advice from Arlingclose as a result of the</w:t>
      </w:r>
      <w:r w:rsidR="00066D4B" w:rsidRPr="008C3D63">
        <w:rPr>
          <w:rFonts w:ascii="Arial" w:hAnsi="Arial" w:cs="Arial"/>
        </w:rPr>
        <w:t xml:space="preserve"> </w:t>
      </w:r>
      <w:r w:rsidRPr="00C66C9F">
        <w:rPr>
          <w:rFonts w:ascii="Arial" w:hAnsi="Arial" w:cs="Arial"/>
        </w:rPr>
        <w:t xml:space="preserve">changes in the interest rate environment providing similar (and in some cases better) returns on more liquid investments, the </w:t>
      </w:r>
      <w:r w:rsidR="007E4029">
        <w:rPr>
          <w:rFonts w:ascii="Arial" w:hAnsi="Arial" w:cs="Arial"/>
        </w:rPr>
        <w:t>PCC</w:t>
      </w:r>
      <w:r w:rsidRPr="00C66C9F">
        <w:rPr>
          <w:rFonts w:ascii="Arial" w:hAnsi="Arial" w:cs="Arial"/>
        </w:rPr>
        <w:t xml:space="preserve"> has sought to disinvest </w:t>
      </w:r>
      <w:r w:rsidR="00066D4B">
        <w:rPr>
          <w:rFonts w:ascii="Arial" w:hAnsi="Arial" w:cs="Arial"/>
        </w:rPr>
        <w:t xml:space="preserve">£5m </w:t>
      </w:r>
      <w:r w:rsidR="008C2869">
        <w:rPr>
          <w:rFonts w:ascii="Arial" w:hAnsi="Arial" w:cs="Arial"/>
        </w:rPr>
        <w:t xml:space="preserve">(from its total pooled fund holding of £10m) </w:t>
      </w:r>
      <w:r w:rsidRPr="00C66C9F">
        <w:rPr>
          <w:rFonts w:ascii="Arial" w:hAnsi="Arial" w:cs="Arial"/>
        </w:rPr>
        <w:t>from some of its pooled fund holdings in Quarter 2</w:t>
      </w:r>
      <w:r w:rsidR="0017196C">
        <w:rPr>
          <w:rFonts w:ascii="Arial" w:hAnsi="Arial" w:cs="Arial"/>
        </w:rPr>
        <w:t>, crystallising a net capital gain of £239.7k</w:t>
      </w:r>
      <w:r w:rsidRPr="00C66C9F">
        <w:rPr>
          <w:rFonts w:ascii="Arial" w:hAnsi="Arial" w:cs="Arial"/>
        </w:rPr>
        <w:t xml:space="preserve">. Capital gains made from this disinvestment </w:t>
      </w:r>
      <w:r w:rsidR="00B03A46">
        <w:rPr>
          <w:rFonts w:ascii="Arial" w:hAnsi="Arial" w:cs="Arial"/>
        </w:rPr>
        <w:t xml:space="preserve">have been </w:t>
      </w:r>
      <w:r w:rsidRPr="00C66C9F">
        <w:rPr>
          <w:rFonts w:ascii="Arial" w:hAnsi="Arial" w:cs="Arial"/>
        </w:rPr>
        <w:t xml:space="preserve"> transferred to </w:t>
      </w:r>
      <w:r>
        <w:rPr>
          <w:rFonts w:ascii="Arial" w:hAnsi="Arial" w:cs="Arial"/>
        </w:rPr>
        <w:t>a</w:t>
      </w:r>
      <w:r w:rsidR="00B03A46">
        <w:rPr>
          <w:rFonts w:ascii="Arial" w:hAnsi="Arial" w:cs="Arial"/>
        </w:rPr>
        <w:t>n</w:t>
      </w:r>
      <w:r w:rsidRPr="00C66C9F">
        <w:rPr>
          <w:rFonts w:ascii="Arial" w:hAnsi="Arial" w:cs="Arial"/>
        </w:rPr>
        <w:t xml:space="preserve"> Investment Risk Reserve, in order to mitigate any potential losses on future </w:t>
      </w:r>
      <w:r w:rsidR="006C287A">
        <w:rPr>
          <w:rFonts w:ascii="Arial" w:hAnsi="Arial" w:cs="Arial"/>
        </w:rPr>
        <w:t xml:space="preserve">pooled fund </w:t>
      </w:r>
      <w:r w:rsidRPr="00C66C9F">
        <w:rPr>
          <w:rFonts w:ascii="Arial" w:hAnsi="Arial" w:cs="Arial"/>
        </w:rPr>
        <w:t xml:space="preserve">disinvestment should </w:t>
      </w:r>
      <w:r w:rsidR="008356CF">
        <w:rPr>
          <w:rFonts w:ascii="Arial" w:hAnsi="Arial" w:cs="Arial"/>
        </w:rPr>
        <w:t>they</w:t>
      </w:r>
      <w:r w:rsidRPr="00C66C9F">
        <w:rPr>
          <w:rFonts w:ascii="Arial" w:hAnsi="Arial" w:cs="Arial"/>
        </w:rPr>
        <w:t xml:space="preserve"> arise</w:t>
      </w:r>
      <w:r w:rsidR="006E3297">
        <w:rPr>
          <w:rFonts w:ascii="Arial" w:hAnsi="Arial" w:cs="Arial"/>
        </w:rPr>
        <w:t xml:space="preserve">. </w:t>
      </w:r>
    </w:p>
    <w:p w14:paraId="0A6BC920" w14:textId="6F79570F" w:rsidR="00FB6920" w:rsidRPr="00657B22" w:rsidRDefault="00922B66" w:rsidP="007D4BF7">
      <w:pPr>
        <w:pStyle w:val="ListParagraph"/>
        <w:numPr>
          <w:ilvl w:val="1"/>
          <w:numId w:val="2"/>
        </w:numPr>
        <w:spacing w:after="240"/>
        <w:ind w:left="720" w:hanging="720"/>
        <w:rPr>
          <w:rFonts w:ascii="Arial" w:hAnsi="Arial" w:cs="Arial"/>
        </w:rPr>
      </w:pPr>
      <w:r w:rsidRPr="001A4478">
        <w:rPr>
          <w:rFonts w:ascii="Arial" w:hAnsi="Arial" w:cs="Arial"/>
        </w:rPr>
        <w:t>In April 2023 the Department for Levelling Up, Housing and Communities published the full outcome of the consultation on the extension of the statutory override on accounting for gains and losses on pooled investment funds</w:t>
      </w:r>
      <w:r w:rsidR="009C0089">
        <w:rPr>
          <w:rFonts w:ascii="Arial" w:hAnsi="Arial" w:cs="Arial"/>
        </w:rPr>
        <w:t xml:space="preserve"> through the in-year revenue </w:t>
      </w:r>
      <w:r w:rsidR="00D91A1D">
        <w:rPr>
          <w:rFonts w:ascii="Arial" w:hAnsi="Arial" w:cs="Arial"/>
        </w:rPr>
        <w:t>account</w:t>
      </w:r>
      <w:r w:rsidRPr="001A4478">
        <w:rPr>
          <w:rFonts w:ascii="Arial" w:hAnsi="Arial" w:cs="Arial"/>
        </w:rPr>
        <w:t xml:space="preserve">. The override has been extended for 2 years until 31st March </w:t>
      </w:r>
      <w:proofErr w:type="gramStart"/>
      <w:r w:rsidRPr="001A4478">
        <w:rPr>
          <w:rFonts w:ascii="Arial" w:hAnsi="Arial" w:cs="Arial"/>
        </w:rPr>
        <w:t>2025</w:t>
      </w:r>
      <w:proofErr w:type="gramEnd"/>
      <w:r w:rsidRPr="001A4478">
        <w:rPr>
          <w:rFonts w:ascii="Arial" w:hAnsi="Arial" w:cs="Arial"/>
        </w:rPr>
        <w:t xml:space="preserve"> but no other changes have been made; whether the override will be extended beyond the new date is unknown but commentary to the consultation outcome suggests not.  The </w:t>
      </w:r>
      <w:r w:rsidR="006C287A">
        <w:rPr>
          <w:rFonts w:ascii="Arial" w:hAnsi="Arial" w:cs="Arial"/>
        </w:rPr>
        <w:t>PCC</w:t>
      </w:r>
      <w:r w:rsidRPr="001A4478">
        <w:rPr>
          <w:rFonts w:ascii="Arial" w:hAnsi="Arial" w:cs="Arial"/>
        </w:rPr>
        <w:t xml:space="preserve"> will discuss with Arlingclose the implications for the investment strategy and what action may need to be taken</w:t>
      </w:r>
      <w:r w:rsidR="00FB6920" w:rsidRPr="00657B22">
        <w:rPr>
          <w:rFonts w:ascii="Arial" w:hAnsi="Arial" w:cs="Arial"/>
        </w:rPr>
        <w:t>.</w:t>
      </w:r>
    </w:p>
    <w:p w14:paraId="42FA08FF" w14:textId="752908C5" w:rsidR="00823953" w:rsidRPr="006514BD" w:rsidRDefault="00823953" w:rsidP="003C3808">
      <w:pPr>
        <w:keepNext/>
        <w:numPr>
          <w:ilvl w:val="0"/>
          <w:numId w:val="2"/>
        </w:numPr>
        <w:tabs>
          <w:tab w:val="num" w:pos="720"/>
        </w:tabs>
        <w:spacing w:after="240"/>
        <w:ind w:left="431" w:hanging="431"/>
        <w:outlineLvl w:val="0"/>
        <w:rPr>
          <w:rFonts w:ascii="Arial" w:hAnsi="Arial" w:cs="Arial"/>
          <w:b/>
        </w:rPr>
      </w:pPr>
      <w:r w:rsidRPr="006514BD">
        <w:rPr>
          <w:rFonts w:ascii="Arial" w:hAnsi="Arial" w:cs="Arial"/>
          <w:b/>
        </w:rPr>
        <w:t xml:space="preserve">Non-Treasury </w:t>
      </w:r>
      <w:r w:rsidR="007A4625" w:rsidRPr="006514BD">
        <w:rPr>
          <w:rFonts w:ascii="Arial" w:hAnsi="Arial" w:cs="Arial"/>
          <w:b/>
        </w:rPr>
        <w:t>Investments</w:t>
      </w:r>
    </w:p>
    <w:p w14:paraId="0C013B96" w14:textId="74220522" w:rsidR="006514BD" w:rsidRPr="006514BD" w:rsidRDefault="006514BD" w:rsidP="006514BD">
      <w:pPr>
        <w:pStyle w:val="ListParagraph"/>
        <w:numPr>
          <w:ilvl w:val="1"/>
          <w:numId w:val="2"/>
        </w:numPr>
        <w:spacing w:after="240"/>
        <w:ind w:left="720" w:hanging="720"/>
        <w:rPr>
          <w:rFonts w:ascii="Arial" w:hAnsi="Arial" w:cs="Arial"/>
        </w:rPr>
      </w:pPr>
      <w:r w:rsidRPr="006514BD">
        <w:rPr>
          <w:rFonts w:ascii="Arial" w:hAnsi="Arial" w:cs="Arial"/>
        </w:rPr>
        <w:t>The definition of investments in CIPFA’s revised Treasury Management Code now covers all the financial assets of the PCC as well as other non-financial assets which the PCC holds primarily for financial return. Investments that do not meet the definition of treasury management investments (</w:t>
      </w:r>
      <w:proofErr w:type="gramStart"/>
      <w:r w:rsidRPr="006514BD">
        <w:rPr>
          <w:rFonts w:ascii="Arial" w:hAnsi="Arial" w:cs="Arial"/>
        </w:rPr>
        <w:t>i.e.</w:t>
      </w:r>
      <w:proofErr w:type="gramEnd"/>
      <w:r w:rsidRPr="006514BD">
        <w:rPr>
          <w:rFonts w:ascii="Arial" w:hAnsi="Arial" w:cs="Arial"/>
        </w:rPr>
        <w:t xml:space="preserve"> management of surplus cash) are categorised as either for service purposes (made explicitly to further service objectives) and or for commercial purposes (made primarily for financial return).</w:t>
      </w:r>
    </w:p>
    <w:p w14:paraId="26579C38" w14:textId="27AAF8EF" w:rsidR="006514BD" w:rsidRDefault="006514BD" w:rsidP="006514BD">
      <w:pPr>
        <w:pStyle w:val="ListParagraph"/>
        <w:numPr>
          <w:ilvl w:val="1"/>
          <w:numId w:val="2"/>
        </w:numPr>
        <w:spacing w:after="240"/>
        <w:ind w:left="720" w:hanging="720"/>
        <w:rPr>
          <w:rFonts w:ascii="Arial" w:hAnsi="Arial" w:cs="Arial"/>
        </w:rPr>
      </w:pPr>
      <w:r w:rsidRPr="006514BD">
        <w:rPr>
          <w:rFonts w:ascii="Arial" w:hAnsi="Arial" w:cs="Arial"/>
        </w:rPr>
        <w:t xml:space="preserve">Investment Guidance issued by DLUHC also broadens the definition of investments to include all such assets held partially or wholly for financial return. </w:t>
      </w:r>
      <w:r w:rsidR="006A1909" w:rsidRPr="006A1909">
        <w:rPr>
          <w:rFonts w:ascii="Arial" w:hAnsi="Arial" w:cs="Arial"/>
        </w:rPr>
        <w:t xml:space="preserve">The Investment Guidance applies to all authorities defined as local </w:t>
      </w:r>
      <w:r w:rsidR="006A1909" w:rsidRPr="006A1909">
        <w:rPr>
          <w:rFonts w:ascii="Arial" w:hAnsi="Arial" w:cs="Arial"/>
        </w:rPr>
        <w:lastRenderedPageBreak/>
        <w:t xml:space="preserve">authorities under the Local Government Act 2003, section 23, which includes </w:t>
      </w:r>
      <w:r w:rsidR="00BD62E4">
        <w:rPr>
          <w:rFonts w:ascii="Arial" w:hAnsi="Arial" w:cs="Arial"/>
        </w:rPr>
        <w:t>P</w:t>
      </w:r>
      <w:r w:rsidR="006A1909" w:rsidRPr="006A1909">
        <w:rPr>
          <w:rFonts w:ascii="Arial" w:hAnsi="Arial" w:cs="Arial"/>
        </w:rPr>
        <w:t xml:space="preserve">olice and </w:t>
      </w:r>
      <w:r w:rsidR="00BD62E4">
        <w:rPr>
          <w:rFonts w:ascii="Arial" w:hAnsi="Arial" w:cs="Arial"/>
        </w:rPr>
        <w:t>C</w:t>
      </w:r>
      <w:r w:rsidR="006A1909" w:rsidRPr="006A1909">
        <w:rPr>
          <w:rFonts w:ascii="Arial" w:hAnsi="Arial" w:cs="Arial"/>
        </w:rPr>
        <w:t>rime commissioners.</w:t>
      </w:r>
    </w:p>
    <w:p w14:paraId="7BE43422" w14:textId="37A620C3" w:rsidR="00A40E5A" w:rsidRDefault="00A40E5A" w:rsidP="006514BD">
      <w:pPr>
        <w:pStyle w:val="ListParagraph"/>
        <w:numPr>
          <w:ilvl w:val="1"/>
          <w:numId w:val="2"/>
        </w:numPr>
        <w:spacing w:after="240"/>
        <w:ind w:left="720" w:hanging="720"/>
        <w:rPr>
          <w:rFonts w:ascii="Arial" w:hAnsi="Arial" w:cs="Arial"/>
        </w:rPr>
      </w:pPr>
      <w:r>
        <w:rPr>
          <w:rFonts w:ascii="Arial" w:hAnsi="Arial" w:cs="Arial"/>
        </w:rPr>
        <w:t xml:space="preserve">This </w:t>
      </w:r>
      <w:r w:rsidR="001A4214" w:rsidRPr="00667FB0">
        <w:rPr>
          <w:rFonts w:ascii="Arial" w:hAnsi="Arial" w:cs="Arial"/>
        </w:rPr>
        <w:t>could include the direct purchase of land or property and any such loans and investments will be subject to the PCC’s normal approval processes for revenue and capital expenditure and need not comply with the treasury management strategy. The PCC does not have any existing non-treasury investments.</w:t>
      </w:r>
    </w:p>
    <w:p w14:paraId="346FD295" w14:textId="1FEAB1BB" w:rsidR="0031250C" w:rsidRPr="00667FB0" w:rsidRDefault="0031250C" w:rsidP="003C3808">
      <w:pPr>
        <w:keepNext/>
        <w:numPr>
          <w:ilvl w:val="0"/>
          <w:numId w:val="2"/>
        </w:numPr>
        <w:tabs>
          <w:tab w:val="num" w:pos="720"/>
        </w:tabs>
        <w:spacing w:after="240"/>
        <w:ind w:left="431" w:hanging="431"/>
        <w:outlineLvl w:val="0"/>
        <w:rPr>
          <w:rFonts w:ascii="Arial" w:hAnsi="Arial" w:cs="Arial"/>
          <w:b/>
        </w:rPr>
      </w:pPr>
      <w:r w:rsidRPr="00667FB0">
        <w:rPr>
          <w:rFonts w:ascii="Arial" w:hAnsi="Arial" w:cs="Arial"/>
          <w:b/>
        </w:rPr>
        <w:t xml:space="preserve">Compliance </w:t>
      </w:r>
      <w:r w:rsidR="00067763" w:rsidRPr="00667FB0">
        <w:rPr>
          <w:rFonts w:ascii="Arial" w:hAnsi="Arial" w:cs="Arial"/>
          <w:b/>
        </w:rPr>
        <w:t>Report</w:t>
      </w:r>
    </w:p>
    <w:p w14:paraId="2430EEAD" w14:textId="75AFED33" w:rsidR="007C45E1" w:rsidRDefault="007407F1" w:rsidP="003C3808">
      <w:pPr>
        <w:pStyle w:val="ListParagraph"/>
        <w:numPr>
          <w:ilvl w:val="1"/>
          <w:numId w:val="2"/>
        </w:numPr>
        <w:spacing w:after="240"/>
        <w:ind w:left="720" w:hanging="720"/>
        <w:rPr>
          <w:rFonts w:ascii="Arial" w:hAnsi="Arial" w:cs="Arial"/>
        </w:rPr>
      </w:pPr>
      <w:r w:rsidRPr="00667FB0">
        <w:rPr>
          <w:rFonts w:ascii="Arial" w:hAnsi="Arial" w:cs="Arial"/>
        </w:rPr>
        <w:t xml:space="preserve">The </w:t>
      </w:r>
      <w:r w:rsidR="00547880" w:rsidRPr="00667FB0">
        <w:rPr>
          <w:rFonts w:ascii="Arial" w:hAnsi="Arial" w:cs="Arial"/>
        </w:rPr>
        <w:t>PCC</w:t>
      </w:r>
      <w:r w:rsidR="004F6834" w:rsidRPr="00667FB0">
        <w:rPr>
          <w:rFonts w:ascii="Arial" w:hAnsi="Arial" w:cs="Arial"/>
        </w:rPr>
        <w:t xml:space="preserve"> </w:t>
      </w:r>
      <w:r w:rsidR="00E64D09">
        <w:rPr>
          <w:rFonts w:ascii="Arial" w:hAnsi="Arial" w:cs="Arial"/>
        </w:rPr>
        <w:t xml:space="preserve">CFO </w:t>
      </w:r>
      <w:r w:rsidR="00667B8B" w:rsidRPr="00667B8B">
        <w:rPr>
          <w:rFonts w:ascii="Arial" w:hAnsi="Arial" w:cs="Arial"/>
        </w:rPr>
        <w:t>reports that all treasury management activities undertaken during the quarter complied fully with the principles in the Treasury Management Code and the</w:t>
      </w:r>
      <w:r w:rsidR="00667B8B">
        <w:rPr>
          <w:rFonts w:ascii="Arial" w:hAnsi="Arial" w:cs="Arial"/>
        </w:rPr>
        <w:t xml:space="preserve"> PCC</w:t>
      </w:r>
      <w:r w:rsidR="00667B8B" w:rsidRPr="00667B8B">
        <w:rPr>
          <w:rFonts w:ascii="Arial" w:hAnsi="Arial" w:cs="Arial"/>
        </w:rPr>
        <w:t xml:space="preserve">’s approved Treasury Management Strategy. Compliance with specific investment limits is demonstrated in </w:t>
      </w:r>
      <w:r w:rsidR="00351A7C">
        <w:rPr>
          <w:rFonts w:ascii="Arial" w:hAnsi="Arial" w:cs="Arial"/>
        </w:rPr>
        <w:t>T</w:t>
      </w:r>
      <w:r w:rsidR="00667B8B" w:rsidRPr="00667B8B">
        <w:rPr>
          <w:rFonts w:ascii="Arial" w:hAnsi="Arial" w:cs="Arial"/>
        </w:rPr>
        <w:t>able 7 below</w:t>
      </w:r>
      <w:r w:rsidR="00067763" w:rsidRPr="00667FB0">
        <w:rPr>
          <w:rFonts w:ascii="Arial" w:hAnsi="Arial" w:cs="Arial"/>
        </w:rPr>
        <w:t>.</w:t>
      </w:r>
    </w:p>
    <w:tbl>
      <w:tblPr>
        <w:tblStyle w:val="TableGrid"/>
        <w:tblW w:w="0" w:type="auto"/>
        <w:jc w:val="center"/>
        <w:tblLook w:val="04A0" w:firstRow="1" w:lastRow="0" w:firstColumn="1" w:lastColumn="0" w:noHBand="0" w:noVBand="1"/>
      </w:tblPr>
      <w:tblGrid>
        <w:gridCol w:w="3280"/>
        <w:gridCol w:w="1323"/>
        <w:gridCol w:w="1460"/>
        <w:gridCol w:w="1483"/>
        <w:gridCol w:w="1310"/>
      </w:tblGrid>
      <w:tr w:rsidR="004E491C" w:rsidRPr="004E491C" w14:paraId="09BD921C" w14:textId="77777777" w:rsidTr="00857E21">
        <w:trPr>
          <w:trHeight w:val="855"/>
          <w:jc w:val="center"/>
        </w:trPr>
        <w:tc>
          <w:tcPr>
            <w:tcW w:w="3280" w:type="dxa"/>
            <w:hideMark/>
          </w:tcPr>
          <w:p w14:paraId="27E70EB1" w14:textId="74B7A253" w:rsidR="004E491C" w:rsidRPr="00351A7C" w:rsidRDefault="00351A7C" w:rsidP="00351A7C">
            <w:pPr>
              <w:spacing w:after="240"/>
              <w:jc w:val="center"/>
              <w:rPr>
                <w:rFonts w:ascii="Arial" w:hAnsi="Arial" w:cs="Arial"/>
                <w:b/>
                <w:bCs/>
              </w:rPr>
            </w:pPr>
            <w:r w:rsidRPr="00351A7C">
              <w:rPr>
                <w:rFonts w:ascii="Arial" w:hAnsi="Arial" w:cs="Arial"/>
                <w:b/>
                <w:bCs/>
              </w:rPr>
              <w:t>Table 7: Investment Limits</w:t>
            </w:r>
          </w:p>
        </w:tc>
        <w:tc>
          <w:tcPr>
            <w:tcW w:w="1280" w:type="dxa"/>
            <w:hideMark/>
          </w:tcPr>
          <w:p w14:paraId="0E8DC877" w14:textId="6F141F33" w:rsidR="00ED043D" w:rsidRDefault="004E491C" w:rsidP="00351A7C">
            <w:pPr>
              <w:spacing w:after="240"/>
              <w:jc w:val="center"/>
              <w:rPr>
                <w:rFonts w:ascii="Arial" w:hAnsi="Arial" w:cs="Arial"/>
                <w:b/>
                <w:bCs/>
              </w:rPr>
            </w:pPr>
            <w:r w:rsidRPr="00351A7C">
              <w:rPr>
                <w:rFonts w:ascii="Arial" w:hAnsi="Arial" w:cs="Arial"/>
                <w:b/>
                <w:bCs/>
              </w:rPr>
              <w:t>2023/24 Maximum</w:t>
            </w:r>
            <w:r w:rsidR="00351A7C" w:rsidRPr="00351A7C">
              <w:rPr>
                <w:rFonts w:ascii="Arial" w:hAnsi="Arial" w:cs="Arial"/>
                <w:b/>
                <w:bCs/>
              </w:rPr>
              <w:t xml:space="preserve"> </w:t>
            </w:r>
            <w:proofErr w:type="gramStart"/>
            <w:r w:rsidR="00F527E8">
              <w:rPr>
                <w:rFonts w:ascii="Arial" w:hAnsi="Arial" w:cs="Arial"/>
                <w:b/>
                <w:bCs/>
              </w:rPr>
              <w:t xml:space="preserve">Invested </w:t>
            </w:r>
            <w:r w:rsidR="00351A7C" w:rsidRPr="00351A7C">
              <w:rPr>
                <w:rFonts w:ascii="Arial" w:hAnsi="Arial" w:cs="Arial"/>
                <w:b/>
                <w:bCs/>
              </w:rPr>
              <w:t xml:space="preserve"> </w:t>
            </w:r>
            <w:r w:rsidR="0026706D">
              <w:rPr>
                <w:rFonts w:ascii="Arial" w:hAnsi="Arial" w:cs="Arial"/>
                <w:b/>
                <w:bCs/>
              </w:rPr>
              <w:t>during</w:t>
            </w:r>
            <w:proofErr w:type="gramEnd"/>
            <w:r w:rsidR="0026706D">
              <w:rPr>
                <w:rFonts w:ascii="Arial" w:hAnsi="Arial" w:cs="Arial"/>
                <w:b/>
                <w:bCs/>
              </w:rPr>
              <w:t xml:space="preserve"> </w:t>
            </w:r>
            <w:r w:rsidR="00F527E8">
              <w:rPr>
                <w:rFonts w:ascii="Arial" w:hAnsi="Arial" w:cs="Arial"/>
                <w:b/>
                <w:bCs/>
              </w:rPr>
              <w:t>Q1</w:t>
            </w:r>
          </w:p>
          <w:p w14:paraId="662B5CF6" w14:textId="1234CC49" w:rsidR="004E491C" w:rsidRPr="00351A7C" w:rsidRDefault="00351A7C" w:rsidP="00351A7C">
            <w:pPr>
              <w:spacing w:after="240"/>
              <w:jc w:val="center"/>
              <w:rPr>
                <w:rFonts w:ascii="Arial" w:hAnsi="Arial" w:cs="Arial"/>
                <w:b/>
                <w:bCs/>
              </w:rPr>
            </w:pPr>
            <w:r w:rsidRPr="00351A7C">
              <w:rPr>
                <w:rFonts w:ascii="Arial" w:hAnsi="Arial" w:cs="Arial"/>
                <w:b/>
                <w:bCs/>
              </w:rPr>
              <w:t>£m</w:t>
            </w:r>
          </w:p>
        </w:tc>
        <w:tc>
          <w:tcPr>
            <w:tcW w:w="1460" w:type="dxa"/>
            <w:hideMark/>
          </w:tcPr>
          <w:p w14:paraId="3C368262" w14:textId="77777777" w:rsidR="00ED043D" w:rsidRDefault="004E491C" w:rsidP="00351A7C">
            <w:pPr>
              <w:spacing w:after="240"/>
              <w:jc w:val="center"/>
              <w:rPr>
                <w:rFonts w:ascii="Arial" w:hAnsi="Arial" w:cs="Arial"/>
                <w:b/>
                <w:bCs/>
              </w:rPr>
            </w:pPr>
            <w:r w:rsidRPr="00351A7C">
              <w:rPr>
                <w:rFonts w:ascii="Arial" w:hAnsi="Arial" w:cs="Arial"/>
                <w:b/>
                <w:bCs/>
              </w:rPr>
              <w:t>30/06/23 Actual</w:t>
            </w:r>
          </w:p>
          <w:p w14:paraId="289A4035" w14:textId="41E9AA49" w:rsidR="004E491C" w:rsidRPr="00351A7C" w:rsidRDefault="00351A7C" w:rsidP="00351A7C">
            <w:pPr>
              <w:spacing w:after="240"/>
              <w:jc w:val="center"/>
              <w:rPr>
                <w:rFonts w:ascii="Arial" w:hAnsi="Arial" w:cs="Arial"/>
                <w:b/>
                <w:bCs/>
              </w:rPr>
            </w:pPr>
            <w:r w:rsidRPr="00351A7C">
              <w:rPr>
                <w:rFonts w:ascii="Arial" w:hAnsi="Arial" w:cs="Arial"/>
                <w:b/>
                <w:bCs/>
              </w:rPr>
              <w:t xml:space="preserve"> £m</w:t>
            </w:r>
          </w:p>
        </w:tc>
        <w:tc>
          <w:tcPr>
            <w:tcW w:w="1364" w:type="dxa"/>
            <w:hideMark/>
          </w:tcPr>
          <w:p w14:paraId="409DE7E0" w14:textId="77777777" w:rsidR="004E491C" w:rsidRPr="00351A7C" w:rsidRDefault="004E491C" w:rsidP="00351A7C">
            <w:pPr>
              <w:spacing w:after="240"/>
              <w:jc w:val="center"/>
              <w:rPr>
                <w:rFonts w:ascii="Arial" w:hAnsi="Arial" w:cs="Arial"/>
                <w:b/>
                <w:bCs/>
              </w:rPr>
            </w:pPr>
            <w:r w:rsidRPr="00351A7C">
              <w:rPr>
                <w:rFonts w:ascii="Arial" w:hAnsi="Arial" w:cs="Arial"/>
                <w:b/>
                <w:bCs/>
              </w:rPr>
              <w:t>2023/24 Authorised Limit</w:t>
            </w:r>
          </w:p>
        </w:tc>
        <w:tc>
          <w:tcPr>
            <w:tcW w:w="1230" w:type="dxa"/>
            <w:hideMark/>
          </w:tcPr>
          <w:p w14:paraId="7235E0E6" w14:textId="77777777" w:rsidR="007E299E" w:rsidRDefault="007E299E" w:rsidP="00351A7C">
            <w:pPr>
              <w:spacing w:after="240"/>
              <w:jc w:val="center"/>
              <w:rPr>
                <w:rFonts w:ascii="Arial" w:hAnsi="Arial" w:cs="Arial"/>
                <w:b/>
                <w:bCs/>
              </w:rPr>
            </w:pPr>
          </w:p>
          <w:p w14:paraId="04D5662D" w14:textId="4E21653E" w:rsidR="004E491C" w:rsidRPr="00351A7C" w:rsidRDefault="004E491C" w:rsidP="00351A7C">
            <w:pPr>
              <w:spacing w:after="240"/>
              <w:jc w:val="center"/>
              <w:rPr>
                <w:rFonts w:ascii="Arial" w:hAnsi="Arial" w:cs="Arial"/>
                <w:b/>
                <w:bCs/>
              </w:rPr>
            </w:pPr>
            <w:r w:rsidRPr="00351A7C">
              <w:rPr>
                <w:rFonts w:ascii="Arial" w:hAnsi="Arial" w:cs="Arial"/>
                <w:b/>
                <w:bCs/>
              </w:rPr>
              <w:t>Complied</w:t>
            </w:r>
          </w:p>
        </w:tc>
      </w:tr>
      <w:tr w:rsidR="004E491C" w:rsidRPr="004E491C" w14:paraId="5626BF60" w14:textId="77777777" w:rsidTr="00857E21">
        <w:trPr>
          <w:trHeight w:val="315"/>
          <w:jc w:val="center"/>
        </w:trPr>
        <w:tc>
          <w:tcPr>
            <w:tcW w:w="3280" w:type="dxa"/>
            <w:hideMark/>
          </w:tcPr>
          <w:p w14:paraId="4EA501D8" w14:textId="49B03C2A" w:rsidR="004E491C" w:rsidRPr="004E491C" w:rsidRDefault="003749B1" w:rsidP="00351A7C">
            <w:pPr>
              <w:spacing w:after="240"/>
              <w:jc w:val="center"/>
              <w:rPr>
                <w:rFonts w:ascii="Arial" w:hAnsi="Arial" w:cs="Arial"/>
              </w:rPr>
            </w:pPr>
            <w:r>
              <w:rPr>
                <w:rFonts w:ascii="Arial" w:hAnsi="Arial" w:cs="Arial"/>
              </w:rPr>
              <w:t xml:space="preserve"> </w:t>
            </w:r>
            <w:r w:rsidR="004E491C" w:rsidRPr="004E491C">
              <w:rPr>
                <w:rFonts w:ascii="Arial" w:hAnsi="Arial" w:cs="Arial"/>
              </w:rPr>
              <w:t>The UK Government</w:t>
            </w:r>
          </w:p>
        </w:tc>
        <w:tc>
          <w:tcPr>
            <w:tcW w:w="1280" w:type="dxa"/>
            <w:hideMark/>
          </w:tcPr>
          <w:p w14:paraId="2B44929D" w14:textId="675676B2" w:rsidR="004E491C" w:rsidRPr="004E491C" w:rsidRDefault="004E491C" w:rsidP="00351A7C">
            <w:pPr>
              <w:spacing w:after="240"/>
              <w:jc w:val="center"/>
              <w:rPr>
                <w:rFonts w:ascii="Arial" w:hAnsi="Arial" w:cs="Arial"/>
              </w:rPr>
            </w:pPr>
            <w:r w:rsidRPr="004E491C">
              <w:rPr>
                <w:rFonts w:ascii="Arial" w:hAnsi="Arial" w:cs="Arial"/>
              </w:rPr>
              <w:t>17</w:t>
            </w:r>
            <w:r w:rsidR="00173BEF">
              <w:rPr>
                <w:rFonts w:ascii="Arial" w:hAnsi="Arial" w:cs="Arial"/>
              </w:rPr>
              <w:t>.00</w:t>
            </w:r>
          </w:p>
        </w:tc>
        <w:tc>
          <w:tcPr>
            <w:tcW w:w="1460" w:type="dxa"/>
            <w:hideMark/>
          </w:tcPr>
          <w:p w14:paraId="00B94E08" w14:textId="7A6EE9E0" w:rsidR="004E491C" w:rsidRPr="004E491C" w:rsidRDefault="004E491C" w:rsidP="00351A7C">
            <w:pPr>
              <w:spacing w:after="240"/>
              <w:jc w:val="center"/>
              <w:rPr>
                <w:rFonts w:ascii="Arial" w:hAnsi="Arial" w:cs="Arial"/>
              </w:rPr>
            </w:pPr>
            <w:r w:rsidRPr="004E491C">
              <w:rPr>
                <w:rFonts w:ascii="Arial" w:hAnsi="Arial" w:cs="Arial"/>
              </w:rPr>
              <w:t>12.5</w:t>
            </w:r>
            <w:r w:rsidR="003171EF">
              <w:rPr>
                <w:rFonts w:ascii="Arial" w:hAnsi="Arial" w:cs="Arial"/>
              </w:rPr>
              <w:t>0</w:t>
            </w:r>
          </w:p>
        </w:tc>
        <w:tc>
          <w:tcPr>
            <w:tcW w:w="1364" w:type="dxa"/>
            <w:hideMark/>
          </w:tcPr>
          <w:p w14:paraId="5FF336D6" w14:textId="77777777" w:rsidR="004E491C" w:rsidRPr="004E491C" w:rsidRDefault="004E491C" w:rsidP="00351A7C">
            <w:pPr>
              <w:spacing w:after="240"/>
              <w:jc w:val="center"/>
              <w:rPr>
                <w:rFonts w:ascii="Arial" w:hAnsi="Arial" w:cs="Arial"/>
              </w:rPr>
            </w:pPr>
            <w:r w:rsidRPr="004E491C">
              <w:rPr>
                <w:rFonts w:ascii="Arial" w:hAnsi="Arial" w:cs="Arial"/>
              </w:rPr>
              <w:t>n/a</w:t>
            </w:r>
          </w:p>
        </w:tc>
        <w:tc>
          <w:tcPr>
            <w:tcW w:w="1230" w:type="dxa"/>
            <w:hideMark/>
          </w:tcPr>
          <w:p w14:paraId="108B96D9" w14:textId="77777777" w:rsidR="004E491C" w:rsidRPr="00351A7C" w:rsidRDefault="004E491C" w:rsidP="00351A7C">
            <w:pPr>
              <w:spacing w:after="240"/>
              <w:jc w:val="center"/>
              <w:rPr>
                <w:rFonts w:ascii="Wingdings" w:hAnsi="Wingdings" w:cs="Arial"/>
              </w:rPr>
            </w:pPr>
            <w:r w:rsidRPr="00351A7C">
              <w:rPr>
                <w:rFonts w:ascii="Wingdings" w:hAnsi="Wingdings" w:cs="Arial"/>
              </w:rPr>
              <w:t>ü</w:t>
            </w:r>
          </w:p>
        </w:tc>
      </w:tr>
      <w:tr w:rsidR="004E491C" w:rsidRPr="004E491C" w14:paraId="6194D8A6" w14:textId="77777777" w:rsidTr="00857E21">
        <w:trPr>
          <w:trHeight w:val="585"/>
          <w:jc w:val="center"/>
        </w:trPr>
        <w:tc>
          <w:tcPr>
            <w:tcW w:w="3280" w:type="dxa"/>
            <w:hideMark/>
          </w:tcPr>
          <w:p w14:paraId="278896B9" w14:textId="77777777" w:rsidR="004E491C" w:rsidRPr="004E491C" w:rsidRDefault="004E491C" w:rsidP="00351A7C">
            <w:pPr>
              <w:spacing w:after="240"/>
              <w:jc w:val="center"/>
              <w:rPr>
                <w:rFonts w:ascii="Arial" w:hAnsi="Arial" w:cs="Arial"/>
              </w:rPr>
            </w:pPr>
            <w:r w:rsidRPr="004E491C">
              <w:rPr>
                <w:rFonts w:ascii="Arial" w:hAnsi="Arial" w:cs="Arial"/>
              </w:rPr>
              <w:t>Local authorities &amp; other government entities</w:t>
            </w:r>
          </w:p>
        </w:tc>
        <w:tc>
          <w:tcPr>
            <w:tcW w:w="1280" w:type="dxa"/>
            <w:hideMark/>
          </w:tcPr>
          <w:p w14:paraId="3E0B10AC" w14:textId="12AD885A" w:rsidR="004E491C" w:rsidRPr="004E491C" w:rsidRDefault="004E491C" w:rsidP="00351A7C">
            <w:pPr>
              <w:spacing w:after="240"/>
              <w:jc w:val="center"/>
              <w:rPr>
                <w:rFonts w:ascii="Arial" w:hAnsi="Arial" w:cs="Arial"/>
              </w:rPr>
            </w:pPr>
            <w:r w:rsidRPr="004E491C">
              <w:rPr>
                <w:rFonts w:ascii="Arial" w:hAnsi="Arial" w:cs="Arial"/>
              </w:rPr>
              <w:t>7</w:t>
            </w:r>
            <w:r w:rsidR="00173BEF">
              <w:rPr>
                <w:rFonts w:ascii="Arial" w:hAnsi="Arial" w:cs="Arial"/>
              </w:rPr>
              <w:t>.00</w:t>
            </w:r>
          </w:p>
        </w:tc>
        <w:tc>
          <w:tcPr>
            <w:tcW w:w="1460" w:type="dxa"/>
            <w:hideMark/>
          </w:tcPr>
          <w:p w14:paraId="498B6BAD" w14:textId="547D96EA" w:rsidR="004E491C" w:rsidRPr="004E491C" w:rsidRDefault="004E491C" w:rsidP="00351A7C">
            <w:pPr>
              <w:spacing w:after="240"/>
              <w:jc w:val="center"/>
              <w:rPr>
                <w:rFonts w:ascii="Arial" w:hAnsi="Arial" w:cs="Arial"/>
              </w:rPr>
            </w:pPr>
            <w:r w:rsidRPr="004E491C">
              <w:rPr>
                <w:rFonts w:ascii="Arial" w:hAnsi="Arial" w:cs="Arial"/>
              </w:rPr>
              <w:t>5</w:t>
            </w:r>
            <w:r w:rsidR="003171EF">
              <w:rPr>
                <w:rFonts w:ascii="Arial" w:hAnsi="Arial" w:cs="Arial"/>
              </w:rPr>
              <w:t>.00</w:t>
            </w:r>
          </w:p>
        </w:tc>
        <w:tc>
          <w:tcPr>
            <w:tcW w:w="1364" w:type="dxa"/>
            <w:hideMark/>
          </w:tcPr>
          <w:p w14:paraId="04AEB9D9" w14:textId="77777777" w:rsidR="004E491C" w:rsidRPr="004E491C" w:rsidRDefault="004E491C" w:rsidP="00351A7C">
            <w:pPr>
              <w:spacing w:after="240"/>
              <w:jc w:val="center"/>
              <w:rPr>
                <w:rFonts w:ascii="Arial" w:hAnsi="Arial" w:cs="Arial"/>
              </w:rPr>
            </w:pPr>
            <w:r w:rsidRPr="004E491C">
              <w:rPr>
                <w:rFonts w:ascii="Arial" w:hAnsi="Arial" w:cs="Arial"/>
              </w:rPr>
              <w:t>Unlimited</w:t>
            </w:r>
          </w:p>
        </w:tc>
        <w:tc>
          <w:tcPr>
            <w:tcW w:w="1230" w:type="dxa"/>
            <w:hideMark/>
          </w:tcPr>
          <w:p w14:paraId="3E1C5FD2" w14:textId="77777777" w:rsidR="004E491C" w:rsidRPr="00351A7C" w:rsidRDefault="004E491C" w:rsidP="00351A7C">
            <w:pPr>
              <w:spacing w:after="240"/>
              <w:jc w:val="center"/>
              <w:rPr>
                <w:rFonts w:ascii="Wingdings" w:hAnsi="Wingdings" w:cs="Arial"/>
              </w:rPr>
            </w:pPr>
            <w:r w:rsidRPr="00351A7C">
              <w:rPr>
                <w:rFonts w:ascii="Wingdings" w:hAnsi="Wingdings" w:cs="Arial"/>
              </w:rPr>
              <w:t>ü</w:t>
            </w:r>
          </w:p>
        </w:tc>
      </w:tr>
      <w:tr w:rsidR="004E491C" w:rsidRPr="004E491C" w14:paraId="3F7AEFBA" w14:textId="77777777" w:rsidTr="00857E21">
        <w:trPr>
          <w:trHeight w:val="315"/>
          <w:jc w:val="center"/>
        </w:trPr>
        <w:tc>
          <w:tcPr>
            <w:tcW w:w="3280" w:type="dxa"/>
            <w:hideMark/>
          </w:tcPr>
          <w:p w14:paraId="26483E95" w14:textId="77777777" w:rsidR="004E491C" w:rsidRPr="004E491C" w:rsidRDefault="004E491C" w:rsidP="00351A7C">
            <w:pPr>
              <w:spacing w:after="240"/>
              <w:jc w:val="center"/>
              <w:rPr>
                <w:rFonts w:ascii="Arial" w:hAnsi="Arial" w:cs="Arial"/>
              </w:rPr>
            </w:pPr>
            <w:r w:rsidRPr="004E491C">
              <w:rPr>
                <w:rFonts w:ascii="Arial" w:hAnsi="Arial" w:cs="Arial"/>
              </w:rPr>
              <w:t>Secured investments *</w:t>
            </w:r>
          </w:p>
        </w:tc>
        <w:tc>
          <w:tcPr>
            <w:tcW w:w="1280" w:type="dxa"/>
            <w:hideMark/>
          </w:tcPr>
          <w:p w14:paraId="3C95B1A5" w14:textId="38A36E68" w:rsidR="004E491C" w:rsidRPr="004E491C" w:rsidRDefault="004E491C" w:rsidP="00351A7C">
            <w:pPr>
              <w:spacing w:after="240"/>
              <w:jc w:val="center"/>
              <w:rPr>
                <w:rFonts w:ascii="Arial" w:hAnsi="Arial" w:cs="Arial"/>
              </w:rPr>
            </w:pPr>
            <w:r w:rsidRPr="004E491C">
              <w:rPr>
                <w:rFonts w:ascii="Arial" w:hAnsi="Arial" w:cs="Arial"/>
              </w:rPr>
              <w:t>17.6</w:t>
            </w:r>
            <w:r w:rsidR="00173BEF">
              <w:rPr>
                <w:rFonts w:ascii="Arial" w:hAnsi="Arial" w:cs="Arial"/>
              </w:rPr>
              <w:t>0</w:t>
            </w:r>
          </w:p>
        </w:tc>
        <w:tc>
          <w:tcPr>
            <w:tcW w:w="1460" w:type="dxa"/>
            <w:hideMark/>
          </w:tcPr>
          <w:p w14:paraId="55CCE6C6" w14:textId="23F63952" w:rsidR="004E491C" w:rsidRPr="004E491C" w:rsidRDefault="004E491C" w:rsidP="00351A7C">
            <w:pPr>
              <w:spacing w:after="240"/>
              <w:jc w:val="center"/>
              <w:rPr>
                <w:rFonts w:ascii="Arial" w:hAnsi="Arial" w:cs="Arial"/>
              </w:rPr>
            </w:pPr>
            <w:r w:rsidRPr="004E491C">
              <w:rPr>
                <w:rFonts w:ascii="Arial" w:hAnsi="Arial" w:cs="Arial"/>
              </w:rPr>
              <w:t>17.6</w:t>
            </w:r>
            <w:r w:rsidR="003171EF">
              <w:rPr>
                <w:rFonts w:ascii="Arial" w:hAnsi="Arial" w:cs="Arial"/>
              </w:rPr>
              <w:t>0</w:t>
            </w:r>
          </w:p>
        </w:tc>
        <w:tc>
          <w:tcPr>
            <w:tcW w:w="1364" w:type="dxa"/>
            <w:hideMark/>
          </w:tcPr>
          <w:p w14:paraId="30BE1FFC" w14:textId="77777777" w:rsidR="004E491C" w:rsidRPr="004E491C" w:rsidRDefault="004E491C" w:rsidP="00351A7C">
            <w:pPr>
              <w:spacing w:after="240"/>
              <w:jc w:val="center"/>
              <w:rPr>
                <w:rFonts w:ascii="Arial" w:hAnsi="Arial" w:cs="Arial"/>
              </w:rPr>
            </w:pPr>
            <w:r w:rsidRPr="004E491C">
              <w:rPr>
                <w:rFonts w:ascii="Arial" w:hAnsi="Arial" w:cs="Arial"/>
              </w:rPr>
              <w:t>Unlimited</w:t>
            </w:r>
          </w:p>
        </w:tc>
        <w:tc>
          <w:tcPr>
            <w:tcW w:w="1230" w:type="dxa"/>
            <w:hideMark/>
          </w:tcPr>
          <w:p w14:paraId="08DDC929" w14:textId="77777777" w:rsidR="004E491C" w:rsidRPr="00351A7C" w:rsidRDefault="004E491C" w:rsidP="00351A7C">
            <w:pPr>
              <w:spacing w:after="240"/>
              <w:jc w:val="center"/>
              <w:rPr>
                <w:rFonts w:ascii="Wingdings" w:hAnsi="Wingdings" w:cs="Arial"/>
              </w:rPr>
            </w:pPr>
            <w:r w:rsidRPr="00351A7C">
              <w:rPr>
                <w:rFonts w:ascii="Wingdings" w:hAnsi="Wingdings" w:cs="Arial"/>
              </w:rPr>
              <w:t>ü</w:t>
            </w:r>
          </w:p>
        </w:tc>
      </w:tr>
      <w:tr w:rsidR="004E491C" w:rsidRPr="004E491C" w14:paraId="222D2642" w14:textId="77777777" w:rsidTr="00857E21">
        <w:trPr>
          <w:trHeight w:val="315"/>
          <w:jc w:val="center"/>
        </w:trPr>
        <w:tc>
          <w:tcPr>
            <w:tcW w:w="3280" w:type="dxa"/>
            <w:hideMark/>
          </w:tcPr>
          <w:p w14:paraId="6A4B977F" w14:textId="77777777" w:rsidR="004E491C" w:rsidRPr="004E491C" w:rsidRDefault="004E491C" w:rsidP="00351A7C">
            <w:pPr>
              <w:spacing w:after="240"/>
              <w:jc w:val="center"/>
              <w:rPr>
                <w:rFonts w:ascii="Arial" w:hAnsi="Arial" w:cs="Arial"/>
              </w:rPr>
            </w:pPr>
            <w:r w:rsidRPr="004E491C">
              <w:rPr>
                <w:rFonts w:ascii="Arial" w:hAnsi="Arial" w:cs="Arial"/>
              </w:rPr>
              <w:t>Banks (unsecured) *</w:t>
            </w:r>
          </w:p>
        </w:tc>
        <w:tc>
          <w:tcPr>
            <w:tcW w:w="1280" w:type="dxa"/>
            <w:hideMark/>
          </w:tcPr>
          <w:p w14:paraId="70FFD6AC" w14:textId="77777777" w:rsidR="004E491C" w:rsidRPr="004E491C" w:rsidRDefault="004E491C" w:rsidP="00351A7C">
            <w:pPr>
              <w:spacing w:after="240"/>
              <w:jc w:val="center"/>
              <w:rPr>
                <w:rFonts w:ascii="Arial" w:hAnsi="Arial" w:cs="Arial"/>
              </w:rPr>
            </w:pPr>
            <w:r w:rsidRPr="004E491C">
              <w:rPr>
                <w:rFonts w:ascii="Arial" w:hAnsi="Arial" w:cs="Arial"/>
              </w:rPr>
              <w:t>10.33</w:t>
            </w:r>
          </w:p>
        </w:tc>
        <w:tc>
          <w:tcPr>
            <w:tcW w:w="1460" w:type="dxa"/>
            <w:hideMark/>
          </w:tcPr>
          <w:p w14:paraId="21DB8823" w14:textId="77777777" w:rsidR="004E491C" w:rsidRPr="004E491C" w:rsidRDefault="004E491C" w:rsidP="00351A7C">
            <w:pPr>
              <w:spacing w:after="240"/>
              <w:jc w:val="center"/>
              <w:rPr>
                <w:rFonts w:ascii="Arial" w:hAnsi="Arial" w:cs="Arial"/>
              </w:rPr>
            </w:pPr>
            <w:r w:rsidRPr="004E491C">
              <w:rPr>
                <w:rFonts w:ascii="Arial" w:hAnsi="Arial" w:cs="Arial"/>
              </w:rPr>
              <w:t>10.33</w:t>
            </w:r>
          </w:p>
        </w:tc>
        <w:tc>
          <w:tcPr>
            <w:tcW w:w="1364" w:type="dxa"/>
            <w:hideMark/>
          </w:tcPr>
          <w:p w14:paraId="7E025FBB" w14:textId="77777777" w:rsidR="004E491C" w:rsidRPr="004E491C" w:rsidRDefault="004E491C" w:rsidP="00351A7C">
            <w:pPr>
              <w:spacing w:after="240"/>
              <w:jc w:val="center"/>
              <w:rPr>
                <w:rFonts w:ascii="Arial" w:hAnsi="Arial" w:cs="Arial"/>
              </w:rPr>
            </w:pPr>
            <w:r w:rsidRPr="004E491C">
              <w:rPr>
                <w:rFonts w:ascii="Arial" w:hAnsi="Arial" w:cs="Arial"/>
              </w:rPr>
              <w:t>Unlimited</w:t>
            </w:r>
          </w:p>
        </w:tc>
        <w:tc>
          <w:tcPr>
            <w:tcW w:w="1230" w:type="dxa"/>
            <w:hideMark/>
          </w:tcPr>
          <w:p w14:paraId="3C1F91E7" w14:textId="77777777" w:rsidR="004E491C" w:rsidRPr="00351A7C" w:rsidRDefault="004E491C" w:rsidP="00351A7C">
            <w:pPr>
              <w:spacing w:after="240"/>
              <w:jc w:val="center"/>
              <w:rPr>
                <w:rFonts w:ascii="Wingdings" w:hAnsi="Wingdings" w:cs="Arial"/>
              </w:rPr>
            </w:pPr>
            <w:r w:rsidRPr="00351A7C">
              <w:rPr>
                <w:rFonts w:ascii="Wingdings" w:hAnsi="Wingdings" w:cs="Arial"/>
              </w:rPr>
              <w:t>ü</w:t>
            </w:r>
          </w:p>
        </w:tc>
      </w:tr>
      <w:tr w:rsidR="004E491C" w:rsidRPr="004E491C" w14:paraId="7E852226" w14:textId="77777777" w:rsidTr="00857E21">
        <w:trPr>
          <w:trHeight w:val="315"/>
          <w:jc w:val="center"/>
        </w:trPr>
        <w:tc>
          <w:tcPr>
            <w:tcW w:w="3280" w:type="dxa"/>
            <w:hideMark/>
          </w:tcPr>
          <w:p w14:paraId="39217590" w14:textId="77777777" w:rsidR="004E491C" w:rsidRPr="004E491C" w:rsidRDefault="004E491C" w:rsidP="00351A7C">
            <w:pPr>
              <w:spacing w:after="240"/>
              <w:jc w:val="center"/>
              <w:rPr>
                <w:rFonts w:ascii="Arial" w:hAnsi="Arial" w:cs="Arial"/>
              </w:rPr>
            </w:pPr>
            <w:r w:rsidRPr="004E491C">
              <w:rPr>
                <w:rFonts w:ascii="Arial" w:hAnsi="Arial" w:cs="Arial"/>
              </w:rPr>
              <w:t>Building societies (unsecured) *</w:t>
            </w:r>
          </w:p>
        </w:tc>
        <w:tc>
          <w:tcPr>
            <w:tcW w:w="1280" w:type="dxa"/>
            <w:hideMark/>
          </w:tcPr>
          <w:p w14:paraId="53A7E902" w14:textId="301711BA" w:rsidR="004E491C" w:rsidRPr="004E491C" w:rsidRDefault="004E491C" w:rsidP="00351A7C">
            <w:pPr>
              <w:spacing w:after="240"/>
              <w:jc w:val="center"/>
              <w:rPr>
                <w:rFonts w:ascii="Arial" w:hAnsi="Arial" w:cs="Arial"/>
              </w:rPr>
            </w:pPr>
            <w:r w:rsidRPr="004E491C">
              <w:rPr>
                <w:rFonts w:ascii="Arial" w:hAnsi="Arial" w:cs="Arial"/>
              </w:rPr>
              <w:t>0</w:t>
            </w:r>
            <w:r w:rsidR="00173BEF">
              <w:rPr>
                <w:rFonts w:ascii="Arial" w:hAnsi="Arial" w:cs="Arial"/>
              </w:rPr>
              <w:t>.00</w:t>
            </w:r>
          </w:p>
        </w:tc>
        <w:tc>
          <w:tcPr>
            <w:tcW w:w="1460" w:type="dxa"/>
            <w:hideMark/>
          </w:tcPr>
          <w:p w14:paraId="6BA2C771" w14:textId="6BA3A175" w:rsidR="004E491C" w:rsidRPr="004E491C" w:rsidRDefault="004E491C" w:rsidP="00351A7C">
            <w:pPr>
              <w:spacing w:after="240"/>
              <w:jc w:val="center"/>
              <w:rPr>
                <w:rFonts w:ascii="Arial" w:hAnsi="Arial" w:cs="Arial"/>
              </w:rPr>
            </w:pPr>
            <w:r w:rsidRPr="004E491C">
              <w:rPr>
                <w:rFonts w:ascii="Arial" w:hAnsi="Arial" w:cs="Arial"/>
              </w:rPr>
              <w:t>0</w:t>
            </w:r>
            <w:r w:rsidR="003171EF">
              <w:rPr>
                <w:rFonts w:ascii="Arial" w:hAnsi="Arial" w:cs="Arial"/>
              </w:rPr>
              <w:t>.00</w:t>
            </w:r>
          </w:p>
        </w:tc>
        <w:tc>
          <w:tcPr>
            <w:tcW w:w="1364" w:type="dxa"/>
            <w:hideMark/>
          </w:tcPr>
          <w:p w14:paraId="5ECA3276" w14:textId="77777777" w:rsidR="004E491C" w:rsidRPr="004E491C" w:rsidRDefault="004E491C" w:rsidP="00351A7C">
            <w:pPr>
              <w:spacing w:after="240"/>
              <w:jc w:val="center"/>
              <w:rPr>
                <w:rFonts w:ascii="Arial" w:hAnsi="Arial" w:cs="Arial"/>
              </w:rPr>
            </w:pPr>
            <w:r w:rsidRPr="004E491C">
              <w:rPr>
                <w:rFonts w:ascii="Arial" w:hAnsi="Arial" w:cs="Arial"/>
              </w:rPr>
              <w:t>£16m</w:t>
            </w:r>
          </w:p>
        </w:tc>
        <w:tc>
          <w:tcPr>
            <w:tcW w:w="1230" w:type="dxa"/>
            <w:hideMark/>
          </w:tcPr>
          <w:p w14:paraId="0DFEAED0" w14:textId="77777777" w:rsidR="004E491C" w:rsidRPr="00351A7C" w:rsidRDefault="004E491C" w:rsidP="00351A7C">
            <w:pPr>
              <w:spacing w:after="240"/>
              <w:jc w:val="center"/>
              <w:rPr>
                <w:rFonts w:ascii="Wingdings" w:hAnsi="Wingdings" w:cs="Arial"/>
              </w:rPr>
            </w:pPr>
            <w:r w:rsidRPr="00351A7C">
              <w:rPr>
                <w:rFonts w:ascii="Wingdings" w:hAnsi="Wingdings" w:cs="Arial"/>
              </w:rPr>
              <w:t>ü</w:t>
            </w:r>
          </w:p>
        </w:tc>
      </w:tr>
      <w:tr w:rsidR="004E491C" w:rsidRPr="004E491C" w14:paraId="37EC68A0" w14:textId="77777777" w:rsidTr="00857E21">
        <w:trPr>
          <w:trHeight w:val="585"/>
          <w:jc w:val="center"/>
        </w:trPr>
        <w:tc>
          <w:tcPr>
            <w:tcW w:w="3280" w:type="dxa"/>
            <w:hideMark/>
          </w:tcPr>
          <w:p w14:paraId="547BFBAC" w14:textId="77777777" w:rsidR="004E491C" w:rsidRPr="004E491C" w:rsidRDefault="004E491C" w:rsidP="00351A7C">
            <w:pPr>
              <w:spacing w:after="240"/>
              <w:jc w:val="center"/>
              <w:rPr>
                <w:rFonts w:ascii="Arial" w:hAnsi="Arial" w:cs="Arial"/>
              </w:rPr>
            </w:pPr>
            <w:r w:rsidRPr="004E491C">
              <w:rPr>
                <w:rFonts w:ascii="Arial" w:hAnsi="Arial" w:cs="Arial"/>
              </w:rPr>
              <w:t>Registered providers (unsecured) *</w:t>
            </w:r>
          </w:p>
        </w:tc>
        <w:tc>
          <w:tcPr>
            <w:tcW w:w="1280" w:type="dxa"/>
            <w:hideMark/>
          </w:tcPr>
          <w:p w14:paraId="3372D6AB" w14:textId="0A1F285F" w:rsidR="004E491C" w:rsidRPr="004E491C" w:rsidRDefault="004E491C" w:rsidP="00351A7C">
            <w:pPr>
              <w:spacing w:after="240"/>
              <w:jc w:val="center"/>
              <w:rPr>
                <w:rFonts w:ascii="Arial" w:hAnsi="Arial" w:cs="Arial"/>
              </w:rPr>
            </w:pPr>
            <w:r w:rsidRPr="004E491C">
              <w:rPr>
                <w:rFonts w:ascii="Arial" w:hAnsi="Arial" w:cs="Arial"/>
              </w:rPr>
              <w:t>0</w:t>
            </w:r>
            <w:r w:rsidR="00173BEF">
              <w:rPr>
                <w:rFonts w:ascii="Arial" w:hAnsi="Arial" w:cs="Arial"/>
              </w:rPr>
              <w:t>.00</w:t>
            </w:r>
          </w:p>
        </w:tc>
        <w:tc>
          <w:tcPr>
            <w:tcW w:w="1460" w:type="dxa"/>
            <w:hideMark/>
          </w:tcPr>
          <w:p w14:paraId="57A22826" w14:textId="726E09D1" w:rsidR="004E491C" w:rsidRPr="004E491C" w:rsidRDefault="004E491C" w:rsidP="00351A7C">
            <w:pPr>
              <w:spacing w:after="240"/>
              <w:jc w:val="center"/>
              <w:rPr>
                <w:rFonts w:ascii="Arial" w:hAnsi="Arial" w:cs="Arial"/>
              </w:rPr>
            </w:pPr>
            <w:r w:rsidRPr="004E491C">
              <w:rPr>
                <w:rFonts w:ascii="Arial" w:hAnsi="Arial" w:cs="Arial"/>
              </w:rPr>
              <w:t>0</w:t>
            </w:r>
            <w:r w:rsidR="003171EF">
              <w:rPr>
                <w:rFonts w:ascii="Arial" w:hAnsi="Arial" w:cs="Arial"/>
              </w:rPr>
              <w:t>.00</w:t>
            </w:r>
          </w:p>
        </w:tc>
        <w:tc>
          <w:tcPr>
            <w:tcW w:w="1364" w:type="dxa"/>
            <w:hideMark/>
          </w:tcPr>
          <w:p w14:paraId="02EB2555" w14:textId="77777777" w:rsidR="004E491C" w:rsidRPr="004E491C" w:rsidRDefault="004E491C" w:rsidP="00351A7C">
            <w:pPr>
              <w:spacing w:after="240"/>
              <w:jc w:val="center"/>
              <w:rPr>
                <w:rFonts w:ascii="Arial" w:hAnsi="Arial" w:cs="Arial"/>
              </w:rPr>
            </w:pPr>
            <w:r w:rsidRPr="004E491C">
              <w:rPr>
                <w:rFonts w:ascii="Arial" w:hAnsi="Arial" w:cs="Arial"/>
              </w:rPr>
              <w:t>£16m</w:t>
            </w:r>
          </w:p>
        </w:tc>
        <w:tc>
          <w:tcPr>
            <w:tcW w:w="1230" w:type="dxa"/>
            <w:hideMark/>
          </w:tcPr>
          <w:p w14:paraId="1203D418" w14:textId="77777777" w:rsidR="004E491C" w:rsidRPr="00351A7C" w:rsidRDefault="004E491C" w:rsidP="00351A7C">
            <w:pPr>
              <w:spacing w:after="240"/>
              <w:jc w:val="center"/>
              <w:rPr>
                <w:rFonts w:ascii="Wingdings" w:hAnsi="Wingdings" w:cs="Arial"/>
              </w:rPr>
            </w:pPr>
            <w:r w:rsidRPr="00351A7C">
              <w:rPr>
                <w:rFonts w:ascii="Wingdings" w:hAnsi="Wingdings" w:cs="Arial"/>
              </w:rPr>
              <w:t>ü</w:t>
            </w:r>
          </w:p>
        </w:tc>
      </w:tr>
      <w:tr w:rsidR="004E491C" w:rsidRPr="004E491C" w14:paraId="2261B586" w14:textId="77777777" w:rsidTr="00857E21">
        <w:trPr>
          <w:trHeight w:val="315"/>
          <w:jc w:val="center"/>
        </w:trPr>
        <w:tc>
          <w:tcPr>
            <w:tcW w:w="3280" w:type="dxa"/>
            <w:hideMark/>
          </w:tcPr>
          <w:p w14:paraId="03768CAF" w14:textId="77777777" w:rsidR="004E491C" w:rsidRPr="004E491C" w:rsidRDefault="004E491C" w:rsidP="00351A7C">
            <w:pPr>
              <w:spacing w:after="240"/>
              <w:jc w:val="center"/>
              <w:rPr>
                <w:rFonts w:ascii="Arial" w:hAnsi="Arial" w:cs="Arial"/>
              </w:rPr>
            </w:pPr>
            <w:r w:rsidRPr="004E491C">
              <w:rPr>
                <w:rFonts w:ascii="Arial" w:hAnsi="Arial" w:cs="Arial"/>
              </w:rPr>
              <w:t>Money market funds *</w:t>
            </w:r>
          </w:p>
        </w:tc>
        <w:tc>
          <w:tcPr>
            <w:tcW w:w="1280" w:type="dxa"/>
            <w:hideMark/>
          </w:tcPr>
          <w:p w14:paraId="75FFBEC8" w14:textId="77777777" w:rsidR="004E491C" w:rsidRPr="004E491C" w:rsidRDefault="004E491C" w:rsidP="00351A7C">
            <w:pPr>
              <w:spacing w:after="240"/>
              <w:jc w:val="center"/>
              <w:rPr>
                <w:rFonts w:ascii="Arial" w:hAnsi="Arial" w:cs="Arial"/>
              </w:rPr>
            </w:pPr>
            <w:r w:rsidRPr="004E491C">
              <w:rPr>
                <w:rFonts w:ascii="Arial" w:hAnsi="Arial" w:cs="Arial"/>
              </w:rPr>
              <w:t>65.48</w:t>
            </w:r>
          </w:p>
        </w:tc>
        <w:tc>
          <w:tcPr>
            <w:tcW w:w="1460" w:type="dxa"/>
            <w:hideMark/>
          </w:tcPr>
          <w:p w14:paraId="6F46FB1C" w14:textId="77777777" w:rsidR="004E491C" w:rsidRPr="004E491C" w:rsidRDefault="004E491C" w:rsidP="00351A7C">
            <w:pPr>
              <w:spacing w:after="240"/>
              <w:jc w:val="center"/>
              <w:rPr>
                <w:rFonts w:ascii="Arial" w:hAnsi="Arial" w:cs="Arial"/>
              </w:rPr>
            </w:pPr>
            <w:r w:rsidRPr="004E491C">
              <w:rPr>
                <w:rFonts w:ascii="Arial" w:hAnsi="Arial" w:cs="Arial"/>
              </w:rPr>
              <w:t>33.31</w:t>
            </w:r>
          </w:p>
        </w:tc>
        <w:tc>
          <w:tcPr>
            <w:tcW w:w="1364" w:type="dxa"/>
            <w:hideMark/>
          </w:tcPr>
          <w:p w14:paraId="111C5623" w14:textId="77777777" w:rsidR="004E491C" w:rsidRPr="004E491C" w:rsidRDefault="004E491C" w:rsidP="00351A7C">
            <w:pPr>
              <w:spacing w:after="240"/>
              <w:jc w:val="center"/>
              <w:rPr>
                <w:rFonts w:ascii="Arial" w:hAnsi="Arial" w:cs="Arial"/>
              </w:rPr>
            </w:pPr>
            <w:r w:rsidRPr="004E491C">
              <w:rPr>
                <w:rFonts w:ascii="Arial" w:hAnsi="Arial" w:cs="Arial"/>
              </w:rPr>
              <w:t>Unlimited</w:t>
            </w:r>
          </w:p>
        </w:tc>
        <w:tc>
          <w:tcPr>
            <w:tcW w:w="1230" w:type="dxa"/>
            <w:hideMark/>
          </w:tcPr>
          <w:p w14:paraId="07214506" w14:textId="77777777" w:rsidR="004E491C" w:rsidRPr="00351A7C" w:rsidRDefault="004E491C" w:rsidP="00351A7C">
            <w:pPr>
              <w:spacing w:after="240"/>
              <w:jc w:val="center"/>
              <w:rPr>
                <w:rFonts w:ascii="Wingdings" w:hAnsi="Wingdings" w:cs="Arial"/>
              </w:rPr>
            </w:pPr>
            <w:r w:rsidRPr="00351A7C">
              <w:rPr>
                <w:rFonts w:ascii="Wingdings" w:hAnsi="Wingdings" w:cs="Arial"/>
              </w:rPr>
              <w:t>ü</w:t>
            </w:r>
          </w:p>
        </w:tc>
      </w:tr>
      <w:tr w:rsidR="004E491C" w:rsidRPr="004E491C" w14:paraId="23C5D543" w14:textId="77777777" w:rsidTr="00857E21">
        <w:trPr>
          <w:trHeight w:val="315"/>
          <w:jc w:val="center"/>
        </w:trPr>
        <w:tc>
          <w:tcPr>
            <w:tcW w:w="3280" w:type="dxa"/>
            <w:hideMark/>
          </w:tcPr>
          <w:p w14:paraId="197D8DF4" w14:textId="77777777" w:rsidR="004E491C" w:rsidRPr="004E491C" w:rsidRDefault="004E491C" w:rsidP="00351A7C">
            <w:pPr>
              <w:spacing w:after="240"/>
              <w:jc w:val="center"/>
              <w:rPr>
                <w:rFonts w:ascii="Arial" w:hAnsi="Arial" w:cs="Arial"/>
              </w:rPr>
            </w:pPr>
            <w:r w:rsidRPr="004E491C">
              <w:rPr>
                <w:rFonts w:ascii="Arial" w:hAnsi="Arial" w:cs="Arial"/>
              </w:rPr>
              <w:t>Strategic pooled funds</w:t>
            </w:r>
          </w:p>
        </w:tc>
        <w:tc>
          <w:tcPr>
            <w:tcW w:w="1280" w:type="dxa"/>
            <w:hideMark/>
          </w:tcPr>
          <w:p w14:paraId="00BB8CEE" w14:textId="01E2F560" w:rsidR="004E491C" w:rsidRPr="004E491C" w:rsidRDefault="004E491C" w:rsidP="00351A7C">
            <w:pPr>
              <w:spacing w:after="240"/>
              <w:jc w:val="center"/>
              <w:rPr>
                <w:rFonts w:ascii="Arial" w:hAnsi="Arial" w:cs="Arial"/>
              </w:rPr>
            </w:pPr>
            <w:r w:rsidRPr="004E491C">
              <w:rPr>
                <w:rFonts w:ascii="Arial" w:hAnsi="Arial" w:cs="Arial"/>
              </w:rPr>
              <w:t>10</w:t>
            </w:r>
            <w:r w:rsidR="00173BEF">
              <w:rPr>
                <w:rFonts w:ascii="Arial" w:hAnsi="Arial" w:cs="Arial"/>
              </w:rPr>
              <w:t>.00</w:t>
            </w:r>
          </w:p>
        </w:tc>
        <w:tc>
          <w:tcPr>
            <w:tcW w:w="1460" w:type="dxa"/>
            <w:hideMark/>
          </w:tcPr>
          <w:p w14:paraId="361A3E49" w14:textId="310391C6" w:rsidR="004E491C" w:rsidRPr="004E491C" w:rsidRDefault="004E491C" w:rsidP="00351A7C">
            <w:pPr>
              <w:spacing w:after="240"/>
              <w:jc w:val="center"/>
              <w:rPr>
                <w:rFonts w:ascii="Arial" w:hAnsi="Arial" w:cs="Arial"/>
              </w:rPr>
            </w:pPr>
            <w:r w:rsidRPr="004E491C">
              <w:rPr>
                <w:rFonts w:ascii="Arial" w:hAnsi="Arial" w:cs="Arial"/>
              </w:rPr>
              <w:t>10</w:t>
            </w:r>
            <w:r w:rsidR="003171EF">
              <w:rPr>
                <w:rFonts w:ascii="Arial" w:hAnsi="Arial" w:cs="Arial"/>
              </w:rPr>
              <w:t>.00</w:t>
            </w:r>
          </w:p>
        </w:tc>
        <w:tc>
          <w:tcPr>
            <w:tcW w:w="1364" w:type="dxa"/>
            <w:hideMark/>
          </w:tcPr>
          <w:p w14:paraId="27D4365D" w14:textId="77777777" w:rsidR="004E491C" w:rsidRPr="004E491C" w:rsidRDefault="004E491C" w:rsidP="00351A7C">
            <w:pPr>
              <w:spacing w:after="240"/>
              <w:jc w:val="center"/>
              <w:rPr>
                <w:rFonts w:ascii="Arial" w:hAnsi="Arial" w:cs="Arial"/>
              </w:rPr>
            </w:pPr>
            <w:r w:rsidRPr="004E491C">
              <w:rPr>
                <w:rFonts w:ascii="Arial" w:hAnsi="Arial" w:cs="Arial"/>
              </w:rPr>
              <w:t>£39m</w:t>
            </w:r>
          </w:p>
        </w:tc>
        <w:tc>
          <w:tcPr>
            <w:tcW w:w="1230" w:type="dxa"/>
            <w:hideMark/>
          </w:tcPr>
          <w:p w14:paraId="13364370" w14:textId="77777777" w:rsidR="004E491C" w:rsidRPr="00351A7C" w:rsidRDefault="004E491C" w:rsidP="00351A7C">
            <w:pPr>
              <w:spacing w:after="240"/>
              <w:jc w:val="center"/>
              <w:rPr>
                <w:rFonts w:ascii="Wingdings" w:hAnsi="Wingdings" w:cs="Arial"/>
              </w:rPr>
            </w:pPr>
            <w:r w:rsidRPr="00351A7C">
              <w:rPr>
                <w:rFonts w:ascii="Wingdings" w:hAnsi="Wingdings" w:cs="Arial"/>
              </w:rPr>
              <w:t>ü</w:t>
            </w:r>
          </w:p>
        </w:tc>
      </w:tr>
      <w:tr w:rsidR="004E491C" w:rsidRPr="004E491C" w14:paraId="0C1A1BE1" w14:textId="77777777" w:rsidTr="00857E21">
        <w:trPr>
          <w:trHeight w:val="315"/>
          <w:jc w:val="center"/>
        </w:trPr>
        <w:tc>
          <w:tcPr>
            <w:tcW w:w="3280" w:type="dxa"/>
            <w:hideMark/>
          </w:tcPr>
          <w:p w14:paraId="7793404E" w14:textId="77777777" w:rsidR="004E491C" w:rsidRPr="004E491C" w:rsidRDefault="004E491C" w:rsidP="00351A7C">
            <w:pPr>
              <w:spacing w:after="240"/>
              <w:jc w:val="center"/>
              <w:rPr>
                <w:rFonts w:ascii="Arial" w:hAnsi="Arial" w:cs="Arial"/>
              </w:rPr>
            </w:pPr>
            <w:r w:rsidRPr="004E491C">
              <w:rPr>
                <w:rFonts w:ascii="Arial" w:hAnsi="Arial" w:cs="Arial"/>
              </w:rPr>
              <w:t>Real estate investment trusts</w:t>
            </w:r>
          </w:p>
        </w:tc>
        <w:tc>
          <w:tcPr>
            <w:tcW w:w="1280" w:type="dxa"/>
            <w:hideMark/>
          </w:tcPr>
          <w:p w14:paraId="6716EFC9" w14:textId="6499FBBB" w:rsidR="004E491C" w:rsidRPr="004E491C" w:rsidRDefault="004E491C" w:rsidP="00351A7C">
            <w:pPr>
              <w:spacing w:after="240"/>
              <w:jc w:val="center"/>
              <w:rPr>
                <w:rFonts w:ascii="Arial" w:hAnsi="Arial" w:cs="Arial"/>
              </w:rPr>
            </w:pPr>
            <w:r w:rsidRPr="004E491C">
              <w:rPr>
                <w:rFonts w:ascii="Arial" w:hAnsi="Arial" w:cs="Arial"/>
              </w:rPr>
              <w:t>0</w:t>
            </w:r>
            <w:r w:rsidR="00173BEF">
              <w:rPr>
                <w:rFonts w:ascii="Arial" w:hAnsi="Arial" w:cs="Arial"/>
              </w:rPr>
              <w:t>.00</w:t>
            </w:r>
          </w:p>
        </w:tc>
        <w:tc>
          <w:tcPr>
            <w:tcW w:w="1460" w:type="dxa"/>
            <w:hideMark/>
          </w:tcPr>
          <w:p w14:paraId="75F9F12B" w14:textId="7EE144DE" w:rsidR="004E491C" w:rsidRPr="004E491C" w:rsidRDefault="004E491C" w:rsidP="00351A7C">
            <w:pPr>
              <w:spacing w:after="240"/>
              <w:jc w:val="center"/>
              <w:rPr>
                <w:rFonts w:ascii="Arial" w:hAnsi="Arial" w:cs="Arial"/>
              </w:rPr>
            </w:pPr>
            <w:r w:rsidRPr="004E491C">
              <w:rPr>
                <w:rFonts w:ascii="Arial" w:hAnsi="Arial" w:cs="Arial"/>
              </w:rPr>
              <w:t>0</w:t>
            </w:r>
            <w:r w:rsidR="003171EF">
              <w:rPr>
                <w:rFonts w:ascii="Arial" w:hAnsi="Arial" w:cs="Arial"/>
              </w:rPr>
              <w:t>.00</w:t>
            </w:r>
          </w:p>
        </w:tc>
        <w:tc>
          <w:tcPr>
            <w:tcW w:w="1364" w:type="dxa"/>
            <w:hideMark/>
          </w:tcPr>
          <w:p w14:paraId="10A60831" w14:textId="77777777" w:rsidR="004E491C" w:rsidRPr="004E491C" w:rsidRDefault="004E491C" w:rsidP="00351A7C">
            <w:pPr>
              <w:spacing w:after="240"/>
              <w:jc w:val="center"/>
              <w:rPr>
                <w:rFonts w:ascii="Arial" w:hAnsi="Arial" w:cs="Arial"/>
              </w:rPr>
            </w:pPr>
            <w:r w:rsidRPr="004E491C">
              <w:rPr>
                <w:rFonts w:ascii="Arial" w:hAnsi="Arial" w:cs="Arial"/>
              </w:rPr>
              <w:t>£16m</w:t>
            </w:r>
          </w:p>
        </w:tc>
        <w:tc>
          <w:tcPr>
            <w:tcW w:w="1230" w:type="dxa"/>
            <w:hideMark/>
          </w:tcPr>
          <w:p w14:paraId="4C950628" w14:textId="77777777" w:rsidR="004E491C" w:rsidRPr="00351A7C" w:rsidRDefault="004E491C" w:rsidP="00351A7C">
            <w:pPr>
              <w:spacing w:after="240"/>
              <w:jc w:val="center"/>
              <w:rPr>
                <w:rFonts w:ascii="Wingdings" w:hAnsi="Wingdings" w:cs="Arial"/>
              </w:rPr>
            </w:pPr>
            <w:r w:rsidRPr="00351A7C">
              <w:rPr>
                <w:rFonts w:ascii="Wingdings" w:hAnsi="Wingdings" w:cs="Arial"/>
              </w:rPr>
              <w:t>ü</w:t>
            </w:r>
          </w:p>
        </w:tc>
      </w:tr>
      <w:tr w:rsidR="004E491C" w:rsidRPr="004E491C" w14:paraId="7F2943D9" w14:textId="77777777" w:rsidTr="00857E21">
        <w:trPr>
          <w:trHeight w:val="315"/>
          <w:jc w:val="center"/>
        </w:trPr>
        <w:tc>
          <w:tcPr>
            <w:tcW w:w="3280" w:type="dxa"/>
            <w:hideMark/>
          </w:tcPr>
          <w:p w14:paraId="60AC3711" w14:textId="77777777" w:rsidR="004E491C" w:rsidRPr="004E491C" w:rsidRDefault="004E491C" w:rsidP="00351A7C">
            <w:pPr>
              <w:spacing w:after="240"/>
              <w:jc w:val="center"/>
              <w:rPr>
                <w:rFonts w:ascii="Arial" w:hAnsi="Arial" w:cs="Arial"/>
              </w:rPr>
            </w:pPr>
            <w:r w:rsidRPr="004E491C">
              <w:rPr>
                <w:rFonts w:ascii="Arial" w:hAnsi="Arial" w:cs="Arial"/>
              </w:rPr>
              <w:t>Other investments *</w:t>
            </w:r>
          </w:p>
        </w:tc>
        <w:tc>
          <w:tcPr>
            <w:tcW w:w="1280" w:type="dxa"/>
            <w:hideMark/>
          </w:tcPr>
          <w:p w14:paraId="49C96715" w14:textId="148EB5FB" w:rsidR="004E491C" w:rsidRPr="004E491C" w:rsidRDefault="004E491C" w:rsidP="00351A7C">
            <w:pPr>
              <w:spacing w:after="240"/>
              <w:jc w:val="center"/>
              <w:rPr>
                <w:rFonts w:ascii="Arial" w:hAnsi="Arial" w:cs="Arial"/>
              </w:rPr>
            </w:pPr>
            <w:r w:rsidRPr="004E491C">
              <w:rPr>
                <w:rFonts w:ascii="Arial" w:hAnsi="Arial" w:cs="Arial"/>
              </w:rPr>
              <w:t>0</w:t>
            </w:r>
            <w:r w:rsidR="00173BEF">
              <w:rPr>
                <w:rFonts w:ascii="Arial" w:hAnsi="Arial" w:cs="Arial"/>
              </w:rPr>
              <w:t>.00</w:t>
            </w:r>
          </w:p>
        </w:tc>
        <w:tc>
          <w:tcPr>
            <w:tcW w:w="1460" w:type="dxa"/>
            <w:hideMark/>
          </w:tcPr>
          <w:p w14:paraId="4E847DA6" w14:textId="6A36F3A0" w:rsidR="004E491C" w:rsidRPr="004E491C" w:rsidRDefault="004E491C" w:rsidP="00351A7C">
            <w:pPr>
              <w:spacing w:after="240"/>
              <w:jc w:val="center"/>
              <w:rPr>
                <w:rFonts w:ascii="Arial" w:hAnsi="Arial" w:cs="Arial"/>
              </w:rPr>
            </w:pPr>
            <w:r w:rsidRPr="004E491C">
              <w:rPr>
                <w:rFonts w:ascii="Arial" w:hAnsi="Arial" w:cs="Arial"/>
              </w:rPr>
              <w:t>0</w:t>
            </w:r>
            <w:r w:rsidR="003171EF">
              <w:rPr>
                <w:rFonts w:ascii="Arial" w:hAnsi="Arial" w:cs="Arial"/>
              </w:rPr>
              <w:t>.00</w:t>
            </w:r>
          </w:p>
        </w:tc>
        <w:tc>
          <w:tcPr>
            <w:tcW w:w="1364" w:type="dxa"/>
            <w:hideMark/>
          </w:tcPr>
          <w:p w14:paraId="4BD52E28" w14:textId="77777777" w:rsidR="004E491C" w:rsidRPr="004E491C" w:rsidRDefault="004E491C" w:rsidP="00351A7C">
            <w:pPr>
              <w:spacing w:after="240"/>
              <w:jc w:val="center"/>
              <w:rPr>
                <w:rFonts w:ascii="Arial" w:hAnsi="Arial" w:cs="Arial"/>
              </w:rPr>
            </w:pPr>
            <w:r w:rsidRPr="004E491C">
              <w:rPr>
                <w:rFonts w:ascii="Arial" w:hAnsi="Arial" w:cs="Arial"/>
              </w:rPr>
              <w:t>£16m</w:t>
            </w:r>
          </w:p>
        </w:tc>
        <w:tc>
          <w:tcPr>
            <w:tcW w:w="1230" w:type="dxa"/>
            <w:hideMark/>
          </w:tcPr>
          <w:p w14:paraId="4C58A11A" w14:textId="77777777" w:rsidR="004E491C" w:rsidRPr="00351A7C" w:rsidRDefault="004E491C" w:rsidP="00351A7C">
            <w:pPr>
              <w:spacing w:after="240"/>
              <w:jc w:val="center"/>
              <w:rPr>
                <w:rFonts w:ascii="Wingdings" w:hAnsi="Wingdings" w:cs="Arial"/>
              </w:rPr>
            </w:pPr>
            <w:r w:rsidRPr="00351A7C">
              <w:rPr>
                <w:rFonts w:ascii="Wingdings" w:hAnsi="Wingdings" w:cs="Arial"/>
              </w:rPr>
              <w:t>ü</w:t>
            </w:r>
          </w:p>
        </w:tc>
      </w:tr>
    </w:tbl>
    <w:p w14:paraId="6B24F4F1" w14:textId="77777777" w:rsidR="00667B8B" w:rsidRPr="00667B8B" w:rsidRDefault="00667B8B" w:rsidP="00667B8B">
      <w:pPr>
        <w:spacing w:after="240"/>
        <w:rPr>
          <w:rFonts w:ascii="Arial" w:hAnsi="Arial" w:cs="Arial"/>
        </w:rPr>
      </w:pPr>
    </w:p>
    <w:p w14:paraId="40EE7A37" w14:textId="285E49D7" w:rsidR="006A2DD0" w:rsidRPr="00667FB0" w:rsidRDefault="007C45E1" w:rsidP="003C3808">
      <w:pPr>
        <w:pStyle w:val="ListParagraph"/>
        <w:numPr>
          <w:ilvl w:val="1"/>
          <w:numId w:val="2"/>
        </w:numPr>
        <w:spacing w:after="240"/>
        <w:ind w:left="720" w:hanging="720"/>
        <w:rPr>
          <w:rFonts w:ascii="Arial" w:hAnsi="Arial" w:cs="Arial"/>
        </w:rPr>
      </w:pPr>
      <w:r w:rsidRPr="00667FB0">
        <w:rPr>
          <w:rFonts w:ascii="Arial" w:hAnsi="Arial" w:cs="Arial"/>
        </w:rPr>
        <w:lastRenderedPageBreak/>
        <w:t xml:space="preserve">Compliance with the authorised limit and operational boundary for external debt, is demonstrated in Table </w:t>
      </w:r>
      <w:r w:rsidR="00E21A3E" w:rsidRPr="00667FB0">
        <w:rPr>
          <w:rFonts w:ascii="Arial" w:hAnsi="Arial" w:cs="Arial"/>
        </w:rPr>
        <w:t>8</w:t>
      </w:r>
      <w:r w:rsidR="00067763" w:rsidRPr="00667FB0">
        <w:rPr>
          <w:rFonts w:ascii="Arial" w:hAnsi="Arial" w:cs="Arial"/>
        </w:rPr>
        <w:t xml:space="preserve">. </w:t>
      </w:r>
    </w:p>
    <w:tbl>
      <w:tblPr>
        <w:tblW w:w="105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1417"/>
        <w:gridCol w:w="1276"/>
        <w:gridCol w:w="1559"/>
        <w:gridCol w:w="1796"/>
        <w:gridCol w:w="1556"/>
      </w:tblGrid>
      <w:tr w:rsidR="006D1CAC" w:rsidRPr="00FE62AE" w14:paraId="302263EF" w14:textId="77777777" w:rsidTr="006D1CAC">
        <w:trPr>
          <w:jc w:val="center"/>
        </w:trPr>
        <w:tc>
          <w:tcPr>
            <w:tcW w:w="2978" w:type="dxa"/>
            <w:tcBorders>
              <w:top w:val="single" w:sz="4" w:space="0" w:color="auto"/>
            </w:tcBorders>
            <w:shd w:val="clear" w:color="auto" w:fill="auto"/>
          </w:tcPr>
          <w:p w14:paraId="4B2C4336" w14:textId="77777777" w:rsidR="002E20F2" w:rsidRDefault="002E20F2" w:rsidP="006D1CAC">
            <w:pPr>
              <w:pStyle w:val="ListParagraph"/>
              <w:keepNext/>
              <w:keepLines/>
              <w:ind w:left="0"/>
              <w:jc w:val="center"/>
              <w:rPr>
                <w:rFonts w:ascii="Arial" w:hAnsi="Arial" w:cs="Arial"/>
                <w:b/>
                <w:bCs/>
              </w:rPr>
            </w:pPr>
          </w:p>
          <w:p w14:paraId="11586555" w14:textId="0E4A15A0" w:rsidR="006D1CAC" w:rsidRPr="00FE62AE" w:rsidRDefault="006D1CAC" w:rsidP="006D1CAC">
            <w:pPr>
              <w:pStyle w:val="ListParagraph"/>
              <w:keepNext/>
              <w:keepLines/>
              <w:ind w:left="0"/>
              <w:jc w:val="center"/>
              <w:rPr>
                <w:rFonts w:ascii="Arial" w:hAnsi="Arial" w:cs="Arial"/>
                <w:b/>
                <w:bCs/>
              </w:rPr>
            </w:pPr>
            <w:r w:rsidRPr="00FE62AE">
              <w:rPr>
                <w:rFonts w:ascii="Arial" w:hAnsi="Arial" w:cs="Arial"/>
                <w:b/>
                <w:bCs/>
              </w:rPr>
              <w:t>Table 8: Debt limits</w:t>
            </w:r>
          </w:p>
        </w:tc>
        <w:tc>
          <w:tcPr>
            <w:tcW w:w="1417" w:type="dxa"/>
            <w:tcBorders>
              <w:top w:val="single" w:sz="4" w:space="0" w:color="auto"/>
              <w:bottom w:val="single" w:sz="4" w:space="0" w:color="auto"/>
            </w:tcBorders>
            <w:shd w:val="clear" w:color="auto" w:fill="auto"/>
            <w:vAlign w:val="center"/>
          </w:tcPr>
          <w:p w14:paraId="5A579AD3" w14:textId="39DAC5A8" w:rsidR="006D1CAC" w:rsidRDefault="006D1CAC" w:rsidP="006D1CAC">
            <w:pPr>
              <w:pStyle w:val="ListParagraph"/>
              <w:keepNext/>
              <w:keepLines/>
              <w:ind w:left="0"/>
              <w:jc w:val="center"/>
              <w:rPr>
                <w:rFonts w:ascii="Arial" w:hAnsi="Arial" w:cs="Arial"/>
                <w:b/>
                <w:bCs/>
                <w:color w:val="000000"/>
                <w:sz w:val="22"/>
                <w:szCs w:val="22"/>
              </w:rPr>
            </w:pPr>
            <w:r w:rsidRPr="006D1CAC">
              <w:rPr>
                <w:rFonts w:ascii="Arial" w:hAnsi="Arial" w:cs="Arial"/>
                <w:b/>
                <w:bCs/>
                <w:color w:val="000000"/>
                <w:sz w:val="22"/>
                <w:szCs w:val="22"/>
              </w:rPr>
              <w:t>Q1 2023/24 Maximum</w:t>
            </w:r>
          </w:p>
          <w:p w14:paraId="07341F09" w14:textId="004D9993" w:rsidR="006D1CAC" w:rsidRPr="006D1CAC" w:rsidRDefault="006D1CAC" w:rsidP="006D1CAC">
            <w:pPr>
              <w:pStyle w:val="ListParagraph"/>
              <w:keepNext/>
              <w:keepLines/>
              <w:ind w:left="0"/>
              <w:jc w:val="center"/>
              <w:rPr>
                <w:rFonts w:ascii="Arial" w:hAnsi="Arial" w:cs="Arial"/>
                <w:b/>
                <w:bCs/>
              </w:rPr>
            </w:pPr>
            <w:r>
              <w:rPr>
                <w:rFonts w:ascii="Arial" w:hAnsi="Arial" w:cs="Arial"/>
                <w:b/>
                <w:bCs/>
                <w:color w:val="000000"/>
                <w:sz w:val="22"/>
                <w:szCs w:val="22"/>
              </w:rPr>
              <w:t>£m</w:t>
            </w:r>
          </w:p>
        </w:tc>
        <w:tc>
          <w:tcPr>
            <w:tcW w:w="1276" w:type="dxa"/>
            <w:tcBorders>
              <w:top w:val="single" w:sz="4" w:space="0" w:color="auto"/>
            </w:tcBorders>
            <w:shd w:val="clear" w:color="auto" w:fill="auto"/>
            <w:vAlign w:val="center"/>
          </w:tcPr>
          <w:p w14:paraId="47F5C030" w14:textId="18DD9E2B" w:rsidR="006D1CAC" w:rsidRDefault="006D1CAC" w:rsidP="006D1CAC">
            <w:pPr>
              <w:pStyle w:val="ListParagraph"/>
              <w:keepNext/>
              <w:keepLines/>
              <w:ind w:left="0"/>
              <w:jc w:val="center"/>
              <w:rPr>
                <w:rFonts w:ascii="Arial" w:hAnsi="Arial" w:cs="Arial"/>
                <w:b/>
                <w:bCs/>
                <w:color w:val="000000"/>
                <w:sz w:val="22"/>
                <w:szCs w:val="22"/>
              </w:rPr>
            </w:pPr>
            <w:r w:rsidRPr="006D1CAC">
              <w:rPr>
                <w:rFonts w:ascii="Arial" w:hAnsi="Arial" w:cs="Arial"/>
                <w:b/>
                <w:bCs/>
                <w:color w:val="000000"/>
                <w:sz w:val="22"/>
                <w:szCs w:val="22"/>
              </w:rPr>
              <w:t>30/06/23 Actual</w:t>
            </w:r>
          </w:p>
          <w:p w14:paraId="759755BD" w14:textId="048A47EB" w:rsidR="006D1CAC" w:rsidRPr="006D1CAC" w:rsidRDefault="006D1CAC" w:rsidP="006D1CAC">
            <w:pPr>
              <w:pStyle w:val="ListParagraph"/>
              <w:keepNext/>
              <w:keepLines/>
              <w:ind w:left="0"/>
              <w:jc w:val="center"/>
              <w:rPr>
                <w:rFonts w:ascii="Arial" w:hAnsi="Arial" w:cs="Arial"/>
                <w:b/>
                <w:bCs/>
              </w:rPr>
            </w:pPr>
            <w:r>
              <w:rPr>
                <w:rFonts w:ascii="Arial" w:hAnsi="Arial" w:cs="Arial"/>
                <w:b/>
                <w:bCs/>
                <w:color w:val="000000"/>
                <w:sz w:val="22"/>
                <w:szCs w:val="22"/>
              </w:rPr>
              <w:t>£m</w:t>
            </w:r>
          </w:p>
        </w:tc>
        <w:tc>
          <w:tcPr>
            <w:tcW w:w="1559" w:type="dxa"/>
            <w:tcBorders>
              <w:top w:val="single" w:sz="4" w:space="0" w:color="auto"/>
            </w:tcBorders>
            <w:shd w:val="clear" w:color="auto" w:fill="auto"/>
            <w:vAlign w:val="center"/>
          </w:tcPr>
          <w:p w14:paraId="49C119B6" w14:textId="27E99713" w:rsidR="006D1CAC" w:rsidRPr="00E3293E" w:rsidRDefault="006D1CAC" w:rsidP="006D1CAC">
            <w:pPr>
              <w:pStyle w:val="ListParagraph"/>
              <w:keepNext/>
              <w:keepLines/>
              <w:ind w:left="0"/>
              <w:jc w:val="center"/>
              <w:rPr>
                <w:rFonts w:ascii="Arial" w:hAnsi="Arial" w:cs="Arial"/>
                <w:b/>
                <w:bCs/>
              </w:rPr>
            </w:pPr>
            <w:r w:rsidRPr="00E3293E">
              <w:rPr>
                <w:rFonts w:ascii="Arial" w:hAnsi="Arial" w:cs="Arial"/>
                <w:b/>
                <w:bCs/>
                <w:color w:val="000000"/>
                <w:sz w:val="22"/>
                <w:szCs w:val="22"/>
              </w:rPr>
              <w:t>2023/24 Operational Boundary £m</w:t>
            </w:r>
          </w:p>
        </w:tc>
        <w:tc>
          <w:tcPr>
            <w:tcW w:w="1796" w:type="dxa"/>
            <w:tcBorders>
              <w:top w:val="single" w:sz="4" w:space="0" w:color="auto"/>
            </w:tcBorders>
            <w:shd w:val="clear" w:color="auto" w:fill="auto"/>
            <w:vAlign w:val="center"/>
          </w:tcPr>
          <w:p w14:paraId="1004443F" w14:textId="37932A8D" w:rsidR="006D1CAC" w:rsidRPr="00E3293E" w:rsidRDefault="006D1CAC" w:rsidP="006D1CAC">
            <w:pPr>
              <w:pStyle w:val="ListParagraph"/>
              <w:keepNext/>
              <w:keepLines/>
              <w:ind w:left="0"/>
              <w:jc w:val="center"/>
              <w:rPr>
                <w:rFonts w:ascii="Arial" w:hAnsi="Arial" w:cs="Arial"/>
                <w:b/>
                <w:bCs/>
              </w:rPr>
            </w:pPr>
            <w:r w:rsidRPr="00E3293E">
              <w:rPr>
                <w:rFonts w:ascii="Arial" w:hAnsi="Arial" w:cs="Arial"/>
                <w:b/>
                <w:bCs/>
                <w:color w:val="000000"/>
                <w:sz w:val="22"/>
                <w:szCs w:val="22"/>
              </w:rPr>
              <w:t>2023/24 Authorised Limit</w:t>
            </w:r>
          </w:p>
        </w:tc>
        <w:tc>
          <w:tcPr>
            <w:tcW w:w="1556" w:type="dxa"/>
            <w:tcBorders>
              <w:top w:val="single" w:sz="4" w:space="0" w:color="auto"/>
            </w:tcBorders>
            <w:shd w:val="clear" w:color="auto" w:fill="auto"/>
          </w:tcPr>
          <w:p w14:paraId="32AEAB70" w14:textId="77777777" w:rsidR="006D1CAC" w:rsidRDefault="006D1CAC" w:rsidP="006D1CAC">
            <w:pPr>
              <w:pStyle w:val="ListParagraph"/>
              <w:keepNext/>
              <w:keepLines/>
              <w:tabs>
                <w:tab w:val="center" w:pos="670"/>
              </w:tabs>
              <w:ind w:left="0"/>
              <w:rPr>
                <w:rFonts w:ascii="Arial" w:hAnsi="Arial" w:cs="Arial"/>
                <w:b/>
                <w:bCs/>
              </w:rPr>
            </w:pPr>
          </w:p>
          <w:p w14:paraId="0EBAD24C" w14:textId="12E9E97A" w:rsidR="006D1CAC" w:rsidRPr="00FE62AE" w:rsidRDefault="006D1CAC" w:rsidP="006D1CAC">
            <w:pPr>
              <w:pStyle w:val="ListParagraph"/>
              <w:keepNext/>
              <w:keepLines/>
              <w:tabs>
                <w:tab w:val="center" w:pos="670"/>
              </w:tabs>
              <w:ind w:left="0"/>
              <w:rPr>
                <w:rFonts w:ascii="Arial" w:hAnsi="Arial" w:cs="Arial"/>
                <w:b/>
                <w:bCs/>
              </w:rPr>
            </w:pPr>
            <w:r>
              <w:rPr>
                <w:rFonts w:ascii="Arial" w:hAnsi="Arial" w:cs="Arial"/>
                <w:b/>
                <w:bCs/>
              </w:rPr>
              <w:tab/>
            </w:r>
            <w:r w:rsidRPr="00FE62AE">
              <w:rPr>
                <w:rFonts w:ascii="Arial" w:hAnsi="Arial" w:cs="Arial"/>
                <w:b/>
                <w:bCs/>
              </w:rPr>
              <w:t>Complied?</w:t>
            </w:r>
          </w:p>
        </w:tc>
      </w:tr>
      <w:tr w:rsidR="00E3293E" w:rsidRPr="00BA4271" w14:paraId="055CCEAB" w14:textId="77777777" w:rsidTr="006D1CAC">
        <w:trPr>
          <w:jc w:val="center"/>
        </w:trPr>
        <w:tc>
          <w:tcPr>
            <w:tcW w:w="2978" w:type="dxa"/>
            <w:shd w:val="clear" w:color="auto" w:fill="auto"/>
          </w:tcPr>
          <w:p w14:paraId="51FD78C7" w14:textId="77777777" w:rsidR="00E3293E" w:rsidRPr="00632F3A" w:rsidRDefault="00E3293E" w:rsidP="006D1CAC">
            <w:pPr>
              <w:pStyle w:val="ListParagraph"/>
              <w:keepNext/>
              <w:keepLines/>
              <w:ind w:left="0"/>
              <w:jc w:val="center"/>
              <w:rPr>
                <w:rFonts w:ascii="Arial" w:hAnsi="Arial" w:cs="Arial"/>
              </w:rPr>
            </w:pPr>
            <w:r w:rsidRPr="00632F3A">
              <w:rPr>
                <w:rFonts w:ascii="Arial" w:hAnsi="Arial" w:cs="Arial"/>
              </w:rPr>
              <w:t>Total debt</w:t>
            </w:r>
          </w:p>
        </w:tc>
        <w:tc>
          <w:tcPr>
            <w:tcW w:w="1417" w:type="dxa"/>
            <w:shd w:val="clear" w:color="auto" w:fill="auto"/>
            <w:vAlign w:val="center"/>
          </w:tcPr>
          <w:p w14:paraId="040F4E67" w14:textId="093C93D3" w:rsidR="00E3293E" w:rsidRPr="00253E3D" w:rsidRDefault="00E3293E" w:rsidP="006D1CAC">
            <w:pPr>
              <w:pStyle w:val="ListParagraph"/>
              <w:keepNext/>
              <w:keepLines/>
              <w:ind w:left="0"/>
              <w:jc w:val="center"/>
              <w:rPr>
                <w:rFonts w:ascii="Arial" w:hAnsi="Arial" w:cs="Arial"/>
              </w:rPr>
            </w:pPr>
            <w:r w:rsidRPr="00253E3D">
              <w:rPr>
                <w:rFonts w:ascii="Arial" w:hAnsi="Arial" w:cs="Arial"/>
                <w:color w:val="000000"/>
                <w:sz w:val="22"/>
                <w:szCs w:val="22"/>
              </w:rPr>
              <w:t>30.70</w:t>
            </w:r>
          </w:p>
        </w:tc>
        <w:tc>
          <w:tcPr>
            <w:tcW w:w="1276" w:type="dxa"/>
            <w:shd w:val="clear" w:color="auto" w:fill="auto"/>
            <w:vAlign w:val="center"/>
          </w:tcPr>
          <w:p w14:paraId="5A3F6C4E" w14:textId="363CC3D7" w:rsidR="00E3293E" w:rsidRPr="00253E3D" w:rsidRDefault="00E3293E" w:rsidP="006D1CAC">
            <w:pPr>
              <w:pStyle w:val="ListParagraph"/>
              <w:keepNext/>
              <w:keepLines/>
              <w:ind w:left="0"/>
              <w:jc w:val="center"/>
              <w:rPr>
                <w:rFonts w:ascii="Arial" w:hAnsi="Arial" w:cs="Arial"/>
              </w:rPr>
            </w:pPr>
            <w:r w:rsidRPr="00253E3D">
              <w:rPr>
                <w:rFonts w:ascii="Arial" w:hAnsi="Arial" w:cs="Arial"/>
                <w:color w:val="000000"/>
                <w:sz w:val="22"/>
                <w:szCs w:val="22"/>
              </w:rPr>
              <w:t>30.60</w:t>
            </w:r>
          </w:p>
        </w:tc>
        <w:tc>
          <w:tcPr>
            <w:tcW w:w="1559" w:type="dxa"/>
            <w:shd w:val="clear" w:color="auto" w:fill="auto"/>
            <w:vAlign w:val="center"/>
          </w:tcPr>
          <w:p w14:paraId="4E2AD097" w14:textId="1801F1C3" w:rsidR="00E3293E" w:rsidRPr="00632F3A" w:rsidRDefault="00E3293E" w:rsidP="006D1CAC">
            <w:pPr>
              <w:pStyle w:val="ListParagraph"/>
              <w:keepNext/>
              <w:keepLines/>
              <w:ind w:left="0"/>
              <w:jc w:val="center"/>
              <w:rPr>
                <w:rFonts w:ascii="Arial" w:hAnsi="Arial" w:cs="Arial"/>
              </w:rPr>
            </w:pPr>
            <w:r>
              <w:rPr>
                <w:rFonts w:ascii="Arial" w:hAnsi="Arial" w:cs="Arial"/>
                <w:color w:val="000000"/>
                <w:sz w:val="22"/>
                <w:szCs w:val="22"/>
              </w:rPr>
              <w:t>70.50</w:t>
            </w:r>
          </w:p>
        </w:tc>
        <w:tc>
          <w:tcPr>
            <w:tcW w:w="1796" w:type="dxa"/>
            <w:shd w:val="clear" w:color="auto" w:fill="auto"/>
            <w:vAlign w:val="center"/>
          </w:tcPr>
          <w:p w14:paraId="5B910C0B" w14:textId="4E18F8B2" w:rsidR="00E3293E" w:rsidRPr="00632F3A" w:rsidRDefault="00E3293E" w:rsidP="006D1CAC">
            <w:pPr>
              <w:pStyle w:val="ListParagraph"/>
              <w:keepNext/>
              <w:keepLines/>
              <w:ind w:left="0"/>
              <w:jc w:val="center"/>
              <w:rPr>
                <w:rFonts w:ascii="Arial" w:hAnsi="Arial" w:cs="Arial"/>
              </w:rPr>
            </w:pPr>
            <w:r>
              <w:rPr>
                <w:rFonts w:ascii="Arial" w:hAnsi="Arial" w:cs="Arial"/>
                <w:color w:val="000000"/>
                <w:sz w:val="22"/>
                <w:szCs w:val="22"/>
              </w:rPr>
              <w:t>87.50</w:t>
            </w:r>
          </w:p>
        </w:tc>
        <w:tc>
          <w:tcPr>
            <w:tcW w:w="1556" w:type="dxa"/>
            <w:shd w:val="clear" w:color="auto" w:fill="auto"/>
            <w:vAlign w:val="center"/>
          </w:tcPr>
          <w:p w14:paraId="6687DE02" w14:textId="77777777" w:rsidR="00E3293E" w:rsidRPr="00632F3A" w:rsidRDefault="00E3293E" w:rsidP="006D1CAC">
            <w:pPr>
              <w:keepNext/>
              <w:keepLines/>
              <w:numPr>
                <w:ilvl w:val="0"/>
                <w:numId w:val="4"/>
              </w:numPr>
              <w:jc w:val="center"/>
              <w:rPr>
                <w:rFonts w:ascii="Arial" w:hAnsi="Arial" w:cs="Arial"/>
              </w:rPr>
            </w:pPr>
          </w:p>
        </w:tc>
      </w:tr>
    </w:tbl>
    <w:p w14:paraId="05F99E25" w14:textId="77777777" w:rsidR="009C64DB" w:rsidRPr="0058127F" w:rsidRDefault="009C64DB" w:rsidP="00657B22">
      <w:pPr>
        <w:pStyle w:val="ListParagraph"/>
        <w:spacing w:after="240"/>
        <w:rPr>
          <w:rFonts w:ascii="Arial" w:hAnsi="Arial" w:cs="Arial"/>
        </w:rPr>
      </w:pPr>
    </w:p>
    <w:p w14:paraId="292C0478" w14:textId="77777777" w:rsidR="005F19D8" w:rsidRPr="005C38BC" w:rsidRDefault="005F19D8" w:rsidP="003C3808">
      <w:pPr>
        <w:keepNext/>
        <w:numPr>
          <w:ilvl w:val="0"/>
          <w:numId w:val="2"/>
        </w:numPr>
        <w:tabs>
          <w:tab w:val="num" w:pos="720"/>
        </w:tabs>
        <w:spacing w:after="240"/>
        <w:ind w:left="431" w:hanging="431"/>
        <w:outlineLvl w:val="0"/>
        <w:rPr>
          <w:rFonts w:ascii="Arial" w:hAnsi="Arial" w:cs="Arial"/>
          <w:b/>
        </w:rPr>
      </w:pPr>
      <w:r w:rsidRPr="005C38BC">
        <w:rPr>
          <w:rFonts w:ascii="Arial" w:hAnsi="Arial" w:cs="Arial"/>
          <w:b/>
        </w:rPr>
        <w:t>Treasury Management Indicators</w:t>
      </w:r>
    </w:p>
    <w:p w14:paraId="410D72CE" w14:textId="07B164A2" w:rsidR="005F19D8" w:rsidRPr="004A1A98" w:rsidRDefault="00E1280E" w:rsidP="004A1A98">
      <w:pPr>
        <w:pStyle w:val="ListParagraph"/>
        <w:numPr>
          <w:ilvl w:val="1"/>
          <w:numId w:val="2"/>
        </w:numPr>
        <w:spacing w:after="240"/>
        <w:ind w:left="720" w:hanging="720"/>
        <w:rPr>
          <w:rFonts w:ascii="Arial" w:hAnsi="Arial" w:cs="Arial"/>
        </w:rPr>
      </w:pPr>
      <w:r w:rsidRPr="00E1280E">
        <w:rPr>
          <w:rFonts w:ascii="Arial" w:hAnsi="Arial" w:cs="Arial"/>
        </w:rPr>
        <w:t>As required by the 2021 CIPFA Treasury Management Code, the Authority monitors and measures the following treasury management prudential indicators</w:t>
      </w:r>
      <w:r w:rsidR="005F19D8" w:rsidRPr="005C38BC">
        <w:rPr>
          <w:rFonts w:ascii="Arial" w:hAnsi="Arial" w:cs="Arial"/>
        </w:rPr>
        <w:t>.</w:t>
      </w:r>
    </w:p>
    <w:p w14:paraId="528131E6" w14:textId="6784DB6E" w:rsidR="00547880" w:rsidRPr="005C38BC" w:rsidRDefault="00E1280E" w:rsidP="00547880">
      <w:pPr>
        <w:pStyle w:val="ListParagraph"/>
        <w:spacing w:after="240"/>
        <w:rPr>
          <w:rFonts w:ascii="Arial" w:hAnsi="Arial" w:cs="Arial"/>
          <w:b/>
        </w:rPr>
      </w:pPr>
      <w:r>
        <w:rPr>
          <w:rFonts w:ascii="Arial" w:hAnsi="Arial" w:cs="Arial"/>
          <w:b/>
        </w:rPr>
        <w:t>Liability benchmark</w:t>
      </w:r>
    </w:p>
    <w:p w14:paraId="41642822" w14:textId="3033C10C" w:rsidR="005F19D8" w:rsidRDefault="009D5470" w:rsidP="003C3808">
      <w:pPr>
        <w:pStyle w:val="ListParagraph"/>
        <w:numPr>
          <w:ilvl w:val="1"/>
          <w:numId w:val="2"/>
        </w:numPr>
        <w:spacing w:after="240"/>
        <w:ind w:left="720" w:hanging="720"/>
        <w:rPr>
          <w:rFonts w:ascii="Arial" w:hAnsi="Arial" w:cs="Arial"/>
        </w:rPr>
      </w:pPr>
      <w:r w:rsidRPr="006166B0">
        <w:rPr>
          <w:rFonts w:ascii="Arial" w:hAnsi="Arial" w:cs="Arial"/>
        </w:rPr>
        <w:t>This new indicator compares the Authority’s actual existing borrowing against a liability benchmark that has been calculated to show the lowest risk level of borrowing. The liability benchmark is an important tool to help establish whether the Council is likely to be a long-term borrower or long-term investor in the future, and so shape its strategic focus and decision making. It represents an estimate of the cumulative amount of external borrowing the Council must hold to fund its current capital and revenue plans while keeping treasury investments at the minimum level required to manage day-to-day cash flow</w:t>
      </w:r>
      <w:r w:rsidR="009D46FD" w:rsidRPr="005C38BC">
        <w:rPr>
          <w:rFonts w:ascii="Arial" w:hAnsi="Arial" w:cs="Arial"/>
        </w:rPr>
        <w:t>.</w:t>
      </w:r>
    </w:p>
    <w:tbl>
      <w:tblPr>
        <w:tblW w:w="8819" w:type="dxa"/>
        <w:jc w:val="center"/>
        <w:tblLayout w:type="fixed"/>
        <w:tblLook w:val="04A0" w:firstRow="1" w:lastRow="0" w:firstColumn="1" w:lastColumn="0" w:noHBand="0" w:noVBand="1"/>
      </w:tblPr>
      <w:tblGrid>
        <w:gridCol w:w="1975"/>
        <w:gridCol w:w="1240"/>
        <w:gridCol w:w="1868"/>
        <w:gridCol w:w="1868"/>
        <w:gridCol w:w="1868"/>
      </w:tblGrid>
      <w:tr w:rsidR="009823CD" w14:paraId="49E83BA5" w14:textId="77777777" w:rsidTr="00003353">
        <w:trPr>
          <w:trHeight w:val="300"/>
          <w:jc w:val="center"/>
        </w:trPr>
        <w:tc>
          <w:tcPr>
            <w:tcW w:w="19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193184" w14:textId="77777777" w:rsidR="009823CD" w:rsidRPr="001D0AC6" w:rsidRDefault="009823CD" w:rsidP="00523117">
            <w:pPr>
              <w:keepLines/>
              <w:widowControl w:val="0"/>
              <w:rPr>
                <w:rFonts w:ascii="Arial" w:hAnsi="Arial" w:cs="Arial"/>
                <w:b/>
              </w:rPr>
            </w:pPr>
            <w:r w:rsidRPr="001D0AC6">
              <w:rPr>
                <w:rFonts w:ascii="Arial" w:hAnsi="Arial" w:cs="Arial"/>
                <w:b/>
              </w:rPr>
              <w:t> </w:t>
            </w:r>
          </w:p>
        </w:tc>
        <w:tc>
          <w:tcPr>
            <w:tcW w:w="1240" w:type="dxa"/>
            <w:tcBorders>
              <w:top w:val="single" w:sz="8" w:space="0" w:color="auto"/>
              <w:left w:val="nil"/>
              <w:bottom w:val="nil"/>
              <w:right w:val="single" w:sz="8" w:space="0" w:color="auto"/>
            </w:tcBorders>
            <w:shd w:val="clear" w:color="auto" w:fill="auto"/>
            <w:vAlign w:val="center"/>
            <w:hideMark/>
          </w:tcPr>
          <w:p w14:paraId="1C8D7983" w14:textId="77777777" w:rsidR="009823CD" w:rsidRPr="001D0AC6" w:rsidRDefault="009823CD" w:rsidP="00523117">
            <w:pPr>
              <w:keepLines/>
              <w:widowControl w:val="0"/>
              <w:jc w:val="center"/>
              <w:rPr>
                <w:rFonts w:ascii="Arial" w:hAnsi="Arial" w:cs="Arial"/>
                <w:b/>
              </w:rPr>
            </w:pPr>
            <w:r w:rsidRPr="001D0AC6">
              <w:rPr>
                <w:rFonts w:ascii="Arial" w:hAnsi="Arial" w:cs="Arial"/>
                <w:b/>
              </w:rPr>
              <w:t>31/03/2023</w:t>
            </w:r>
          </w:p>
        </w:tc>
        <w:tc>
          <w:tcPr>
            <w:tcW w:w="1868" w:type="dxa"/>
            <w:tcBorders>
              <w:top w:val="single" w:sz="8" w:space="0" w:color="auto"/>
              <w:left w:val="nil"/>
              <w:bottom w:val="nil"/>
              <w:right w:val="single" w:sz="8" w:space="0" w:color="auto"/>
            </w:tcBorders>
            <w:shd w:val="clear" w:color="auto" w:fill="auto"/>
            <w:vAlign w:val="center"/>
            <w:hideMark/>
          </w:tcPr>
          <w:p w14:paraId="7A7B5800" w14:textId="77777777" w:rsidR="009823CD" w:rsidRPr="001D0AC6" w:rsidRDefault="009823CD" w:rsidP="00523117">
            <w:pPr>
              <w:keepLines/>
              <w:widowControl w:val="0"/>
              <w:jc w:val="center"/>
              <w:rPr>
                <w:rFonts w:ascii="Arial" w:hAnsi="Arial" w:cs="Arial"/>
                <w:b/>
              </w:rPr>
            </w:pPr>
            <w:r w:rsidRPr="001D0AC6">
              <w:rPr>
                <w:rFonts w:ascii="Arial" w:hAnsi="Arial" w:cs="Arial"/>
                <w:b/>
              </w:rPr>
              <w:t>31/03/2024</w:t>
            </w:r>
          </w:p>
        </w:tc>
        <w:tc>
          <w:tcPr>
            <w:tcW w:w="1868" w:type="dxa"/>
            <w:tcBorders>
              <w:top w:val="single" w:sz="8" w:space="0" w:color="auto"/>
              <w:left w:val="nil"/>
              <w:bottom w:val="nil"/>
              <w:right w:val="single" w:sz="8" w:space="0" w:color="auto"/>
            </w:tcBorders>
            <w:shd w:val="clear" w:color="auto" w:fill="auto"/>
            <w:vAlign w:val="center"/>
            <w:hideMark/>
          </w:tcPr>
          <w:p w14:paraId="68EBE7CA" w14:textId="77777777" w:rsidR="009823CD" w:rsidRPr="001D0AC6" w:rsidRDefault="009823CD" w:rsidP="00523117">
            <w:pPr>
              <w:keepLines/>
              <w:widowControl w:val="0"/>
              <w:jc w:val="center"/>
              <w:rPr>
                <w:rFonts w:ascii="Arial" w:hAnsi="Arial" w:cs="Arial"/>
                <w:b/>
              </w:rPr>
            </w:pPr>
            <w:r w:rsidRPr="001D0AC6">
              <w:rPr>
                <w:rFonts w:ascii="Arial" w:hAnsi="Arial" w:cs="Arial"/>
                <w:b/>
              </w:rPr>
              <w:t>31/03/2025</w:t>
            </w:r>
          </w:p>
        </w:tc>
        <w:tc>
          <w:tcPr>
            <w:tcW w:w="1868" w:type="dxa"/>
            <w:tcBorders>
              <w:top w:val="single" w:sz="8" w:space="0" w:color="auto"/>
              <w:left w:val="nil"/>
              <w:bottom w:val="nil"/>
              <w:right w:val="single" w:sz="8" w:space="0" w:color="auto"/>
            </w:tcBorders>
            <w:shd w:val="clear" w:color="auto" w:fill="auto"/>
            <w:vAlign w:val="center"/>
            <w:hideMark/>
          </w:tcPr>
          <w:p w14:paraId="3D2830E3" w14:textId="77777777" w:rsidR="009823CD" w:rsidRPr="001D0AC6" w:rsidRDefault="009823CD" w:rsidP="00523117">
            <w:pPr>
              <w:keepLines/>
              <w:widowControl w:val="0"/>
              <w:jc w:val="center"/>
              <w:rPr>
                <w:rFonts w:ascii="Arial" w:hAnsi="Arial" w:cs="Arial"/>
                <w:b/>
              </w:rPr>
            </w:pPr>
            <w:r w:rsidRPr="001D0AC6">
              <w:rPr>
                <w:rFonts w:ascii="Arial" w:hAnsi="Arial" w:cs="Arial"/>
                <w:b/>
              </w:rPr>
              <w:t>31/03/2026</w:t>
            </w:r>
          </w:p>
        </w:tc>
      </w:tr>
      <w:tr w:rsidR="009823CD" w14:paraId="42792767" w14:textId="77777777" w:rsidTr="00003353">
        <w:trPr>
          <w:trHeight w:val="315"/>
          <w:jc w:val="center"/>
        </w:trPr>
        <w:tc>
          <w:tcPr>
            <w:tcW w:w="19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D451835" w14:textId="77777777" w:rsidR="009823CD" w:rsidRPr="001D0AC6" w:rsidRDefault="009823CD" w:rsidP="00523117">
            <w:pPr>
              <w:keepLines/>
              <w:widowControl w:val="0"/>
              <w:rPr>
                <w:rFonts w:ascii="Arial" w:hAnsi="Arial" w:cs="Arial"/>
                <w:b/>
              </w:rPr>
            </w:pPr>
          </w:p>
        </w:tc>
        <w:tc>
          <w:tcPr>
            <w:tcW w:w="1240" w:type="dxa"/>
            <w:tcBorders>
              <w:top w:val="nil"/>
              <w:left w:val="nil"/>
              <w:bottom w:val="single" w:sz="8" w:space="0" w:color="auto"/>
              <w:right w:val="single" w:sz="8" w:space="0" w:color="auto"/>
            </w:tcBorders>
            <w:shd w:val="clear" w:color="auto" w:fill="auto"/>
            <w:vAlign w:val="center"/>
            <w:hideMark/>
          </w:tcPr>
          <w:p w14:paraId="0EBE9F58" w14:textId="77777777" w:rsidR="009823CD" w:rsidRPr="001D0AC6" w:rsidRDefault="009823CD" w:rsidP="00523117">
            <w:pPr>
              <w:keepLines/>
              <w:widowControl w:val="0"/>
              <w:jc w:val="center"/>
              <w:rPr>
                <w:rFonts w:ascii="Arial" w:hAnsi="Arial" w:cs="Arial"/>
                <w:b/>
              </w:rPr>
            </w:pPr>
            <w:r w:rsidRPr="001D0AC6">
              <w:rPr>
                <w:rFonts w:ascii="Arial" w:hAnsi="Arial" w:cs="Arial"/>
                <w:b/>
              </w:rPr>
              <w:t xml:space="preserve">Actual £m </w:t>
            </w:r>
          </w:p>
        </w:tc>
        <w:tc>
          <w:tcPr>
            <w:tcW w:w="1868" w:type="dxa"/>
            <w:tcBorders>
              <w:top w:val="nil"/>
              <w:left w:val="nil"/>
              <w:bottom w:val="single" w:sz="8" w:space="0" w:color="auto"/>
              <w:right w:val="single" w:sz="8" w:space="0" w:color="auto"/>
            </w:tcBorders>
            <w:shd w:val="clear" w:color="auto" w:fill="auto"/>
            <w:vAlign w:val="center"/>
            <w:hideMark/>
          </w:tcPr>
          <w:p w14:paraId="41F3B0A3" w14:textId="77777777" w:rsidR="009823CD" w:rsidRPr="001D0AC6" w:rsidRDefault="009823CD" w:rsidP="00523117">
            <w:pPr>
              <w:keepLines/>
              <w:widowControl w:val="0"/>
              <w:jc w:val="center"/>
              <w:rPr>
                <w:rFonts w:ascii="Arial" w:hAnsi="Arial" w:cs="Arial"/>
                <w:b/>
              </w:rPr>
            </w:pPr>
            <w:r w:rsidRPr="001D0AC6">
              <w:rPr>
                <w:rFonts w:ascii="Arial" w:hAnsi="Arial" w:cs="Arial"/>
                <w:b/>
              </w:rPr>
              <w:t>Forecast £m</w:t>
            </w:r>
          </w:p>
        </w:tc>
        <w:tc>
          <w:tcPr>
            <w:tcW w:w="1868" w:type="dxa"/>
            <w:tcBorders>
              <w:top w:val="nil"/>
              <w:left w:val="nil"/>
              <w:bottom w:val="single" w:sz="8" w:space="0" w:color="auto"/>
              <w:right w:val="single" w:sz="8" w:space="0" w:color="auto"/>
            </w:tcBorders>
            <w:shd w:val="clear" w:color="auto" w:fill="auto"/>
            <w:vAlign w:val="center"/>
            <w:hideMark/>
          </w:tcPr>
          <w:p w14:paraId="3CCC2380" w14:textId="77777777" w:rsidR="009823CD" w:rsidRPr="001D0AC6" w:rsidRDefault="009823CD" w:rsidP="00523117">
            <w:pPr>
              <w:keepLines/>
              <w:widowControl w:val="0"/>
              <w:jc w:val="center"/>
              <w:rPr>
                <w:rFonts w:ascii="Arial" w:hAnsi="Arial" w:cs="Arial"/>
                <w:b/>
              </w:rPr>
            </w:pPr>
            <w:r w:rsidRPr="001D0AC6">
              <w:rPr>
                <w:rFonts w:ascii="Arial" w:hAnsi="Arial" w:cs="Arial"/>
                <w:b/>
              </w:rPr>
              <w:t>Forecast £m</w:t>
            </w:r>
          </w:p>
        </w:tc>
        <w:tc>
          <w:tcPr>
            <w:tcW w:w="1868" w:type="dxa"/>
            <w:tcBorders>
              <w:top w:val="nil"/>
              <w:left w:val="nil"/>
              <w:bottom w:val="single" w:sz="8" w:space="0" w:color="auto"/>
              <w:right w:val="single" w:sz="8" w:space="0" w:color="auto"/>
            </w:tcBorders>
            <w:shd w:val="clear" w:color="auto" w:fill="auto"/>
            <w:vAlign w:val="center"/>
            <w:hideMark/>
          </w:tcPr>
          <w:p w14:paraId="7E7AA782" w14:textId="77777777" w:rsidR="009823CD" w:rsidRPr="001D0AC6" w:rsidRDefault="009823CD" w:rsidP="00523117">
            <w:pPr>
              <w:keepLines/>
              <w:widowControl w:val="0"/>
              <w:jc w:val="center"/>
              <w:rPr>
                <w:rFonts w:ascii="Arial" w:hAnsi="Arial" w:cs="Arial"/>
                <w:b/>
              </w:rPr>
            </w:pPr>
            <w:r w:rsidRPr="001D0AC6">
              <w:rPr>
                <w:rFonts w:ascii="Arial" w:hAnsi="Arial" w:cs="Arial"/>
                <w:b/>
              </w:rPr>
              <w:t>Forecast £m</w:t>
            </w:r>
          </w:p>
        </w:tc>
      </w:tr>
      <w:tr w:rsidR="00ED3CBB" w:rsidRPr="001F3412" w14:paraId="13CFABEA" w14:textId="77777777" w:rsidTr="00003353">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tcPr>
          <w:p w14:paraId="7286C7B8" w14:textId="313EFF13" w:rsidR="00ED3CBB" w:rsidRPr="001F3412" w:rsidRDefault="00ED3CBB" w:rsidP="00ED3CBB">
            <w:pPr>
              <w:keepLines/>
              <w:widowControl w:val="0"/>
              <w:rPr>
                <w:rFonts w:ascii="Arial" w:hAnsi="Arial" w:cs="Arial"/>
                <w:bCs/>
              </w:rPr>
            </w:pPr>
            <w:r>
              <w:rPr>
                <w:rFonts w:ascii="Arial" w:hAnsi="Arial" w:cs="Arial"/>
              </w:rPr>
              <w:t>Total CFR</w:t>
            </w:r>
          </w:p>
        </w:tc>
        <w:tc>
          <w:tcPr>
            <w:tcW w:w="1240" w:type="dxa"/>
            <w:tcBorders>
              <w:top w:val="nil"/>
              <w:left w:val="nil"/>
              <w:bottom w:val="single" w:sz="8" w:space="0" w:color="auto"/>
              <w:right w:val="single" w:sz="8" w:space="0" w:color="auto"/>
            </w:tcBorders>
            <w:shd w:val="clear" w:color="auto" w:fill="auto"/>
            <w:vAlign w:val="center"/>
          </w:tcPr>
          <w:p w14:paraId="37A8CE9D" w14:textId="58CC567D" w:rsidR="00ED3CBB" w:rsidRPr="001F3412" w:rsidRDefault="00ED3CBB" w:rsidP="00ED3CBB">
            <w:pPr>
              <w:keepLines/>
              <w:widowControl w:val="0"/>
              <w:jc w:val="right"/>
              <w:rPr>
                <w:rFonts w:ascii="Arial" w:hAnsi="Arial" w:cs="Arial"/>
                <w:color w:val="000000"/>
                <w:sz w:val="22"/>
                <w:szCs w:val="22"/>
              </w:rPr>
            </w:pPr>
            <w:r>
              <w:rPr>
                <w:rFonts w:ascii="Arial" w:hAnsi="Arial" w:cs="Arial"/>
              </w:rPr>
              <w:t>53.74</w:t>
            </w:r>
          </w:p>
        </w:tc>
        <w:tc>
          <w:tcPr>
            <w:tcW w:w="1868" w:type="dxa"/>
            <w:tcBorders>
              <w:top w:val="nil"/>
              <w:left w:val="nil"/>
              <w:bottom w:val="single" w:sz="8" w:space="0" w:color="auto"/>
              <w:right w:val="single" w:sz="8" w:space="0" w:color="auto"/>
            </w:tcBorders>
            <w:shd w:val="clear" w:color="auto" w:fill="auto"/>
            <w:vAlign w:val="center"/>
          </w:tcPr>
          <w:p w14:paraId="620B2A49" w14:textId="321EEA67" w:rsidR="00ED3CBB" w:rsidRPr="00C024FE" w:rsidRDefault="00ED3CBB" w:rsidP="00ED3CBB">
            <w:pPr>
              <w:keepLines/>
              <w:widowControl w:val="0"/>
              <w:jc w:val="right"/>
              <w:rPr>
                <w:rFonts w:ascii="Arial" w:hAnsi="Arial" w:cs="Arial"/>
                <w:color w:val="000000"/>
                <w:sz w:val="22"/>
                <w:szCs w:val="22"/>
              </w:rPr>
            </w:pPr>
            <w:r w:rsidRPr="00003353">
              <w:rPr>
                <w:rFonts w:ascii="Arial" w:hAnsi="Arial" w:cs="Arial"/>
              </w:rPr>
              <w:t>51.18</w:t>
            </w:r>
          </w:p>
        </w:tc>
        <w:tc>
          <w:tcPr>
            <w:tcW w:w="1868" w:type="dxa"/>
            <w:tcBorders>
              <w:top w:val="nil"/>
              <w:left w:val="nil"/>
              <w:bottom w:val="single" w:sz="8" w:space="0" w:color="auto"/>
              <w:right w:val="single" w:sz="8" w:space="0" w:color="auto"/>
            </w:tcBorders>
            <w:shd w:val="clear" w:color="auto" w:fill="auto"/>
            <w:vAlign w:val="center"/>
          </w:tcPr>
          <w:p w14:paraId="616216C6" w14:textId="6D495B6C" w:rsidR="00ED3CBB" w:rsidRDefault="0022062A" w:rsidP="00ED3CBB">
            <w:pPr>
              <w:keepLines/>
              <w:widowControl w:val="0"/>
              <w:jc w:val="right"/>
              <w:rPr>
                <w:rFonts w:ascii="Arial" w:hAnsi="Arial" w:cs="Arial"/>
                <w:color w:val="000000"/>
                <w:sz w:val="22"/>
                <w:szCs w:val="22"/>
              </w:rPr>
            </w:pPr>
            <w:r>
              <w:rPr>
                <w:rFonts w:ascii="Arial" w:hAnsi="Arial" w:cs="Arial"/>
                <w:color w:val="000000"/>
                <w:sz w:val="22"/>
                <w:szCs w:val="22"/>
              </w:rPr>
              <w:t>84.</w:t>
            </w:r>
            <w:r w:rsidR="0013567E">
              <w:rPr>
                <w:rFonts w:ascii="Arial" w:hAnsi="Arial" w:cs="Arial"/>
                <w:color w:val="000000"/>
                <w:sz w:val="22"/>
                <w:szCs w:val="22"/>
              </w:rPr>
              <w:t>37</w:t>
            </w:r>
          </w:p>
        </w:tc>
        <w:tc>
          <w:tcPr>
            <w:tcW w:w="1868" w:type="dxa"/>
            <w:tcBorders>
              <w:top w:val="nil"/>
              <w:left w:val="nil"/>
              <w:bottom w:val="single" w:sz="8" w:space="0" w:color="auto"/>
              <w:right w:val="single" w:sz="8" w:space="0" w:color="auto"/>
            </w:tcBorders>
            <w:shd w:val="clear" w:color="auto" w:fill="auto"/>
            <w:vAlign w:val="center"/>
          </w:tcPr>
          <w:p w14:paraId="0B10851F" w14:textId="5C938F65" w:rsidR="00ED3CBB" w:rsidRDefault="0022062A" w:rsidP="00ED3CBB">
            <w:pPr>
              <w:keepLines/>
              <w:widowControl w:val="0"/>
              <w:jc w:val="right"/>
              <w:rPr>
                <w:rFonts w:ascii="Arial" w:hAnsi="Arial" w:cs="Arial"/>
                <w:color w:val="000000"/>
                <w:sz w:val="22"/>
                <w:szCs w:val="22"/>
              </w:rPr>
            </w:pPr>
            <w:r>
              <w:rPr>
                <w:rFonts w:ascii="Arial" w:hAnsi="Arial" w:cs="Arial"/>
                <w:color w:val="000000"/>
                <w:sz w:val="22"/>
                <w:szCs w:val="22"/>
              </w:rPr>
              <w:t>81.03</w:t>
            </w:r>
          </w:p>
        </w:tc>
      </w:tr>
      <w:tr w:rsidR="00ED3CBB" w:rsidRPr="001F3412" w14:paraId="739E2C15" w14:textId="77777777" w:rsidTr="00003353">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tcPr>
          <w:p w14:paraId="0FED7119" w14:textId="671347F5" w:rsidR="00ED3CBB" w:rsidRPr="001F3412" w:rsidRDefault="00ED3CBB" w:rsidP="00ED3CBB">
            <w:pPr>
              <w:keepLines/>
              <w:widowControl w:val="0"/>
              <w:rPr>
                <w:rFonts w:ascii="Arial" w:hAnsi="Arial" w:cs="Arial"/>
                <w:bCs/>
              </w:rPr>
            </w:pPr>
            <w:r>
              <w:rPr>
                <w:rFonts w:ascii="Arial" w:hAnsi="Arial" w:cs="Arial"/>
              </w:rPr>
              <w:t>Less: finance leases</w:t>
            </w:r>
          </w:p>
        </w:tc>
        <w:tc>
          <w:tcPr>
            <w:tcW w:w="1240" w:type="dxa"/>
            <w:tcBorders>
              <w:top w:val="nil"/>
              <w:left w:val="nil"/>
              <w:bottom w:val="single" w:sz="8" w:space="0" w:color="auto"/>
              <w:right w:val="single" w:sz="8" w:space="0" w:color="auto"/>
            </w:tcBorders>
            <w:shd w:val="clear" w:color="auto" w:fill="auto"/>
            <w:vAlign w:val="center"/>
          </w:tcPr>
          <w:p w14:paraId="231875F8" w14:textId="69BC7A56" w:rsidR="00ED3CBB" w:rsidRPr="001F3412" w:rsidRDefault="00ED3CBB" w:rsidP="00ED3CBB">
            <w:pPr>
              <w:keepLines/>
              <w:widowControl w:val="0"/>
              <w:jc w:val="right"/>
              <w:rPr>
                <w:rFonts w:ascii="Arial" w:hAnsi="Arial" w:cs="Arial"/>
                <w:color w:val="000000"/>
                <w:sz w:val="22"/>
                <w:szCs w:val="22"/>
              </w:rPr>
            </w:pPr>
            <w:r>
              <w:rPr>
                <w:rFonts w:ascii="Arial" w:hAnsi="Arial" w:cs="Arial"/>
              </w:rPr>
              <w:t>(2.04)</w:t>
            </w:r>
          </w:p>
        </w:tc>
        <w:tc>
          <w:tcPr>
            <w:tcW w:w="1868" w:type="dxa"/>
            <w:tcBorders>
              <w:top w:val="nil"/>
              <w:left w:val="nil"/>
              <w:bottom w:val="single" w:sz="8" w:space="0" w:color="auto"/>
              <w:right w:val="single" w:sz="8" w:space="0" w:color="auto"/>
            </w:tcBorders>
            <w:shd w:val="clear" w:color="auto" w:fill="auto"/>
            <w:vAlign w:val="center"/>
          </w:tcPr>
          <w:p w14:paraId="7C72732C" w14:textId="3BD4EB5F" w:rsidR="00ED3CBB" w:rsidRPr="00C024FE" w:rsidRDefault="00ED3CBB" w:rsidP="00ED3CBB">
            <w:pPr>
              <w:keepLines/>
              <w:widowControl w:val="0"/>
              <w:jc w:val="right"/>
              <w:rPr>
                <w:rFonts w:ascii="Arial" w:hAnsi="Arial" w:cs="Arial"/>
                <w:color w:val="000000"/>
                <w:sz w:val="22"/>
                <w:szCs w:val="22"/>
              </w:rPr>
            </w:pPr>
            <w:r w:rsidRPr="00003353">
              <w:rPr>
                <w:rFonts w:ascii="Arial" w:hAnsi="Arial" w:cs="Arial"/>
              </w:rPr>
              <w:t>(1.</w:t>
            </w:r>
            <w:r w:rsidR="00D2330C" w:rsidRPr="00003353">
              <w:rPr>
                <w:rFonts w:ascii="Arial" w:hAnsi="Arial" w:cs="Arial"/>
              </w:rPr>
              <w:t>14</w:t>
            </w:r>
            <w:r w:rsidRPr="00003353">
              <w:rPr>
                <w:rFonts w:ascii="Arial" w:hAnsi="Arial" w:cs="Arial"/>
              </w:rPr>
              <w:t>)</w:t>
            </w:r>
          </w:p>
        </w:tc>
        <w:tc>
          <w:tcPr>
            <w:tcW w:w="1868" w:type="dxa"/>
            <w:tcBorders>
              <w:top w:val="nil"/>
              <w:left w:val="nil"/>
              <w:bottom w:val="single" w:sz="8" w:space="0" w:color="auto"/>
              <w:right w:val="single" w:sz="8" w:space="0" w:color="auto"/>
            </w:tcBorders>
            <w:shd w:val="clear" w:color="auto" w:fill="auto"/>
            <w:vAlign w:val="center"/>
          </w:tcPr>
          <w:p w14:paraId="4DB95525" w14:textId="35928A35" w:rsidR="00ED3CBB" w:rsidRDefault="003C2413" w:rsidP="00ED3CBB">
            <w:pPr>
              <w:keepLines/>
              <w:widowControl w:val="0"/>
              <w:jc w:val="right"/>
              <w:rPr>
                <w:rFonts w:ascii="Arial" w:hAnsi="Arial" w:cs="Arial"/>
                <w:color w:val="000000"/>
                <w:sz w:val="22"/>
                <w:szCs w:val="22"/>
              </w:rPr>
            </w:pPr>
            <w:r>
              <w:rPr>
                <w:rFonts w:ascii="Arial" w:hAnsi="Arial" w:cs="Arial"/>
                <w:color w:val="000000"/>
                <w:sz w:val="22"/>
                <w:szCs w:val="22"/>
              </w:rPr>
              <w:t>(</w:t>
            </w:r>
            <w:r w:rsidR="00D2330C">
              <w:rPr>
                <w:rFonts w:ascii="Arial" w:hAnsi="Arial" w:cs="Arial"/>
                <w:color w:val="000000"/>
                <w:sz w:val="22"/>
                <w:szCs w:val="22"/>
              </w:rPr>
              <w:t>35</w:t>
            </w:r>
            <w:r w:rsidR="00E676AD">
              <w:rPr>
                <w:rFonts w:ascii="Arial" w:hAnsi="Arial" w:cs="Arial"/>
                <w:color w:val="000000"/>
                <w:sz w:val="22"/>
                <w:szCs w:val="22"/>
              </w:rPr>
              <w:t>.98</w:t>
            </w:r>
            <w:r>
              <w:rPr>
                <w:rFonts w:ascii="Arial" w:hAnsi="Arial" w:cs="Arial"/>
                <w:color w:val="000000"/>
                <w:sz w:val="22"/>
                <w:szCs w:val="22"/>
              </w:rPr>
              <w:t>)</w:t>
            </w:r>
          </w:p>
        </w:tc>
        <w:tc>
          <w:tcPr>
            <w:tcW w:w="1868" w:type="dxa"/>
            <w:tcBorders>
              <w:top w:val="nil"/>
              <w:left w:val="nil"/>
              <w:bottom w:val="single" w:sz="8" w:space="0" w:color="auto"/>
              <w:right w:val="single" w:sz="8" w:space="0" w:color="auto"/>
            </w:tcBorders>
            <w:shd w:val="clear" w:color="auto" w:fill="auto"/>
            <w:vAlign w:val="center"/>
          </w:tcPr>
          <w:p w14:paraId="5A045783" w14:textId="7E8ACFEE" w:rsidR="00ED3CBB" w:rsidRDefault="003C2413" w:rsidP="00ED3CBB">
            <w:pPr>
              <w:keepLines/>
              <w:widowControl w:val="0"/>
              <w:jc w:val="right"/>
              <w:rPr>
                <w:rFonts w:ascii="Arial" w:hAnsi="Arial" w:cs="Arial"/>
                <w:color w:val="000000"/>
                <w:sz w:val="22"/>
                <w:szCs w:val="22"/>
              </w:rPr>
            </w:pPr>
            <w:r>
              <w:rPr>
                <w:rFonts w:ascii="Arial" w:hAnsi="Arial" w:cs="Arial"/>
                <w:color w:val="000000"/>
                <w:sz w:val="22"/>
                <w:szCs w:val="22"/>
              </w:rPr>
              <w:t>(</w:t>
            </w:r>
            <w:r w:rsidR="00286222">
              <w:rPr>
                <w:rFonts w:ascii="Arial" w:hAnsi="Arial" w:cs="Arial"/>
                <w:color w:val="000000"/>
                <w:sz w:val="22"/>
                <w:szCs w:val="22"/>
              </w:rPr>
              <w:t>34.28</w:t>
            </w:r>
            <w:r>
              <w:rPr>
                <w:rFonts w:ascii="Arial" w:hAnsi="Arial" w:cs="Arial"/>
                <w:color w:val="000000"/>
                <w:sz w:val="22"/>
                <w:szCs w:val="22"/>
              </w:rPr>
              <w:t>)</w:t>
            </w:r>
          </w:p>
        </w:tc>
      </w:tr>
      <w:tr w:rsidR="00411B13" w14:paraId="7814EAFE" w14:textId="77777777" w:rsidTr="00003353">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CE979F4" w14:textId="1AFD9D6C" w:rsidR="00411B13" w:rsidRPr="00003353" w:rsidRDefault="00ED3CBB" w:rsidP="00411B13">
            <w:pPr>
              <w:keepLines/>
              <w:widowControl w:val="0"/>
              <w:rPr>
                <w:rFonts w:ascii="Arial" w:hAnsi="Arial" w:cs="Arial"/>
                <w:b/>
              </w:rPr>
            </w:pPr>
            <w:r w:rsidRPr="0088314B">
              <w:rPr>
                <w:rFonts w:ascii="Arial" w:hAnsi="Arial" w:cs="Arial"/>
                <w:b/>
                <w:bCs/>
              </w:rPr>
              <w:t xml:space="preserve">Loan </w:t>
            </w:r>
            <w:r w:rsidR="00411B13" w:rsidRPr="0088314B">
              <w:rPr>
                <w:rFonts w:ascii="Arial" w:hAnsi="Arial" w:cs="Arial"/>
                <w:b/>
              </w:rPr>
              <w:t>CFR</w:t>
            </w:r>
          </w:p>
        </w:tc>
        <w:tc>
          <w:tcPr>
            <w:tcW w:w="1240" w:type="dxa"/>
            <w:tcBorders>
              <w:top w:val="nil"/>
              <w:left w:val="nil"/>
              <w:bottom w:val="single" w:sz="8" w:space="0" w:color="auto"/>
              <w:right w:val="single" w:sz="8" w:space="0" w:color="auto"/>
            </w:tcBorders>
            <w:shd w:val="clear" w:color="auto" w:fill="auto"/>
            <w:vAlign w:val="center"/>
          </w:tcPr>
          <w:p w14:paraId="63F84FD1" w14:textId="0E8CE93E" w:rsidR="00411B13" w:rsidRPr="00003353" w:rsidRDefault="00ED3CBB" w:rsidP="00411B13">
            <w:pPr>
              <w:keepLines/>
              <w:widowControl w:val="0"/>
              <w:jc w:val="right"/>
              <w:rPr>
                <w:rFonts w:ascii="Arial" w:hAnsi="Arial" w:cs="Arial"/>
                <w:b/>
              </w:rPr>
            </w:pPr>
            <w:r w:rsidRPr="0088314B">
              <w:rPr>
                <w:rFonts w:ascii="Arial" w:hAnsi="Arial" w:cs="Arial"/>
                <w:b/>
                <w:bCs/>
              </w:rPr>
              <w:t>5</w:t>
            </w:r>
            <w:r>
              <w:rPr>
                <w:rFonts w:ascii="Arial" w:hAnsi="Arial" w:cs="Arial"/>
                <w:b/>
                <w:bCs/>
              </w:rPr>
              <w:t>1</w:t>
            </w:r>
            <w:r w:rsidRPr="0088314B">
              <w:rPr>
                <w:rFonts w:ascii="Arial" w:hAnsi="Arial" w:cs="Arial"/>
                <w:b/>
                <w:bCs/>
              </w:rPr>
              <w:t>.</w:t>
            </w:r>
            <w:r>
              <w:rPr>
                <w:rFonts w:ascii="Arial" w:hAnsi="Arial" w:cs="Arial"/>
                <w:b/>
                <w:bCs/>
              </w:rPr>
              <w:t>70</w:t>
            </w:r>
            <w:r w:rsidRPr="0088314B">
              <w:rPr>
                <w:rFonts w:ascii="Arial" w:hAnsi="Arial" w:cs="Arial"/>
                <w:b/>
                <w:bCs/>
              </w:rPr>
              <w:t xml:space="preserve"> </w:t>
            </w:r>
          </w:p>
        </w:tc>
        <w:tc>
          <w:tcPr>
            <w:tcW w:w="1868" w:type="dxa"/>
            <w:tcBorders>
              <w:top w:val="nil"/>
              <w:left w:val="nil"/>
              <w:bottom w:val="single" w:sz="8" w:space="0" w:color="auto"/>
              <w:right w:val="single" w:sz="8" w:space="0" w:color="auto"/>
            </w:tcBorders>
            <w:shd w:val="clear" w:color="auto" w:fill="auto"/>
            <w:vAlign w:val="center"/>
          </w:tcPr>
          <w:p w14:paraId="481AFE62" w14:textId="4678CABB" w:rsidR="00411B13" w:rsidRPr="00003353" w:rsidRDefault="0019505C" w:rsidP="00411B13">
            <w:pPr>
              <w:keepLines/>
              <w:widowControl w:val="0"/>
              <w:jc w:val="right"/>
              <w:rPr>
                <w:rFonts w:ascii="Arial" w:hAnsi="Arial" w:cs="Arial"/>
                <w:b/>
                <w:highlight w:val="yellow"/>
              </w:rPr>
            </w:pPr>
            <w:r>
              <w:rPr>
                <w:rFonts w:ascii="Arial" w:hAnsi="Arial" w:cs="Arial"/>
                <w:b/>
                <w:bCs/>
              </w:rPr>
              <w:t>50</w:t>
            </w:r>
            <w:r w:rsidR="00286222">
              <w:rPr>
                <w:rFonts w:ascii="Arial" w:hAnsi="Arial" w:cs="Arial"/>
                <w:b/>
                <w:bCs/>
              </w:rPr>
              <w:t>.04</w:t>
            </w:r>
            <w:r w:rsidR="00ED3CBB" w:rsidRPr="0088314B">
              <w:rPr>
                <w:rFonts w:ascii="Arial" w:hAnsi="Arial" w:cs="Arial"/>
                <w:b/>
                <w:bCs/>
              </w:rPr>
              <w:t xml:space="preserve"> </w:t>
            </w:r>
          </w:p>
        </w:tc>
        <w:tc>
          <w:tcPr>
            <w:tcW w:w="1868" w:type="dxa"/>
            <w:tcBorders>
              <w:top w:val="nil"/>
              <w:left w:val="nil"/>
              <w:bottom w:val="single" w:sz="8" w:space="0" w:color="auto"/>
              <w:right w:val="single" w:sz="8" w:space="0" w:color="auto"/>
            </w:tcBorders>
            <w:shd w:val="clear" w:color="auto" w:fill="auto"/>
            <w:vAlign w:val="center"/>
          </w:tcPr>
          <w:p w14:paraId="4E9DE04D" w14:textId="00355662" w:rsidR="00411B13" w:rsidRPr="00003353" w:rsidRDefault="00286222" w:rsidP="00411B13">
            <w:pPr>
              <w:keepLines/>
              <w:widowControl w:val="0"/>
              <w:jc w:val="right"/>
              <w:rPr>
                <w:rFonts w:ascii="Arial" w:hAnsi="Arial" w:cs="Arial"/>
                <w:b/>
                <w:highlight w:val="yellow"/>
              </w:rPr>
            </w:pPr>
            <w:r w:rsidRPr="00003353">
              <w:rPr>
                <w:rFonts w:ascii="Arial" w:hAnsi="Arial" w:cs="Arial"/>
                <w:b/>
                <w:color w:val="000000"/>
                <w:sz w:val="22"/>
                <w:szCs w:val="22"/>
              </w:rPr>
              <w:t>48.3</w:t>
            </w:r>
            <w:r w:rsidR="00507405" w:rsidRPr="00003353">
              <w:rPr>
                <w:rFonts w:ascii="Arial" w:hAnsi="Arial" w:cs="Arial"/>
                <w:b/>
                <w:color w:val="000000"/>
                <w:sz w:val="22"/>
                <w:szCs w:val="22"/>
              </w:rPr>
              <w:t>9</w:t>
            </w:r>
          </w:p>
        </w:tc>
        <w:tc>
          <w:tcPr>
            <w:tcW w:w="1868" w:type="dxa"/>
            <w:tcBorders>
              <w:top w:val="nil"/>
              <w:left w:val="nil"/>
              <w:bottom w:val="single" w:sz="8" w:space="0" w:color="auto"/>
              <w:right w:val="single" w:sz="8" w:space="0" w:color="auto"/>
            </w:tcBorders>
            <w:shd w:val="clear" w:color="auto" w:fill="auto"/>
            <w:vAlign w:val="center"/>
          </w:tcPr>
          <w:p w14:paraId="19B2B6A1" w14:textId="3B3B351C" w:rsidR="00411B13" w:rsidRPr="00003353" w:rsidRDefault="00286222" w:rsidP="00411B13">
            <w:pPr>
              <w:keepLines/>
              <w:widowControl w:val="0"/>
              <w:jc w:val="right"/>
              <w:rPr>
                <w:rFonts w:ascii="Arial" w:hAnsi="Arial" w:cs="Arial"/>
                <w:b/>
                <w:highlight w:val="yellow"/>
              </w:rPr>
            </w:pPr>
            <w:r w:rsidRPr="00003353">
              <w:rPr>
                <w:rFonts w:ascii="Arial" w:hAnsi="Arial" w:cs="Arial"/>
                <w:b/>
                <w:color w:val="000000"/>
                <w:sz w:val="22"/>
                <w:szCs w:val="22"/>
              </w:rPr>
              <w:t>46.75</w:t>
            </w:r>
          </w:p>
        </w:tc>
      </w:tr>
      <w:tr w:rsidR="00411B13" w14:paraId="43E16285" w14:textId="77777777" w:rsidTr="00003353">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55880E6E" w14:textId="77777777" w:rsidR="00411B13" w:rsidRPr="000C24C2" w:rsidRDefault="00411B13" w:rsidP="00411B13">
            <w:pPr>
              <w:keepLines/>
              <w:widowControl w:val="0"/>
              <w:rPr>
                <w:rFonts w:ascii="Arial" w:hAnsi="Arial" w:cs="Arial"/>
                <w:bCs/>
              </w:rPr>
            </w:pPr>
            <w:r w:rsidRPr="000C24C2">
              <w:rPr>
                <w:rFonts w:ascii="Arial" w:hAnsi="Arial" w:cs="Arial"/>
                <w:bCs/>
              </w:rPr>
              <w:t>Less: Balance sheet resources</w:t>
            </w:r>
          </w:p>
        </w:tc>
        <w:tc>
          <w:tcPr>
            <w:tcW w:w="1240" w:type="dxa"/>
            <w:tcBorders>
              <w:top w:val="nil"/>
              <w:left w:val="nil"/>
              <w:bottom w:val="single" w:sz="8" w:space="0" w:color="auto"/>
              <w:right w:val="single" w:sz="8" w:space="0" w:color="auto"/>
            </w:tcBorders>
            <w:shd w:val="clear" w:color="auto" w:fill="auto"/>
            <w:vAlign w:val="center"/>
          </w:tcPr>
          <w:p w14:paraId="5F9E6B0D" w14:textId="39225725" w:rsidR="00411B13" w:rsidRPr="001D0AC6" w:rsidRDefault="00C825C1" w:rsidP="00411B13">
            <w:pPr>
              <w:keepLines/>
              <w:widowControl w:val="0"/>
              <w:jc w:val="right"/>
              <w:rPr>
                <w:rFonts w:ascii="Arial" w:hAnsi="Arial" w:cs="Arial"/>
                <w:bCs/>
              </w:rPr>
            </w:pPr>
            <w:r w:rsidRPr="001F3412">
              <w:rPr>
                <w:rFonts w:ascii="Arial" w:hAnsi="Arial" w:cs="Arial"/>
                <w:color w:val="000000"/>
                <w:sz w:val="22"/>
                <w:szCs w:val="22"/>
              </w:rPr>
              <w:t>(</w:t>
            </w:r>
            <w:r w:rsidR="00411B13">
              <w:rPr>
                <w:rFonts w:ascii="Arial" w:hAnsi="Arial" w:cs="Arial"/>
                <w:color w:val="000000"/>
                <w:sz w:val="22"/>
                <w:szCs w:val="22"/>
              </w:rPr>
              <w:t>13</w:t>
            </w:r>
            <w:r w:rsidR="00371452">
              <w:rPr>
                <w:rFonts w:ascii="Arial" w:hAnsi="Arial" w:cs="Arial"/>
                <w:color w:val="000000"/>
                <w:sz w:val="22"/>
                <w:szCs w:val="22"/>
              </w:rPr>
              <w:t>1</w:t>
            </w:r>
            <w:r w:rsidR="00411B13">
              <w:rPr>
                <w:rFonts w:ascii="Arial" w:hAnsi="Arial" w:cs="Arial"/>
                <w:color w:val="000000"/>
                <w:sz w:val="22"/>
                <w:szCs w:val="22"/>
              </w:rPr>
              <w:t>.</w:t>
            </w:r>
            <w:r w:rsidR="00371452">
              <w:rPr>
                <w:rFonts w:ascii="Arial" w:hAnsi="Arial" w:cs="Arial"/>
                <w:color w:val="000000"/>
                <w:sz w:val="22"/>
                <w:szCs w:val="22"/>
              </w:rPr>
              <w:t>1</w:t>
            </w:r>
            <w:r w:rsidRPr="001F3412">
              <w:rPr>
                <w:rFonts w:ascii="Arial" w:hAnsi="Arial" w:cs="Arial"/>
                <w:color w:val="000000"/>
                <w:sz w:val="22"/>
                <w:szCs w:val="22"/>
              </w:rPr>
              <w:t>0)</w:t>
            </w:r>
          </w:p>
        </w:tc>
        <w:tc>
          <w:tcPr>
            <w:tcW w:w="1868" w:type="dxa"/>
            <w:tcBorders>
              <w:top w:val="nil"/>
              <w:left w:val="nil"/>
              <w:bottom w:val="single" w:sz="8" w:space="0" w:color="auto"/>
              <w:right w:val="single" w:sz="8" w:space="0" w:color="auto"/>
            </w:tcBorders>
            <w:shd w:val="clear" w:color="auto" w:fill="auto"/>
            <w:vAlign w:val="center"/>
          </w:tcPr>
          <w:p w14:paraId="5B7DAA70" w14:textId="1CAA85FD" w:rsidR="00411B13" w:rsidRPr="001D0AC6" w:rsidRDefault="00C825C1" w:rsidP="00411B13">
            <w:pPr>
              <w:keepLines/>
              <w:widowControl w:val="0"/>
              <w:jc w:val="right"/>
              <w:rPr>
                <w:rFonts w:ascii="Arial" w:hAnsi="Arial" w:cs="Arial"/>
                <w:bCs/>
              </w:rPr>
            </w:pPr>
            <w:r w:rsidDel="00D95237">
              <w:rPr>
                <w:rFonts w:ascii="Arial" w:hAnsi="Arial" w:cs="Arial"/>
                <w:color w:val="000000"/>
                <w:sz w:val="22"/>
                <w:szCs w:val="22"/>
              </w:rPr>
              <w:t>(130.40</w:t>
            </w:r>
            <w:r w:rsidRPr="001F3412" w:rsidDel="00D95237">
              <w:rPr>
                <w:rFonts w:ascii="Arial" w:hAnsi="Arial" w:cs="Arial"/>
                <w:color w:val="000000"/>
                <w:sz w:val="22"/>
                <w:szCs w:val="22"/>
              </w:rPr>
              <w:t>)</w:t>
            </w:r>
          </w:p>
        </w:tc>
        <w:tc>
          <w:tcPr>
            <w:tcW w:w="1868" w:type="dxa"/>
            <w:tcBorders>
              <w:top w:val="nil"/>
              <w:left w:val="nil"/>
              <w:bottom w:val="single" w:sz="8" w:space="0" w:color="auto"/>
              <w:right w:val="single" w:sz="8" w:space="0" w:color="auto"/>
            </w:tcBorders>
            <w:shd w:val="clear" w:color="auto" w:fill="auto"/>
            <w:vAlign w:val="center"/>
          </w:tcPr>
          <w:p w14:paraId="7F0066EC" w14:textId="58987CF7" w:rsidR="00411B13" w:rsidRPr="001D0AC6" w:rsidRDefault="00C825C1" w:rsidP="00411B13">
            <w:pPr>
              <w:keepLines/>
              <w:widowControl w:val="0"/>
              <w:jc w:val="right"/>
              <w:rPr>
                <w:rFonts w:ascii="Arial" w:hAnsi="Arial" w:cs="Arial"/>
                <w:bCs/>
              </w:rPr>
            </w:pPr>
            <w:r w:rsidDel="00D95237">
              <w:rPr>
                <w:rFonts w:ascii="Arial" w:hAnsi="Arial" w:cs="Arial"/>
                <w:color w:val="000000"/>
                <w:sz w:val="22"/>
                <w:szCs w:val="22"/>
              </w:rPr>
              <w:t>(108.90</w:t>
            </w:r>
            <w:r w:rsidRPr="001F3412" w:rsidDel="00D95237">
              <w:rPr>
                <w:rFonts w:ascii="Arial" w:hAnsi="Arial" w:cs="Arial"/>
                <w:color w:val="000000"/>
                <w:sz w:val="22"/>
                <w:szCs w:val="22"/>
              </w:rPr>
              <w:t>)</w:t>
            </w:r>
          </w:p>
        </w:tc>
        <w:tc>
          <w:tcPr>
            <w:tcW w:w="1868" w:type="dxa"/>
            <w:tcBorders>
              <w:top w:val="nil"/>
              <w:left w:val="nil"/>
              <w:bottom w:val="single" w:sz="8" w:space="0" w:color="auto"/>
              <w:right w:val="single" w:sz="8" w:space="0" w:color="auto"/>
            </w:tcBorders>
            <w:shd w:val="clear" w:color="auto" w:fill="auto"/>
            <w:vAlign w:val="center"/>
          </w:tcPr>
          <w:p w14:paraId="4D795C93" w14:textId="1C5C006B" w:rsidR="00411B13" w:rsidRPr="001D0AC6" w:rsidRDefault="00C825C1" w:rsidP="00411B13">
            <w:pPr>
              <w:keepLines/>
              <w:widowControl w:val="0"/>
              <w:jc w:val="right"/>
              <w:rPr>
                <w:rFonts w:ascii="Arial" w:hAnsi="Arial" w:cs="Arial"/>
                <w:bCs/>
              </w:rPr>
            </w:pPr>
            <w:r w:rsidDel="00D95237">
              <w:rPr>
                <w:rFonts w:ascii="Arial" w:hAnsi="Arial" w:cs="Arial"/>
                <w:color w:val="000000"/>
                <w:sz w:val="22"/>
                <w:szCs w:val="22"/>
              </w:rPr>
              <w:t>(84.10</w:t>
            </w:r>
            <w:r w:rsidRPr="001F3412" w:rsidDel="00D95237">
              <w:rPr>
                <w:rFonts w:ascii="Arial" w:hAnsi="Arial" w:cs="Arial"/>
                <w:color w:val="000000"/>
                <w:sz w:val="22"/>
                <w:szCs w:val="22"/>
              </w:rPr>
              <w:t>)</w:t>
            </w:r>
          </w:p>
        </w:tc>
      </w:tr>
      <w:tr w:rsidR="00BF2EBA" w:rsidRPr="000C24C2" w14:paraId="6FD11F2A" w14:textId="77777777" w:rsidTr="00003353">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388D7078" w14:textId="77777777" w:rsidR="00BF2EBA" w:rsidRPr="001D0AC6" w:rsidRDefault="00BF2EBA" w:rsidP="00BF2EBA">
            <w:pPr>
              <w:keepLines/>
              <w:widowControl w:val="0"/>
              <w:rPr>
                <w:rFonts w:ascii="Arial" w:hAnsi="Arial" w:cs="Arial"/>
                <w:b/>
              </w:rPr>
            </w:pPr>
            <w:r w:rsidRPr="001D0AC6">
              <w:rPr>
                <w:rFonts w:ascii="Arial" w:hAnsi="Arial" w:cs="Arial"/>
                <w:b/>
              </w:rPr>
              <w:t>Net loans requirement</w:t>
            </w:r>
          </w:p>
        </w:tc>
        <w:tc>
          <w:tcPr>
            <w:tcW w:w="1240" w:type="dxa"/>
            <w:tcBorders>
              <w:top w:val="nil"/>
              <w:left w:val="nil"/>
              <w:bottom w:val="single" w:sz="8" w:space="0" w:color="auto"/>
              <w:right w:val="single" w:sz="8" w:space="0" w:color="auto"/>
            </w:tcBorders>
            <w:shd w:val="clear" w:color="auto" w:fill="auto"/>
            <w:vAlign w:val="center"/>
          </w:tcPr>
          <w:p w14:paraId="25207181" w14:textId="1088CBDC" w:rsidR="00BF2EBA" w:rsidRPr="000C24C2" w:rsidRDefault="00371452" w:rsidP="00BF2EBA">
            <w:pPr>
              <w:keepLines/>
              <w:widowControl w:val="0"/>
              <w:jc w:val="right"/>
              <w:rPr>
                <w:rFonts w:ascii="Arial" w:hAnsi="Arial" w:cs="Arial"/>
                <w:b/>
              </w:rPr>
            </w:pPr>
            <w:r>
              <w:rPr>
                <w:rFonts w:ascii="Arial" w:hAnsi="Arial" w:cs="Arial"/>
                <w:b/>
                <w:bCs/>
                <w:color w:val="000000"/>
                <w:sz w:val="22"/>
                <w:szCs w:val="22"/>
              </w:rPr>
              <w:t>(</w:t>
            </w:r>
            <w:r w:rsidR="00BF2EBA">
              <w:rPr>
                <w:rFonts w:ascii="Arial" w:hAnsi="Arial" w:cs="Arial"/>
                <w:b/>
                <w:bCs/>
                <w:color w:val="000000"/>
                <w:sz w:val="22"/>
                <w:szCs w:val="22"/>
              </w:rPr>
              <w:t>79.40</w:t>
            </w:r>
            <w:r w:rsidR="00BF2EBA" w:rsidDel="00C3597D">
              <w:rPr>
                <w:rFonts w:ascii="Arial" w:hAnsi="Arial" w:cs="Arial"/>
                <w:b/>
                <w:bCs/>
                <w:color w:val="000000"/>
                <w:sz w:val="22"/>
                <w:szCs w:val="22"/>
              </w:rPr>
              <w:t>)</w:t>
            </w:r>
          </w:p>
        </w:tc>
        <w:tc>
          <w:tcPr>
            <w:tcW w:w="1868" w:type="dxa"/>
            <w:tcBorders>
              <w:top w:val="nil"/>
              <w:left w:val="nil"/>
              <w:bottom w:val="single" w:sz="8" w:space="0" w:color="auto"/>
              <w:right w:val="single" w:sz="8" w:space="0" w:color="auto"/>
            </w:tcBorders>
            <w:shd w:val="clear" w:color="auto" w:fill="auto"/>
            <w:vAlign w:val="center"/>
          </w:tcPr>
          <w:p w14:paraId="68AF2765" w14:textId="100E4B50" w:rsidR="00BF2EBA" w:rsidRPr="000C24C2" w:rsidRDefault="00371452" w:rsidP="00BF2EBA">
            <w:pPr>
              <w:keepLines/>
              <w:widowControl w:val="0"/>
              <w:jc w:val="right"/>
              <w:rPr>
                <w:rFonts w:ascii="Arial" w:hAnsi="Arial" w:cs="Arial"/>
                <w:b/>
              </w:rPr>
            </w:pPr>
            <w:r>
              <w:rPr>
                <w:rFonts w:ascii="Arial" w:hAnsi="Arial" w:cs="Arial"/>
                <w:b/>
                <w:bCs/>
                <w:color w:val="000000"/>
                <w:sz w:val="22"/>
                <w:szCs w:val="22"/>
              </w:rPr>
              <w:t>(</w:t>
            </w:r>
            <w:r w:rsidR="00BF2EBA">
              <w:rPr>
                <w:rFonts w:ascii="Arial" w:hAnsi="Arial" w:cs="Arial"/>
                <w:b/>
                <w:bCs/>
                <w:color w:val="000000"/>
                <w:sz w:val="22"/>
                <w:szCs w:val="22"/>
              </w:rPr>
              <w:t>80.36</w:t>
            </w:r>
            <w:r>
              <w:rPr>
                <w:rFonts w:ascii="Arial" w:hAnsi="Arial" w:cs="Arial"/>
                <w:b/>
                <w:bCs/>
                <w:color w:val="000000"/>
                <w:sz w:val="22"/>
                <w:szCs w:val="22"/>
              </w:rPr>
              <w:t>)</w:t>
            </w:r>
          </w:p>
        </w:tc>
        <w:tc>
          <w:tcPr>
            <w:tcW w:w="1868" w:type="dxa"/>
            <w:tcBorders>
              <w:top w:val="nil"/>
              <w:left w:val="nil"/>
              <w:bottom w:val="single" w:sz="8" w:space="0" w:color="auto"/>
              <w:right w:val="single" w:sz="8" w:space="0" w:color="auto"/>
            </w:tcBorders>
            <w:shd w:val="clear" w:color="auto" w:fill="auto"/>
            <w:vAlign w:val="center"/>
          </w:tcPr>
          <w:p w14:paraId="22873D1D" w14:textId="2E3A1CE9" w:rsidR="00BF2EBA" w:rsidRPr="000C24C2" w:rsidRDefault="00E40182" w:rsidP="00BF2EBA">
            <w:pPr>
              <w:keepLines/>
              <w:widowControl w:val="0"/>
              <w:jc w:val="right"/>
              <w:rPr>
                <w:rFonts w:ascii="Arial" w:hAnsi="Arial" w:cs="Arial"/>
                <w:b/>
              </w:rPr>
            </w:pPr>
            <w:r>
              <w:rPr>
                <w:rFonts w:ascii="Arial" w:hAnsi="Arial" w:cs="Arial"/>
                <w:b/>
                <w:bCs/>
                <w:color w:val="000000"/>
                <w:sz w:val="22"/>
                <w:szCs w:val="22"/>
              </w:rPr>
              <w:t>(</w:t>
            </w:r>
            <w:r w:rsidR="00BF2EBA">
              <w:rPr>
                <w:rFonts w:ascii="Arial" w:hAnsi="Arial" w:cs="Arial"/>
                <w:b/>
                <w:bCs/>
                <w:color w:val="000000"/>
                <w:sz w:val="22"/>
                <w:szCs w:val="22"/>
              </w:rPr>
              <w:t>60.5</w:t>
            </w:r>
            <w:r>
              <w:rPr>
                <w:rFonts w:ascii="Arial" w:hAnsi="Arial" w:cs="Arial"/>
                <w:b/>
                <w:bCs/>
                <w:color w:val="000000"/>
                <w:sz w:val="22"/>
                <w:szCs w:val="22"/>
              </w:rPr>
              <w:t>1)</w:t>
            </w:r>
          </w:p>
        </w:tc>
        <w:tc>
          <w:tcPr>
            <w:tcW w:w="1868" w:type="dxa"/>
            <w:tcBorders>
              <w:top w:val="nil"/>
              <w:left w:val="nil"/>
              <w:bottom w:val="single" w:sz="8" w:space="0" w:color="auto"/>
              <w:right w:val="single" w:sz="8" w:space="0" w:color="auto"/>
            </w:tcBorders>
            <w:shd w:val="clear" w:color="auto" w:fill="auto"/>
            <w:vAlign w:val="center"/>
          </w:tcPr>
          <w:p w14:paraId="394038D5" w14:textId="1B047A8C" w:rsidR="00BF2EBA" w:rsidRPr="000C24C2" w:rsidRDefault="007B1A2E" w:rsidP="00BF2EBA">
            <w:pPr>
              <w:keepLines/>
              <w:widowControl w:val="0"/>
              <w:jc w:val="right"/>
              <w:rPr>
                <w:rFonts w:ascii="Arial" w:hAnsi="Arial" w:cs="Arial"/>
                <w:b/>
              </w:rPr>
            </w:pPr>
            <w:r>
              <w:rPr>
                <w:rFonts w:ascii="Arial" w:hAnsi="Arial" w:cs="Arial"/>
                <w:b/>
                <w:bCs/>
                <w:color w:val="000000"/>
                <w:sz w:val="22"/>
                <w:szCs w:val="22"/>
              </w:rPr>
              <w:t>(</w:t>
            </w:r>
            <w:r w:rsidR="00BF2EBA">
              <w:rPr>
                <w:rFonts w:ascii="Arial" w:hAnsi="Arial" w:cs="Arial"/>
                <w:b/>
                <w:bCs/>
                <w:color w:val="000000"/>
                <w:sz w:val="22"/>
                <w:szCs w:val="22"/>
              </w:rPr>
              <w:t>37.</w:t>
            </w:r>
            <w:r>
              <w:rPr>
                <w:rFonts w:ascii="Arial" w:hAnsi="Arial" w:cs="Arial"/>
                <w:b/>
                <w:bCs/>
                <w:color w:val="000000"/>
                <w:sz w:val="22"/>
                <w:szCs w:val="22"/>
              </w:rPr>
              <w:t>35)</w:t>
            </w:r>
          </w:p>
        </w:tc>
      </w:tr>
      <w:tr w:rsidR="00BF2EBA" w14:paraId="4D32C69A" w14:textId="77777777" w:rsidTr="00003353">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44A57BA7" w14:textId="77777777" w:rsidR="00BF2EBA" w:rsidRPr="000C24C2" w:rsidRDefault="00BF2EBA" w:rsidP="00BF2EBA">
            <w:pPr>
              <w:keepLines/>
              <w:widowControl w:val="0"/>
              <w:rPr>
                <w:rFonts w:ascii="Arial" w:hAnsi="Arial" w:cs="Arial"/>
                <w:bCs/>
              </w:rPr>
            </w:pPr>
            <w:r w:rsidRPr="000C24C2">
              <w:rPr>
                <w:rFonts w:ascii="Arial" w:hAnsi="Arial" w:cs="Arial"/>
                <w:bCs/>
              </w:rPr>
              <w:t>Plus: Liquidity allowance</w:t>
            </w:r>
          </w:p>
        </w:tc>
        <w:tc>
          <w:tcPr>
            <w:tcW w:w="1240" w:type="dxa"/>
            <w:tcBorders>
              <w:top w:val="nil"/>
              <w:left w:val="nil"/>
              <w:bottom w:val="single" w:sz="8" w:space="0" w:color="auto"/>
              <w:right w:val="single" w:sz="8" w:space="0" w:color="auto"/>
            </w:tcBorders>
            <w:shd w:val="clear" w:color="auto" w:fill="auto"/>
            <w:vAlign w:val="center"/>
          </w:tcPr>
          <w:p w14:paraId="1B859701" w14:textId="15DDFE9D" w:rsidR="00BF2EBA" w:rsidRPr="001D0AC6" w:rsidRDefault="00BF2EBA" w:rsidP="00BF2EBA">
            <w:pPr>
              <w:keepLines/>
              <w:widowControl w:val="0"/>
              <w:jc w:val="right"/>
              <w:rPr>
                <w:rFonts w:ascii="Arial" w:hAnsi="Arial" w:cs="Arial"/>
                <w:bCs/>
              </w:rPr>
            </w:pPr>
            <w:r w:rsidDel="00C3597D">
              <w:rPr>
                <w:rFonts w:ascii="Arial" w:hAnsi="Arial" w:cs="Arial"/>
                <w:color w:val="000000"/>
                <w:sz w:val="22"/>
                <w:szCs w:val="22"/>
              </w:rPr>
              <w:t>10.00</w:t>
            </w:r>
          </w:p>
        </w:tc>
        <w:tc>
          <w:tcPr>
            <w:tcW w:w="1868" w:type="dxa"/>
            <w:tcBorders>
              <w:top w:val="nil"/>
              <w:left w:val="nil"/>
              <w:bottom w:val="single" w:sz="8" w:space="0" w:color="auto"/>
              <w:right w:val="single" w:sz="8" w:space="0" w:color="auto"/>
            </w:tcBorders>
            <w:shd w:val="clear" w:color="auto" w:fill="auto"/>
            <w:vAlign w:val="center"/>
          </w:tcPr>
          <w:p w14:paraId="6EFEB2F7" w14:textId="7A01E108" w:rsidR="00BF2EBA" w:rsidRPr="001F3412" w:rsidRDefault="00C825C1" w:rsidP="00BF2EBA">
            <w:pPr>
              <w:keepLines/>
              <w:widowControl w:val="0"/>
              <w:jc w:val="right"/>
              <w:rPr>
                <w:rFonts w:ascii="Arial" w:hAnsi="Arial" w:cs="Arial"/>
              </w:rPr>
            </w:pPr>
            <w:r>
              <w:rPr>
                <w:rFonts w:ascii="Arial" w:hAnsi="Arial" w:cs="Arial"/>
                <w:color w:val="000000"/>
                <w:sz w:val="22"/>
                <w:szCs w:val="22"/>
              </w:rPr>
              <w:t>10.00</w:t>
            </w:r>
          </w:p>
        </w:tc>
        <w:tc>
          <w:tcPr>
            <w:tcW w:w="1868" w:type="dxa"/>
            <w:tcBorders>
              <w:top w:val="nil"/>
              <w:left w:val="nil"/>
              <w:bottom w:val="single" w:sz="8" w:space="0" w:color="auto"/>
              <w:right w:val="single" w:sz="8" w:space="0" w:color="auto"/>
            </w:tcBorders>
            <w:shd w:val="clear" w:color="auto" w:fill="auto"/>
            <w:vAlign w:val="center"/>
          </w:tcPr>
          <w:p w14:paraId="3C249103" w14:textId="366E1F23" w:rsidR="00BF2EBA" w:rsidRPr="001D0AC6" w:rsidRDefault="00C825C1" w:rsidP="00BF2EBA">
            <w:pPr>
              <w:keepLines/>
              <w:widowControl w:val="0"/>
              <w:jc w:val="right"/>
              <w:rPr>
                <w:rFonts w:ascii="Arial" w:hAnsi="Arial" w:cs="Arial"/>
                <w:bCs/>
              </w:rPr>
            </w:pPr>
            <w:r>
              <w:rPr>
                <w:rFonts w:ascii="Arial" w:hAnsi="Arial" w:cs="Arial"/>
                <w:color w:val="000000"/>
                <w:sz w:val="22"/>
                <w:szCs w:val="22"/>
              </w:rPr>
              <w:t>10.00</w:t>
            </w:r>
          </w:p>
        </w:tc>
        <w:tc>
          <w:tcPr>
            <w:tcW w:w="1868" w:type="dxa"/>
            <w:tcBorders>
              <w:top w:val="nil"/>
              <w:left w:val="nil"/>
              <w:bottom w:val="single" w:sz="8" w:space="0" w:color="auto"/>
              <w:right w:val="single" w:sz="8" w:space="0" w:color="auto"/>
            </w:tcBorders>
            <w:shd w:val="clear" w:color="auto" w:fill="auto"/>
            <w:vAlign w:val="center"/>
          </w:tcPr>
          <w:p w14:paraId="61DBED7D" w14:textId="7BA7AD3E" w:rsidR="00BF2EBA" w:rsidRPr="001D0AC6" w:rsidRDefault="00C825C1" w:rsidP="00BF2EBA">
            <w:pPr>
              <w:keepLines/>
              <w:widowControl w:val="0"/>
              <w:jc w:val="right"/>
              <w:rPr>
                <w:rFonts w:ascii="Arial" w:hAnsi="Arial" w:cs="Arial"/>
                <w:bCs/>
              </w:rPr>
            </w:pPr>
            <w:r>
              <w:rPr>
                <w:rFonts w:ascii="Arial" w:hAnsi="Arial" w:cs="Arial"/>
                <w:color w:val="000000"/>
                <w:sz w:val="22"/>
                <w:szCs w:val="22"/>
              </w:rPr>
              <w:t>10.00</w:t>
            </w:r>
          </w:p>
        </w:tc>
      </w:tr>
      <w:tr w:rsidR="00BF2EBA" w14:paraId="2BF1FEB2" w14:textId="77777777" w:rsidTr="00003353">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2FF9D4E4" w14:textId="77777777" w:rsidR="00BF2EBA" w:rsidRPr="001D0AC6" w:rsidRDefault="00BF2EBA" w:rsidP="00BF2EBA">
            <w:pPr>
              <w:keepLines/>
              <w:widowControl w:val="0"/>
              <w:rPr>
                <w:rFonts w:ascii="Arial" w:hAnsi="Arial" w:cs="Arial"/>
                <w:b/>
              </w:rPr>
            </w:pPr>
            <w:r w:rsidRPr="001D0AC6">
              <w:rPr>
                <w:rFonts w:ascii="Arial" w:hAnsi="Arial" w:cs="Arial"/>
                <w:b/>
              </w:rPr>
              <w:t>Liability benchmark</w:t>
            </w:r>
          </w:p>
        </w:tc>
        <w:tc>
          <w:tcPr>
            <w:tcW w:w="1240" w:type="dxa"/>
            <w:tcBorders>
              <w:top w:val="nil"/>
              <w:left w:val="nil"/>
              <w:bottom w:val="single" w:sz="8" w:space="0" w:color="auto"/>
              <w:right w:val="single" w:sz="8" w:space="0" w:color="auto"/>
            </w:tcBorders>
            <w:shd w:val="clear" w:color="auto" w:fill="auto"/>
            <w:vAlign w:val="center"/>
          </w:tcPr>
          <w:p w14:paraId="1E690B97" w14:textId="6AAE12CA" w:rsidR="00BF2EBA" w:rsidRPr="000C24C2" w:rsidRDefault="00371452" w:rsidP="00BF2EBA">
            <w:pPr>
              <w:keepLines/>
              <w:widowControl w:val="0"/>
              <w:jc w:val="right"/>
              <w:rPr>
                <w:rFonts w:ascii="Arial" w:hAnsi="Arial" w:cs="Arial"/>
                <w:b/>
              </w:rPr>
            </w:pPr>
            <w:r>
              <w:rPr>
                <w:rFonts w:ascii="Arial" w:hAnsi="Arial" w:cs="Arial"/>
                <w:b/>
                <w:bCs/>
                <w:color w:val="000000"/>
                <w:sz w:val="22"/>
                <w:szCs w:val="22"/>
              </w:rPr>
              <w:t>(</w:t>
            </w:r>
            <w:r w:rsidR="00BF2EBA">
              <w:rPr>
                <w:rFonts w:ascii="Arial" w:hAnsi="Arial" w:cs="Arial"/>
                <w:b/>
                <w:bCs/>
                <w:color w:val="000000"/>
                <w:sz w:val="22"/>
                <w:szCs w:val="22"/>
              </w:rPr>
              <w:t>69.40</w:t>
            </w:r>
            <w:r w:rsidR="00BF2EBA" w:rsidDel="00C3597D">
              <w:rPr>
                <w:rFonts w:ascii="Arial" w:hAnsi="Arial" w:cs="Arial"/>
                <w:b/>
                <w:bCs/>
                <w:color w:val="000000"/>
                <w:sz w:val="22"/>
                <w:szCs w:val="22"/>
              </w:rPr>
              <w:t>)</w:t>
            </w:r>
          </w:p>
        </w:tc>
        <w:tc>
          <w:tcPr>
            <w:tcW w:w="1868" w:type="dxa"/>
            <w:tcBorders>
              <w:top w:val="nil"/>
              <w:left w:val="nil"/>
              <w:bottom w:val="single" w:sz="8" w:space="0" w:color="auto"/>
              <w:right w:val="single" w:sz="8" w:space="0" w:color="auto"/>
            </w:tcBorders>
            <w:shd w:val="clear" w:color="auto" w:fill="auto"/>
            <w:vAlign w:val="center"/>
          </w:tcPr>
          <w:p w14:paraId="3EEE74C0" w14:textId="26B2DA4D" w:rsidR="00BF2EBA" w:rsidRPr="000C24C2" w:rsidRDefault="00371452" w:rsidP="00BF2EBA">
            <w:pPr>
              <w:keepLines/>
              <w:widowControl w:val="0"/>
              <w:jc w:val="right"/>
              <w:rPr>
                <w:rFonts w:ascii="Arial" w:hAnsi="Arial" w:cs="Arial"/>
                <w:b/>
              </w:rPr>
            </w:pPr>
            <w:r>
              <w:rPr>
                <w:rFonts w:ascii="Arial" w:hAnsi="Arial" w:cs="Arial"/>
                <w:b/>
                <w:bCs/>
                <w:color w:val="000000"/>
                <w:sz w:val="22"/>
                <w:szCs w:val="22"/>
              </w:rPr>
              <w:t>(</w:t>
            </w:r>
            <w:r w:rsidR="00BF2EBA">
              <w:rPr>
                <w:rFonts w:ascii="Arial" w:hAnsi="Arial" w:cs="Arial"/>
                <w:b/>
                <w:bCs/>
                <w:color w:val="000000"/>
                <w:sz w:val="22"/>
                <w:szCs w:val="22"/>
              </w:rPr>
              <w:t>70.36</w:t>
            </w:r>
            <w:r>
              <w:rPr>
                <w:rFonts w:ascii="Arial" w:hAnsi="Arial" w:cs="Arial"/>
                <w:b/>
                <w:bCs/>
                <w:color w:val="000000"/>
                <w:sz w:val="22"/>
                <w:szCs w:val="22"/>
              </w:rPr>
              <w:t>)</w:t>
            </w:r>
          </w:p>
        </w:tc>
        <w:tc>
          <w:tcPr>
            <w:tcW w:w="1868" w:type="dxa"/>
            <w:tcBorders>
              <w:top w:val="nil"/>
              <w:left w:val="nil"/>
              <w:bottom w:val="single" w:sz="8" w:space="0" w:color="auto"/>
              <w:right w:val="single" w:sz="8" w:space="0" w:color="auto"/>
            </w:tcBorders>
            <w:shd w:val="clear" w:color="auto" w:fill="auto"/>
            <w:vAlign w:val="center"/>
          </w:tcPr>
          <w:p w14:paraId="5D01BBDF" w14:textId="7B924568" w:rsidR="00BF2EBA" w:rsidRPr="000C24C2" w:rsidRDefault="00E40182" w:rsidP="00BF2EBA">
            <w:pPr>
              <w:keepLines/>
              <w:widowControl w:val="0"/>
              <w:jc w:val="right"/>
              <w:rPr>
                <w:rFonts w:ascii="Arial" w:hAnsi="Arial" w:cs="Arial"/>
                <w:b/>
              </w:rPr>
            </w:pPr>
            <w:r>
              <w:rPr>
                <w:rFonts w:ascii="Arial" w:hAnsi="Arial" w:cs="Arial"/>
                <w:b/>
                <w:bCs/>
                <w:color w:val="000000"/>
                <w:sz w:val="22"/>
                <w:szCs w:val="22"/>
              </w:rPr>
              <w:t>(</w:t>
            </w:r>
            <w:r w:rsidR="00BF2EBA">
              <w:rPr>
                <w:rFonts w:ascii="Arial" w:hAnsi="Arial" w:cs="Arial"/>
                <w:b/>
                <w:bCs/>
                <w:color w:val="000000"/>
                <w:sz w:val="22"/>
                <w:szCs w:val="22"/>
              </w:rPr>
              <w:t>50.5</w:t>
            </w:r>
            <w:r>
              <w:rPr>
                <w:rFonts w:ascii="Arial" w:hAnsi="Arial" w:cs="Arial"/>
                <w:b/>
                <w:bCs/>
                <w:color w:val="000000"/>
                <w:sz w:val="22"/>
                <w:szCs w:val="22"/>
              </w:rPr>
              <w:t>1)</w:t>
            </w:r>
          </w:p>
        </w:tc>
        <w:tc>
          <w:tcPr>
            <w:tcW w:w="1868" w:type="dxa"/>
            <w:tcBorders>
              <w:top w:val="nil"/>
              <w:left w:val="nil"/>
              <w:bottom w:val="single" w:sz="8" w:space="0" w:color="auto"/>
              <w:right w:val="single" w:sz="8" w:space="0" w:color="auto"/>
            </w:tcBorders>
            <w:shd w:val="clear" w:color="auto" w:fill="auto"/>
            <w:vAlign w:val="center"/>
          </w:tcPr>
          <w:p w14:paraId="269136DA" w14:textId="592F78B8" w:rsidR="00BF2EBA" w:rsidRPr="000C24C2" w:rsidRDefault="007B1A2E" w:rsidP="00BF2EBA">
            <w:pPr>
              <w:keepLines/>
              <w:widowControl w:val="0"/>
              <w:jc w:val="right"/>
              <w:rPr>
                <w:rFonts w:ascii="Arial" w:hAnsi="Arial" w:cs="Arial"/>
                <w:b/>
              </w:rPr>
            </w:pPr>
            <w:r>
              <w:rPr>
                <w:rFonts w:ascii="Arial" w:hAnsi="Arial" w:cs="Arial"/>
                <w:b/>
                <w:bCs/>
                <w:color w:val="000000"/>
                <w:sz w:val="22"/>
                <w:szCs w:val="22"/>
              </w:rPr>
              <w:t>(</w:t>
            </w:r>
            <w:r w:rsidR="00BF2EBA">
              <w:rPr>
                <w:rFonts w:ascii="Arial" w:hAnsi="Arial" w:cs="Arial"/>
                <w:b/>
                <w:bCs/>
                <w:color w:val="000000"/>
                <w:sz w:val="22"/>
                <w:szCs w:val="22"/>
              </w:rPr>
              <w:t>27.</w:t>
            </w:r>
            <w:r>
              <w:rPr>
                <w:rFonts w:ascii="Arial" w:hAnsi="Arial" w:cs="Arial"/>
                <w:b/>
                <w:bCs/>
                <w:color w:val="000000"/>
                <w:sz w:val="22"/>
                <w:szCs w:val="22"/>
              </w:rPr>
              <w:t>35)</w:t>
            </w:r>
          </w:p>
        </w:tc>
      </w:tr>
      <w:tr w:rsidR="00BF2EBA" w14:paraId="6674A061" w14:textId="77777777" w:rsidTr="00003353">
        <w:trPr>
          <w:trHeight w:val="315"/>
          <w:jc w:val="center"/>
        </w:trPr>
        <w:tc>
          <w:tcPr>
            <w:tcW w:w="1975" w:type="dxa"/>
            <w:tcBorders>
              <w:top w:val="nil"/>
              <w:left w:val="single" w:sz="8" w:space="0" w:color="auto"/>
              <w:bottom w:val="single" w:sz="8" w:space="0" w:color="auto"/>
              <w:right w:val="single" w:sz="8" w:space="0" w:color="auto"/>
            </w:tcBorders>
            <w:shd w:val="clear" w:color="auto" w:fill="auto"/>
            <w:vAlign w:val="center"/>
            <w:hideMark/>
          </w:tcPr>
          <w:p w14:paraId="7DC4C0A9" w14:textId="77777777" w:rsidR="00BF2EBA" w:rsidRPr="001D0AC6" w:rsidRDefault="00BF2EBA" w:rsidP="00BF2EBA">
            <w:pPr>
              <w:keepLines/>
              <w:widowControl w:val="0"/>
              <w:rPr>
                <w:rFonts w:ascii="Arial" w:hAnsi="Arial" w:cs="Arial"/>
                <w:b/>
              </w:rPr>
            </w:pPr>
            <w:r w:rsidRPr="001D0AC6">
              <w:rPr>
                <w:rFonts w:ascii="Arial" w:hAnsi="Arial" w:cs="Arial"/>
                <w:b/>
              </w:rPr>
              <w:t>Existing borrowing</w:t>
            </w:r>
          </w:p>
        </w:tc>
        <w:tc>
          <w:tcPr>
            <w:tcW w:w="1240" w:type="dxa"/>
            <w:tcBorders>
              <w:top w:val="nil"/>
              <w:left w:val="nil"/>
              <w:bottom w:val="single" w:sz="8" w:space="0" w:color="auto"/>
              <w:right w:val="single" w:sz="8" w:space="0" w:color="auto"/>
            </w:tcBorders>
            <w:shd w:val="clear" w:color="auto" w:fill="auto"/>
            <w:vAlign w:val="center"/>
          </w:tcPr>
          <w:p w14:paraId="002016F9" w14:textId="0D37231B" w:rsidR="00BF2EBA" w:rsidRPr="000C24C2" w:rsidRDefault="00BF2EBA" w:rsidP="00BF2EBA">
            <w:pPr>
              <w:keepLines/>
              <w:widowControl w:val="0"/>
              <w:jc w:val="right"/>
              <w:rPr>
                <w:rFonts w:ascii="Arial" w:hAnsi="Arial" w:cs="Arial"/>
                <w:b/>
              </w:rPr>
            </w:pPr>
            <w:r w:rsidDel="00C3597D">
              <w:rPr>
                <w:rFonts w:ascii="Arial" w:hAnsi="Arial" w:cs="Arial"/>
                <w:b/>
                <w:bCs/>
                <w:color w:val="000000"/>
                <w:sz w:val="22"/>
                <w:szCs w:val="22"/>
              </w:rPr>
              <w:t>29.90</w:t>
            </w:r>
          </w:p>
        </w:tc>
        <w:tc>
          <w:tcPr>
            <w:tcW w:w="1868" w:type="dxa"/>
            <w:tcBorders>
              <w:top w:val="nil"/>
              <w:left w:val="nil"/>
              <w:bottom w:val="single" w:sz="8" w:space="0" w:color="auto"/>
              <w:right w:val="single" w:sz="8" w:space="0" w:color="auto"/>
            </w:tcBorders>
            <w:shd w:val="clear" w:color="auto" w:fill="auto"/>
            <w:vAlign w:val="center"/>
          </w:tcPr>
          <w:p w14:paraId="6A1E006F" w14:textId="65971A61" w:rsidR="00BF2EBA" w:rsidRPr="000C24C2" w:rsidRDefault="00C825C1" w:rsidP="00BF2EBA">
            <w:pPr>
              <w:keepLines/>
              <w:widowControl w:val="0"/>
              <w:jc w:val="right"/>
              <w:rPr>
                <w:rFonts w:ascii="Arial" w:hAnsi="Arial" w:cs="Arial"/>
                <w:b/>
              </w:rPr>
            </w:pPr>
            <w:r>
              <w:rPr>
                <w:rFonts w:ascii="Arial" w:hAnsi="Arial" w:cs="Arial"/>
                <w:b/>
                <w:bCs/>
                <w:color w:val="000000"/>
                <w:sz w:val="22"/>
                <w:szCs w:val="22"/>
              </w:rPr>
              <w:t>19.35</w:t>
            </w:r>
          </w:p>
        </w:tc>
        <w:tc>
          <w:tcPr>
            <w:tcW w:w="1868" w:type="dxa"/>
            <w:tcBorders>
              <w:top w:val="nil"/>
              <w:left w:val="nil"/>
              <w:bottom w:val="single" w:sz="8" w:space="0" w:color="auto"/>
              <w:right w:val="single" w:sz="8" w:space="0" w:color="auto"/>
            </w:tcBorders>
            <w:shd w:val="clear" w:color="auto" w:fill="auto"/>
            <w:vAlign w:val="center"/>
          </w:tcPr>
          <w:p w14:paraId="1C038216" w14:textId="1EC6B046" w:rsidR="00BF2EBA" w:rsidRPr="000C24C2" w:rsidRDefault="00C825C1" w:rsidP="00BF2EBA">
            <w:pPr>
              <w:keepLines/>
              <w:widowControl w:val="0"/>
              <w:jc w:val="right"/>
              <w:rPr>
                <w:rFonts w:ascii="Arial" w:hAnsi="Arial" w:cs="Arial"/>
                <w:b/>
              </w:rPr>
            </w:pPr>
            <w:r>
              <w:rPr>
                <w:rFonts w:ascii="Arial" w:hAnsi="Arial" w:cs="Arial"/>
                <w:b/>
                <w:bCs/>
                <w:color w:val="000000"/>
                <w:sz w:val="22"/>
                <w:szCs w:val="22"/>
              </w:rPr>
              <w:t>19.00</w:t>
            </w:r>
          </w:p>
        </w:tc>
        <w:tc>
          <w:tcPr>
            <w:tcW w:w="1868" w:type="dxa"/>
            <w:tcBorders>
              <w:top w:val="nil"/>
              <w:left w:val="nil"/>
              <w:bottom w:val="single" w:sz="8" w:space="0" w:color="auto"/>
              <w:right w:val="single" w:sz="8" w:space="0" w:color="auto"/>
            </w:tcBorders>
            <w:shd w:val="clear" w:color="auto" w:fill="auto"/>
            <w:vAlign w:val="center"/>
          </w:tcPr>
          <w:p w14:paraId="4DA24D19" w14:textId="6211016C" w:rsidR="00BF2EBA" w:rsidRPr="000C24C2" w:rsidRDefault="00C825C1" w:rsidP="00BF2EBA">
            <w:pPr>
              <w:keepLines/>
              <w:widowControl w:val="0"/>
              <w:jc w:val="right"/>
              <w:rPr>
                <w:rFonts w:ascii="Arial" w:hAnsi="Arial" w:cs="Arial"/>
                <w:b/>
              </w:rPr>
            </w:pPr>
            <w:r>
              <w:rPr>
                <w:rFonts w:ascii="Arial" w:hAnsi="Arial" w:cs="Arial"/>
                <w:b/>
                <w:bCs/>
                <w:color w:val="000000"/>
                <w:sz w:val="22"/>
                <w:szCs w:val="22"/>
              </w:rPr>
              <w:t>19.00</w:t>
            </w:r>
          </w:p>
        </w:tc>
      </w:tr>
    </w:tbl>
    <w:p w14:paraId="669F6D74" w14:textId="77777777" w:rsidR="009823CD" w:rsidRDefault="009823CD" w:rsidP="009823CD">
      <w:pPr>
        <w:spacing w:after="240"/>
        <w:rPr>
          <w:noProof/>
        </w:rPr>
      </w:pPr>
    </w:p>
    <w:p w14:paraId="378C252B" w14:textId="5B94EAFB" w:rsidR="009823CD" w:rsidRDefault="00523117" w:rsidP="009823CD">
      <w:pPr>
        <w:spacing w:after="240"/>
        <w:jc w:val="center"/>
        <w:rPr>
          <w:rFonts w:ascii="Arial" w:hAnsi="Arial" w:cs="Arial"/>
        </w:rPr>
      </w:pPr>
      <w:r>
        <w:rPr>
          <w:rFonts w:ascii="Arial" w:hAnsi="Arial" w:cs="Arial"/>
          <w:noProof/>
        </w:rPr>
        <w:lastRenderedPageBreak/>
        <w:drawing>
          <wp:inline distT="0" distB="0" distL="0" distR="0" wp14:anchorId="60FC086C" wp14:editId="3CDD9E55">
            <wp:extent cx="5262833" cy="3819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9536" cy="3838905"/>
                    </a:xfrm>
                    <a:prstGeom prst="rect">
                      <a:avLst/>
                    </a:prstGeom>
                    <a:noFill/>
                  </pic:spPr>
                </pic:pic>
              </a:graphicData>
            </a:graphic>
          </wp:inline>
        </w:drawing>
      </w:r>
    </w:p>
    <w:p w14:paraId="60C3F2E8" w14:textId="4477A337" w:rsidR="009823CD" w:rsidRDefault="00815A69" w:rsidP="003C3808">
      <w:pPr>
        <w:pStyle w:val="ListParagraph"/>
        <w:numPr>
          <w:ilvl w:val="1"/>
          <w:numId w:val="2"/>
        </w:numPr>
        <w:spacing w:after="240"/>
        <w:ind w:left="720" w:hanging="720"/>
        <w:rPr>
          <w:rFonts w:ascii="Arial" w:hAnsi="Arial" w:cs="Arial"/>
        </w:rPr>
      </w:pPr>
      <w:r>
        <w:rPr>
          <w:rFonts w:ascii="Arial" w:hAnsi="Arial" w:cs="Arial"/>
        </w:rPr>
        <w:t>The PCC is a net investor and as the above table and graph shows, the</w:t>
      </w:r>
      <w:r w:rsidR="00177F6C">
        <w:rPr>
          <w:rFonts w:ascii="Arial" w:hAnsi="Arial" w:cs="Arial"/>
        </w:rPr>
        <w:t xml:space="preserve"> </w:t>
      </w:r>
      <w:r w:rsidR="00101175">
        <w:rPr>
          <w:rFonts w:ascii="Arial" w:hAnsi="Arial" w:cs="Arial"/>
        </w:rPr>
        <w:t>PCC</w:t>
      </w:r>
      <w:r w:rsidR="00C30B1B">
        <w:rPr>
          <w:rFonts w:ascii="Arial" w:hAnsi="Arial" w:cs="Arial"/>
        </w:rPr>
        <w:t xml:space="preserve"> </w:t>
      </w:r>
      <w:r>
        <w:rPr>
          <w:rFonts w:ascii="Arial" w:hAnsi="Arial" w:cs="Arial"/>
        </w:rPr>
        <w:t xml:space="preserve">expects a negative liability benchmark across the forecast period (demonstrated by no visible liability benchmark </w:t>
      </w:r>
      <w:r w:rsidR="00FA2E73">
        <w:rPr>
          <w:rFonts w:ascii="Arial" w:hAnsi="Arial" w:cs="Arial"/>
        </w:rPr>
        <w:t xml:space="preserve">line </w:t>
      </w:r>
      <w:r w:rsidR="001739AA">
        <w:rPr>
          <w:rFonts w:ascii="Arial" w:hAnsi="Arial" w:cs="Arial"/>
        </w:rPr>
        <w:t>on the graph until into 2026)</w:t>
      </w:r>
      <w:r>
        <w:rPr>
          <w:rFonts w:ascii="Arial" w:hAnsi="Arial" w:cs="Arial"/>
        </w:rPr>
        <w:t>, meaning that there is not a requirement to borrow</w:t>
      </w:r>
      <w:r w:rsidR="00AC3C37">
        <w:rPr>
          <w:rFonts w:ascii="Arial" w:hAnsi="Arial" w:cs="Arial"/>
        </w:rPr>
        <w:t xml:space="preserve"> for the foreseeable future. </w:t>
      </w:r>
    </w:p>
    <w:p w14:paraId="24588086" w14:textId="3FB55A73" w:rsidR="00365448" w:rsidRPr="005C38BC" w:rsidRDefault="00365448" w:rsidP="00365448">
      <w:pPr>
        <w:pStyle w:val="ListParagraph"/>
        <w:spacing w:after="240"/>
        <w:rPr>
          <w:rFonts w:ascii="Arial" w:hAnsi="Arial" w:cs="Arial"/>
          <w:b/>
        </w:rPr>
      </w:pPr>
      <w:r w:rsidRPr="005C38BC">
        <w:rPr>
          <w:rFonts w:ascii="Arial" w:hAnsi="Arial" w:cs="Arial"/>
          <w:b/>
        </w:rPr>
        <w:t xml:space="preserve">Maturity </w:t>
      </w:r>
      <w:r w:rsidR="004F69A4" w:rsidRPr="005C38BC">
        <w:rPr>
          <w:rFonts w:ascii="Arial" w:hAnsi="Arial" w:cs="Arial"/>
          <w:b/>
        </w:rPr>
        <w:t>s</w:t>
      </w:r>
      <w:r w:rsidRPr="005C38BC">
        <w:rPr>
          <w:rFonts w:ascii="Arial" w:hAnsi="Arial" w:cs="Arial"/>
          <w:b/>
        </w:rPr>
        <w:t xml:space="preserve">tructure of </w:t>
      </w:r>
      <w:r w:rsidR="004F69A4" w:rsidRPr="005C38BC">
        <w:rPr>
          <w:rFonts w:ascii="Arial" w:hAnsi="Arial" w:cs="Arial"/>
          <w:b/>
        </w:rPr>
        <w:t>b</w:t>
      </w:r>
      <w:r w:rsidRPr="005C38BC">
        <w:rPr>
          <w:rFonts w:ascii="Arial" w:hAnsi="Arial" w:cs="Arial"/>
          <w:b/>
        </w:rPr>
        <w:t>orrowing</w:t>
      </w:r>
    </w:p>
    <w:p w14:paraId="7247539E" w14:textId="5F219780" w:rsidR="005F19D8" w:rsidRPr="005C38BC" w:rsidRDefault="005F19D8" w:rsidP="003C3808">
      <w:pPr>
        <w:pStyle w:val="ListParagraph"/>
        <w:numPr>
          <w:ilvl w:val="1"/>
          <w:numId w:val="2"/>
        </w:numPr>
        <w:spacing w:after="240"/>
        <w:ind w:left="720" w:hanging="720"/>
        <w:rPr>
          <w:rFonts w:ascii="Arial" w:hAnsi="Arial" w:cs="Arial"/>
        </w:rPr>
      </w:pPr>
      <w:r w:rsidRPr="005C38BC">
        <w:rPr>
          <w:rFonts w:ascii="Arial" w:hAnsi="Arial" w:cs="Arial"/>
        </w:rPr>
        <w:t xml:space="preserve">This indicator is set to control the </w:t>
      </w:r>
      <w:r w:rsidR="00365448" w:rsidRPr="005C38BC">
        <w:rPr>
          <w:rFonts w:ascii="Arial" w:hAnsi="Arial" w:cs="Arial"/>
        </w:rPr>
        <w:t>PCC</w:t>
      </w:r>
      <w:r w:rsidRPr="005C38BC">
        <w:rPr>
          <w:rFonts w:ascii="Arial" w:hAnsi="Arial" w:cs="Arial"/>
        </w:rPr>
        <w:t xml:space="preserve">’s exposure to refinancing risk. The upper and lower limits </w:t>
      </w:r>
      <w:r w:rsidR="00514991" w:rsidRPr="005C38BC">
        <w:rPr>
          <w:rFonts w:ascii="Arial" w:hAnsi="Arial" w:cs="Arial"/>
        </w:rPr>
        <w:t xml:space="preserve">show </w:t>
      </w:r>
      <w:r w:rsidRPr="005C38BC">
        <w:rPr>
          <w:rFonts w:ascii="Arial" w:hAnsi="Arial" w:cs="Arial"/>
        </w:rPr>
        <w:t>the</w:t>
      </w:r>
      <w:r w:rsidR="00514991" w:rsidRPr="005C38BC">
        <w:rPr>
          <w:rFonts w:ascii="Arial" w:hAnsi="Arial" w:cs="Arial"/>
        </w:rPr>
        <w:t xml:space="preserve"> maximum and minimum</w:t>
      </w:r>
      <w:r w:rsidRPr="005C38BC">
        <w:rPr>
          <w:rFonts w:ascii="Arial" w:hAnsi="Arial" w:cs="Arial"/>
        </w:rPr>
        <w:t xml:space="preserve"> maturity </w:t>
      </w:r>
      <w:r w:rsidR="00385D2D" w:rsidRPr="005C38BC">
        <w:rPr>
          <w:rFonts w:ascii="Arial" w:hAnsi="Arial" w:cs="Arial"/>
        </w:rPr>
        <w:t>exposure to</w:t>
      </w:r>
      <w:r w:rsidRPr="005C38BC">
        <w:rPr>
          <w:rFonts w:ascii="Arial" w:hAnsi="Arial" w:cs="Arial"/>
        </w:rPr>
        <w:t xml:space="preserve"> fixed rate borrowing</w:t>
      </w:r>
      <w:r w:rsidR="00385D2D" w:rsidRPr="005C38BC">
        <w:rPr>
          <w:rFonts w:ascii="Arial" w:hAnsi="Arial" w:cs="Arial"/>
        </w:rPr>
        <w:t xml:space="preserve"> as agreed in the Treasury Management Strategy Statement.</w:t>
      </w:r>
    </w:p>
    <w:tbl>
      <w:tblPr>
        <w:tblW w:w="9450" w:type="dxa"/>
        <w:tblLook w:val="04A0" w:firstRow="1" w:lastRow="0" w:firstColumn="1" w:lastColumn="0" w:noHBand="0" w:noVBand="1"/>
      </w:tblPr>
      <w:tblGrid>
        <w:gridCol w:w="3782"/>
        <w:gridCol w:w="1417"/>
        <w:gridCol w:w="1417"/>
        <w:gridCol w:w="1417"/>
        <w:gridCol w:w="1417"/>
      </w:tblGrid>
      <w:tr w:rsidR="001634BE" w:rsidRPr="00F97363" w14:paraId="6A45DCAC" w14:textId="77777777" w:rsidTr="004F69A4">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tcPr>
          <w:p w14:paraId="1387B347" w14:textId="6A4C235F" w:rsidR="001634BE" w:rsidRPr="00F97363" w:rsidRDefault="004F69A4" w:rsidP="00F64FC2">
            <w:pPr>
              <w:keepNext/>
              <w:keepLines/>
              <w:widowControl w:val="0"/>
              <w:rPr>
                <w:rFonts w:ascii="Arial" w:hAnsi="Arial" w:cs="Arial"/>
                <w:b/>
              </w:rPr>
            </w:pPr>
            <w:r w:rsidRPr="00F97363">
              <w:rPr>
                <w:rFonts w:ascii="Arial" w:hAnsi="Arial" w:cs="Arial"/>
                <w:b/>
              </w:rPr>
              <w:t>Table 10: Maturity structure of borrowing</w:t>
            </w:r>
          </w:p>
        </w:tc>
        <w:tc>
          <w:tcPr>
            <w:tcW w:w="1417" w:type="dxa"/>
            <w:tcBorders>
              <w:top w:val="single" w:sz="4" w:space="0" w:color="auto"/>
              <w:left w:val="single" w:sz="4" w:space="0" w:color="auto"/>
              <w:bottom w:val="single" w:sz="4" w:space="0" w:color="auto"/>
              <w:right w:val="single" w:sz="4" w:space="0" w:color="auto"/>
            </w:tcBorders>
            <w:vAlign w:val="bottom"/>
          </w:tcPr>
          <w:p w14:paraId="57F570B3" w14:textId="4A6172C0" w:rsidR="001634BE" w:rsidRPr="00F97363" w:rsidRDefault="001634BE" w:rsidP="00F64FC2">
            <w:pPr>
              <w:keepNext/>
              <w:keepLines/>
              <w:widowControl w:val="0"/>
              <w:jc w:val="center"/>
              <w:rPr>
                <w:rFonts w:ascii="Arial" w:hAnsi="Arial" w:cs="Arial"/>
                <w:b/>
              </w:rPr>
            </w:pPr>
            <w:r w:rsidRPr="00F97363">
              <w:rPr>
                <w:rFonts w:ascii="Arial" w:hAnsi="Arial" w:cs="Arial"/>
                <w:b/>
              </w:rPr>
              <w:t>3</w:t>
            </w:r>
            <w:r w:rsidR="00D15208">
              <w:rPr>
                <w:rFonts w:ascii="Arial" w:hAnsi="Arial" w:cs="Arial"/>
                <w:b/>
              </w:rPr>
              <w:t>0</w:t>
            </w:r>
            <w:r w:rsidRPr="00F97363">
              <w:rPr>
                <w:rFonts w:ascii="Arial" w:hAnsi="Arial" w:cs="Arial"/>
                <w:b/>
              </w:rPr>
              <w:t>/0</w:t>
            </w:r>
            <w:r w:rsidR="00D15208">
              <w:rPr>
                <w:rFonts w:ascii="Arial" w:hAnsi="Arial" w:cs="Arial"/>
                <w:b/>
              </w:rPr>
              <w:t>6</w:t>
            </w:r>
            <w:r w:rsidRPr="00F97363">
              <w:rPr>
                <w:rFonts w:ascii="Arial" w:hAnsi="Arial" w:cs="Arial"/>
                <w:b/>
              </w:rPr>
              <w:t>/</w:t>
            </w:r>
            <w:r w:rsidR="00BA2521" w:rsidRPr="00F97363">
              <w:rPr>
                <w:rFonts w:ascii="Arial" w:hAnsi="Arial" w:cs="Arial"/>
                <w:b/>
              </w:rPr>
              <w:t>2</w:t>
            </w:r>
            <w:r w:rsidR="00A169DF">
              <w:rPr>
                <w:rFonts w:ascii="Arial" w:hAnsi="Arial" w:cs="Arial"/>
                <w:b/>
              </w:rPr>
              <w:t>3</w:t>
            </w:r>
            <w:r w:rsidRPr="00F97363">
              <w:rPr>
                <w:rFonts w:ascii="Arial" w:hAnsi="Arial" w:cs="Arial"/>
                <w:b/>
              </w:rPr>
              <w:br/>
              <w:t>Actual</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DF16EEC" w14:textId="77777777" w:rsidR="001634BE" w:rsidRPr="00F97363" w:rsidRDefault="001634BE" w:rsidP="00F64FC2">
            <w:pPr>
              <w:keepNext/>
              <w:keepLines/>
              <w:widowControl w:val="0"/>
              <w:jc w:val="center"/>
              <w:rPr>
                <w:rFonts w:ascii="Arial" w:hAnsi="Arial" w:cs="Arial"/>
                <w:b/>
              </w:rPr>
            </w:pPr>
            <w:r w:rsidRPr="00F97363">
              <w:rPr>
                <w:rFonts w:ascii="Arial" w:hAnsi="Arial" w:cs="Arial"/>
                <w:b/>
              </w:rPr>
              <w:t>Upper Limit</w:t>
            </w:r>
          </w:p>
        </w:tc>
        <w:tc>
          <w:tcPr>
            <w:tcW w:w="1417" w:type="dxa"/>
            <w:tcBorders>
              <w:top w:val="single" w:sz="4" w:space="0" w:color="auto"/>
              <w:left w:val="single" w:sz="4" w:space="0" w:color="auto"/>
              <w:bottom w:val="single" w:sz="4" w:space="0" w:color="auto"/>
              <w:right w:val="single" w:sz="4" w:space="0" w:color="auto"/>
            </w:tcBorders>
            <w:vAlign w:val="bottom"/>
          </w:tcPr>
          <w:p w14:paraId="32394327" w14:textId="77777777" w:rsidR="001634BE" w:rsidRPr="00F97363" w:rsidRDefault="001634BE" w:rsidP="00F64FC2">
            <w:pPr>
              <w:keepNext/>
              <w:keepLines/>
              <w:widowControl w:val="0"/>
              <w:jc w:val="center"/>
              <w:rPr>
                <w:rFonts w:ascii="Arial" w:hAnsi="Arial" w:cs="Arial"/>
                <w:b/>
              </w:rPr>
            </w:pPr>
            <w:r w:rsidRPr="00F97363">
              <w:rPr>
                <w:rFonts w:ascii="Arial" w:hAnsi="Arial" w:cs="Arial"/>
                <w:b/>
              </w:rPr>
              <w:t>Lower Limit</w:t>
            </w:r>
          </w:p>
        </w:tc>
        <w:tc>
          <w:tcPr>
            <w:tcW w:w="1417" w:type="dxa"/>
            <w:tcBorders>
              <w:top w:val="single" w:sz="4" w:space="0" w:color="auto"/>
              <w:left w:val="single" w:sz="4" w:space="0" w:color="auto"/>
              <w:bottom w:val="single" w:sz="4" w:space="0" w:color="auto"/>
              <w:right w:val="single" w:sz="4" w:space="0" w:color="auto"/>
            </w:tcBorders>
          </w:tcPr>
          <w:p w14:paraId="59D20CE7" w14:textId="77777777" w:rsidR="001634BE" w:rsidRPr="00F97363" w:rsidRDefault="001634BE" w:rsidP="00F64FC2">
            <w:pPr>
              <w:keepNext/>
              <w:keepLines/>
              <w:widowControl w:val="0"/>
              <w:jc w:val="right"/>
              <w:rPr>
                <w:rFonts w:ascii="Arial" w:hAnsi="Arial" w:cs="Arial"/>
                <w:b/>
              </w:rPr>
            </w:pPr>
            <w:r w:rsidRPr="00F97363">
              <w:rPr>
                <w:rFonts w:ascii="Arial" w:hAnsi="Arial" w:cs="Arial"/>
                <w:b/>
              </w:rPr>
              <w:t>Complied</w:t>
            </w:r>
          </w:p>
        </w:tc>
      </w:tr>
      <w:tr w:rsidR="00D15208" w:rsidRPr="00F97363" w14:paraId="1B21A893"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152F9BC3" w14:textId="77777777" w:rsidR="00D15208" w:rsidRPr="00F97363" w:rsidRDefault="00D15208" w:rsidP="00D15208">
            <w:pPr>
              <w:keepNext/>
              <w:keepLines/>
              <w:widowControl w:val="0"/>
              <w:rPr>
                <w:rFonts w:ascii="Arial" w:hAnsi="Arial" w:cs="Arial"/>
                <w:bCs/>
              </w:rPr>
            </w:pPr>
            <w:r w:rsidRPr="00F97363">
              <w:rPr>
                <w:rFonts w:ascii="Arial" w:hAnsi="Arial" w:cs="Arial"/>
                <w:bCs/>
              </w:rPr>
              <w:t>Under 12 months</w:t>
            </w:r>
          </w:p>
        </w:tc>
        <w:tc>
          <w:tcPr>
            <w:tcW w:w="1417" w:type="dxa"/>
            <w:tcBorders>
              <w:top w:val="single" w:sz="4" w:space="0" w:color="auto"/>
              <w:left w:val="single" w:sz="4" w:space="0" w:color="auto"/>
              <w:bottom w:val="single" w:sz="4" w:space="0" w:color="auto"/>
              <w:right w:val="single" w:sz="4" w:space="0" w:color="auto"/>
            </w:tcBorders>
            <w:vAlign w:val="center"/>
          </w:tcPr>
          <w:p w14:paraId="5E77432E" w14:textId="5F51377C" w:rsidR="00D15208" w:rsidRPr="00D15208" w:rsidRDefault="00D15208" w:rsidP="00D15208">
            <w:pPr>
              <w:keepNext/>
              <w:keepLines/>
              <w:widowControl w:val="0"/>
              <w:jc w:val="center"/>
              <w:rPr>
                <w:rFonts w:ascii="Arial" w:hAnsi="Arial" w:cs="Arial"/>
              </w:rPr>
            </w:pPr>
            <w:r w:rsidRPr="00D15208">
              <w:rPr>
                <w:rFonts w:ascii="Arial" w:hAnsi="Arial" w:cs="Arial"/>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593685" w14:textId="76DF6907" w:rsidR="00D15208" w:rsidRPr="00D15208" w:rsidRDefault="00D15208" w:rsidP="00D15208">
            <w:pPr>
              <w:keepNext/>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198D5AFE" w14:textId="21AF8180" w:rsidR="00D15208" w:rsidRPr="00D15208" w:rsidRDefault="00D15208" w:rsidP="00D15208">
            <w:pPr>
              <w:keepNext/>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5EE89179" w14:textId="77777777" w:rsidR="00D15208" w:rsidRPr="00F97363" w:rsidRDefault="00D15208" w:rsidP="00D15208">
            <w:pPr>
              <w:keepNext/>
              <w:keepLines/>
              <w:widowControl w:val="0"/>
              <w:numPr>
                <w:ilvl w:val="0"/>
                <w:numId w:val="4"/>
              </w:numPr>
              <w:jc w:val="center"/>
              <w:rPr>
                <w:rFonts w:ascii="Arial" w:hAnsi="Arial" w:cs="Arial"/>
              </w:rPr>
            </w:pPr>
          </w:p>
        </w:tc>
      </w:tr>
      <w:tr w:rsidR="00D15208" w:rsidRPr="00F97363" w14:paraId="0298A41D"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754CCC2B" w14:textId="77777777" w:rsidR="00D15208" w:rsidRPr="00F97363" w:rsidRDefault="00D15208" w:rsidP="00D15208">
            <w:pPr>
              <w:keepLines/>
              <w:widowControl w:val="0"/>
              <w:rPr>
                <w:rFonts w:ascii="Arial" w:hAnsi="Arial" w:cs="Arial"/>
                <w:bCs/>
              </w:rPr>
            </w:pPr>
            <w:r w:rsidRPr="00F97363">
              <w:rPr>
                <w:rFonts w:ascii="Arial" w:hAnsi="Arial" w:cs="Arial"/>
                <w:bCs/>
              </w:rPr>
              <w:t>12 months and within 24 months</w:t>
            </w:r>
          </w:p>
        </w:tc>
        <w:tc>
          <w:tcPr>
            <w:tcW w:w="1417" w:type="dxa"/>
            <w:tcBorders>
              <w:top w:val="single" w:sz="4" w:space="0" w:color="auto"/>
              <w:left w:val="single" w:sz="4" w:space="0" w:color="auto"/>
              <w:bottom w:val="single" w:sz="4" w:space="0" w:color="auto"/>
              <w:right w:val="single" w:sz="4" w:space="0" w:color="auto"/>
            </w:tcBorders>
            <w:vAlign w:val="center"/>
          </w:tcPr>
          <w:p w14:paraId="1E417360" w14:textId="750290D1" w:rsidR="00D15208" w:rsidRPr="00D15208" w:rsidRDefault="00D15208" w:rsidP="00D15208">
            <w:pPr>
              <w:keepLines/>
              <w:widowControl w:val="0"/>
              <w:jc w:val="center"/>
              <w:rPr>
                <w:rFonts w:ascii="Arial" w:hAnsi="Arial" w:cs="Arial"/>
              </w:rPr>
            </w:pPr>
            <w:r w:rsidRPr="00D15208">
              <w:rPr>
                <w:rFonts w:ascii="Arial" w:hAnsi="Arial" w:cs="Arial"/>
                <w:color w:val="000000"/>
              </w:rPr>
              <w:t>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F3F720" w14:textId="4137A2E9" w:rsidR="00D15208" w:rsidRPr="00D15208" w:rsidRDefault="00D15208" w:rsidP="00D15208">
            <w:pPr>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5D5C6AE1" w14:textId="34CBEFE5" w:rsidR="00D15208" w:rsidRPr="00D15208" w:rsidRDefault="00D15208" w:rsidP="00D15208">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3D7D14ED" w14:textId="77777777" w:rsidR="00D15208" w:rsidRPr="00F97363" w:rsidRDefault="00D15208" w:rsidP="00D15208">
            <w:pPr>
              <w:keepNext/>
              <w:keepLines/>
              <w:widowControl w:val="0"/>
              <w:numPr>
                <w:ilvl w:val="0"/>
                <w:numId w:val="4"/>
              </w:numPr>
              <w:jc w:val="center"/>
              <w:rPr>
                <w:rFonts w:ascii="Arial" w:hAnsi="Arial" w:cs="Arial"/>
              </w:rPr>
            </w:pPr>
          </w:p>
        </w:tc>
      </w:tr>
      <w:tr w:rsidR="00D15208" w:rsidRPr="00F97363" w14:paraId="37DBCB6A"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34DCA21C" w14:textId="77777777" w:rsidR="00D15208" w:rsidRPr="00F97363" w:rsidRDefault="00D15208" w:rsidP="00D15208">
            <w:pPr>
              <w:keepLines/>
              <w:widowControl w:val="0"/>
              <w:rPr>
                <w:rFonts w:ascii="Arial" w:hAnsi="Arial" w:cs="Arial"/>
                <w:bCs/>
              </w:rPr>
            </w:pPr>
            <w:r w:rsidRPr="00F97363">
              <w:rPr>
                <w:rFonts w:ascii="Arial" w:hAnsi="Arial" w:cs="Arial"/>
                <w:bCs/>
              </w:rPr>
              <w:t>24 months and within 5 years</w:t>
            </w:r>
          </w:p>
        </w:tc>
        <w:tc>
          <w:tcPr>
            <w:tcW w:w="1417" w:type="dxa"/>
            <w:tcBorders>
              <w:top w:val="single" w:sz="4" w:space="0" w:color="auto"/>
              <w:left w:val="single" w:sz="4" w:space="0" w:color="auto"/>
              <w:bottom w:val="single" w:sz="4" w:space="0" w:color="auto"/>
              <w:right w:val="single" w:sz="4" w:space="0" w:color="auto"/>
            </w:tcBorders>
            <w:vAlign w:val="center"/>
          </w:tcPr>
          <w:p w14:paraId="0F43E125" w14:textId="5154FCDE" w:rsidR="00D15208" w:rsidRPr="00D15208" w:rsidRDefault="00D15208" w:rsidP="00D15208">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A21122C" w14:textId="748FA73F" w:rsidR="00D15208" w:rsidRPr="00D15208" w:rsidRDefault="00D15208" w:rsidP="00D15208">
            <w:pPr>
              <w:keepLines/>
              <w:widowControl w:val="0"/>
              <w:jc w:val="center"/>
              <w:rPr>
                <w:rFonts w:ascii="Arial" w:hAnsi="Arial" w:cs="Arial"/>
              </w:rPr>
            </w:pPr>
            <w:r w:rsidRPr="00D15208">
              <w:rPr>
                <w:rFonts w:ascii="Arial" w:hAnsi="Arial" w:cs="Arial"/>
                <w:color w:val="000000"/>
              </w:rPr>
              <w:t>50%</w:t>
            </w:r>
          </w:p>
        </w:tc>
        <w:tc>
          <w:tcPr>
            <w:tcW w:w="1417" w:type="dxa"/>
            <w:tcBorders>
              <w:top w:val="single" w:sz="4" w:space="0" w:color="auto"/>
              <w:left w:val="single" w:sz="4" w:space="0" w:color="auto"/>
              <w:bottom w:val="single" w:sz="4" w:space="0" w:color="auto"/>
              <w:right w:val="single" w:sz="4" w:space="0" w:color="auto"/>
            </w:tcBorders>
            <w:vAlign w:val="center"/>
          </w:tcPr>
          <w:p w14:paraId="21C2F1A3" w14:textId="7282B691" w:rsidR="00D15208" w:rsidRPr="00D15208" w:rsidRDefault="00D15208" w:rsidP="00D15208">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4EBCB0E9" w14:textId="77777777" w:rsidR="00D15208" w:rsidRPr="00F97363" w:rsidRDefault="00D15208" w:rsidP="00D15208">
            <w:pPr>
              <w:keepNext/>
              <w:keepLines/>
              <w:widowControl w:val="0"/>
              <w:numPr>
                <w:ilvl w:val="0"/>
                <w:numId w:val="4"/>
              </w:numPr>
              <w:jc w:val="center"/>
              <w:rPr>
                <w:rFonts w:ascii="Arial" w:hAnsi="Arial" w:cs="Arial"/>
              </w:rPr>
            </w:pPr>
          </w:p>
        </w:tc>
      </w:tr>
      <w:tr w:rsidR="00D15208" w:rsidRPr="00F97363" w14:paraId="5626179E"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06176326" w14:textId="77777777" w:rsidR="00D15208" w:rsidRPr="00F97363" w:rsidRDefault="00D15208" w:rsidP="00D15208">
            <w:pPr>
              <w:keepLines/>
              <w:widowControl w:val="0"/>
              <w:rPr>
                <w:rFonts w:ascii="Arial" w:hAnsi="Arial" w:cs="Arial"/>
                <w:bCs/>
              </w:rPr>
            </w:pPr>
            <w:r w:rsidRPr="00F97363">
              <w:rPr>
                <w:rFonts w:ascii="Arial" w:hAnsi="Arial" w:cs="Arial"/>
                <w:bCs/>
              </w:rPr>
              <w:t>5 years and within 10 years</w:t>
            </w:r>
          </w:p>
        </w:tc>
        <w:tc>
          <w:tcPr>
            <w:tcW w:w="1417" w:type="dxa"/>
            <w:tcBorders>
              <w:top w:val="single" w:sz="4" w:space="0" w:color="auto"/>
              <w:left w:val="single" w:sz="4" w:space="0" w:color="auto"/>
              <w:bottom w:val="single" w:sz="4" w:space="0" w:color="auto"/>
              <w:right w:val="single" w:sz="4" w:space="0" w:color="auto"/>
            </w:tcBorders>
            <w:vAlign w:val="center"/>
          </w:tcPr>
          <w:p w14:paraId="4A4360C7" w14:textId="4EC37FCD" w:rsidR="00D15208" w:rsidRPr="00D15208" w:rsidRDefault="00D15208" w:rsidP="00D15208">
            <w:pPr>
              <w:keepLines/>
              <w:widowControl w:val="0"/>
              <w:jc w:val="center"/>
              <w:rPr>
                <w:rFonts w:ascii="Arial" w:hAnsi="Arial" w:cs="Arial"/>
              </w:rPr>
            </w:pPr>
            <w:r w:rsidRPr="00D15208">
              <w:rPr>
                <w:rFonts w:ascii="Arial" w:hAnsi="Arial" w:cs="Arial"/>
                <w:color w:val="000000"/>
              </w:rPr>
              <w:t>27%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5E48012" w14:textId="6030A058" w:rsidR="00D15208" w:rsidRPr="00D15208" w:rsidRDefault="00D15208" w:rsidP="00D15208">
            <w:pPr>
              <w:keepLines/>
              <w:widowControl w:val="0"/>
              <w:jc w:val="center"/>
              <w:rPr>
                <w:rFonts w:ascii="Arial" w:hAnsi="Arial" w:cs="Arial"/>
              </w:rPr>
            </w:pPr>
            <w:r w:rsidRPr="00D15208">
              <w:rPr>
                <w:rFonts w:ascii="Arial" w:hAnsi="Arial" w:cs="Arial"/>
                <w:color w:val="000000"/>
              </w:rPr>
              <w:t>75%</w:t>
            </w:r>
          </w:p>
        </w:tc>
        <w:tc>
          <w:tcPr>
            <w:tcW w:w="1417" w:type="dxa"/>
            <w:tcBorders>
              <w:top w:val="single" w:sz="4" w:space="0" w:color="auto"/>
              <w:left w:val="single" w:sz="4" w:space="0" w:color="auto"/>
              <w:bottom w:val="single" w:sz="4" w:space="0" w:color="auto"/>
              <w:right w:val="single" w:sz="4" w:space="0" w:color="auto"/>
            </w:tcBorders>
            <w:vAlign w:val="center"/>
          </w:tcPr>
          <w:p w14:paraId="7A11FAD7" w14:textId="1E728E4B" w:rsidR="00D15208" w:rsidRPr="00D15208" w:rsidRDefault="00D15208" w:rsidP="00D15208">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1ED1152D" w14:textId="77777777" w:rsidR="00D15208" w:rsidRPr="00F97363" w:rsidRDefault="00D15208" w:rsidP="00D15208">
            <w:pPr>
              <w:keepNext/>
              <w:keepLines/>
              <w:widowControl w:val="0"/>
              <w:numPr>
                <w:ilvl w:val="0"/>
                <w:numId w:val="4"/>
              </w:numPr>
              <w:jc w:val="center"/>
              <w:rPr>
                <w:rFonts w:ascii="Arial" w:hAnsi="Arial" w:cs="Arial"/>
              </w:rPr>
            </w:pPr>
          </w:p>
        </w:tc>
      </w:tr>
      <w:tr w:rsidR="00D15208" w:rsidRPr="00BA4271" w14:paraId="2FE37057" w14:textId="77777777" w:rsidTr="00E57F78">
        <w:trPr>
          <w:trHeight w:val="340"/>
        </w:trPr>
        <w:tc>
          <w:tcPr>
            <w:tcW w:w="3782" w:type="dxa"/>
            <w:tcBorders>
              <w:top w:val="single" w:sz="4" w:space="0" w:color="auto"/>
              <w:left w:val="single" w:sz="4" w:space="0" w:color="auto"/>
              <w:bottom w:val="single" w:sz="4" w:space="0" w:color="auto"/>
              <w:right w:val="single" w:sz="4" w:space="0" w:color="auto"/>
            </w:tcBorders>
            <w:shd w:val="clear" w:color="auto" w:fill="auto"/>
            <w:vAlign w:val="center"/>
          </w:tcPr>
          <w:p w14:paraId="11935A8F" w14:textId="5ABE121D" w:rsidR="00D15208" w:rsidRPr="00F97363" w:rsidRDefault="00D15208" w:rsidP="00D15208">
            <w:pPr>
              <w:keepLines/>
              <w:widowControl w:val="0"/>
              <w:rPr>
                <w:rFonts w:ascii="Arial" w:hAnsi="Arial" w:cs="Arial"/>
                <w:bCs/>
              </w:rPr>
            </w:pPr>
            <w:r>
              <w:rPr>
                <w:rFonts w:ascii="Arial" w:hAnsi="Arial" w:cs="Arial"/>
                <w:bCs/>
              </w:rPr>
              <w:t>10</w:t>
            </w:r>
            <w:r w:rsidRPr="00F97363">
              <w:rPr>
                <w:rFonts w:ascii="Arial" w:hAnsi="Arial" w:cs="Arial"/>
                <w:bCs/>
              </w:rPr>
              <w:t xml:space="preserve"> years and above</w:t>
            </w:r>
          </w:p>
        </w:tc>
        <w:tc>
          <w:tcPr>
            <w:tcW w:w="1417" w:type="dxa"/>
            <w:tcBorders>
              <w:top w:val="single" w:sz="4" w:space="0" w:color="auto"/>
              <w:left w:val="single" w:sz="4" w:space="0" w:color="auto"/>
              <w:bottom w:val="single" w:sz="4" w:space="0" w:color="auto"/>
              <w:right w:val="single" w:sz="4" w:space="0" w:color="auto"/>
            </w:tcBorders>
            <w:vAlign w:val="center"/>
          </w:tcPr>
          <w:p w14:paraId="5D05D047" w14:textId="7155A9EE" w:rsidR="00D15208" w:rsidRPr="00D15208" w:rsidRDefault="00D15208" w:rsidP="00D15208">
            <w:pPr>
              <w:keepLines/>
              <w:widowControl w:val="0"/>
              <w:jc w:val="center"/>
              <w:rPr>
                <w:rFonts w:ascii="Arial" w:hAnsi="Arial" w:cs="Arial"/>
              </w:rPr>
            </w:pPr>
            <w:r w:rsidRPr="00D15208">
              <w:rPr>
                <w:rFonts w:ascii="Arial" w:hAnsi="Arial" w:cs="Arial"/>
                <w:color w:val="000000"/>
              </w:rPr>
              <w:t>71%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1413B4" w14:textId="060E1ED2" w:rsidR="00D15208" w:rsidRPr="00D15208" w:rsidRDefault="00D15208" w:rsidP="00D15208">
            <w:pPr>
              <w:keepLines/>
              <w:widowControl w:val="0"/>
              <w:jc w:val="center"/>
              <w:rPr>
                <w:rFonts w:ascii="Arial" w:hAnsi="Arial" w:cs="Arial"/>
              </w:rPr>
            </w:pPr>
            <w:r w:rsidRPr="00D15208">
              <w:rPr>
                <w:rFonts w:ascii="Arial" w:hAnsi="Arial" w:cs="Arial"/>
                <w:color w:val="000000"/>
              </w:rPr>
              <w:t>100%</w:t>
            </w:r>
          </w:p>
        </w:tc>
        <w:tc>
          <w:tcPr>
            <w:tcW w:w="1417" w:type="dxa"/>
            <w:tcBorders>
              <w:top w:val="single" w:sz="4" w:space="0" w:color="auto"/>
              <w:left w:val="single" w:sz="4" w:space="0" w:color="auto"/>
              <w:bottom w:val="single" w:sz="4" w:space="0" w:color="auto"/>
              <w:right w:val="single" w:sz="4" w:space="0" w:color="auto"/>
            </w:tcBorders>
            <w:vAlign w:val="center"/>
          </w:tcPr>
          <w:p w14:paraId="7444A70C" w14:textId="199F492F" w:rsidR="00D15208" w:rsidRPr="00D15208" w:rsidRDefault="00D15208" w:rsidP="00D15208">
            <w:pPr>
              <w:keepLines/>
              <w:widowControl w:val="0"/>
              <w:jc w:val="center"/>
              <w:rPr>
                <w:rFonts w:ascii="Arial" w:hAnsi="Arial" w:cs="Arial"/>
              </w:rPr>
            </w:pPr>
            <w:r w:rsidRPr="00D15208">
              <w:rPr>
                <w:rFonts w:ascii="Arial" w:hAnsi="Arial" w:cs="Arial"/>
                <w:color w:val="000000"/>
              </w:rPr>
              <w:t>0%</w:t>
            </w:r>
          </w:p>
        </w:tc>
        <w:tc>
          <w:tcPr>
            <w:tcW w:w="1417" w:type="dxa"/>
            <w:tcBorders>
              <w:top w:val="single" w:sz="4" w:space="0" w:color="auto"/>
              <w:left w:val="single" w:sz="4" w:space="0" w:color="auto"/>
              <w:bottom w:val="single" w:sz="4" w:space="0" w:color="auto"/>
              <w:right w:val="single" w:sz="4" w:space="0" w:color="auto"/>
            </w:tcBorders>
            <w:vAlign w:val="center"/>
          </w:tcPr>
          <w:p w14:paraId="08C95C37" w14:textId="77777777" w:rsidR="00D15208" w:rsidRPr="00F97363" w:rsidRDefault="00D15208" w:rsidP="00D15208">
            <w:pPr>
              <w:keepNext/>
              <w:keepLines/>
              <w:widowControl w:val="0"/>
              <w:numPr>
                <w:ilvl w:val="0"/>
                <w:numId w:val="4"/>
              </w:numPr>
              <w:jc w:val="center"/>
              <w:rPr>
                <w:rFonts w:ascii="Arial" w:hAnsi="Arial" w:cs="Arial"/>
              </w:rPr>
            </w:pPr>
          </w:p>
        </w:tc>
      </w:tr>
    </w:tbl>
    <w:p w14:paraId="43598296" w14:textId="77777777" w:rsidR="001634BE" w:rsidRPr="00BA4271" w:rsidRDefault="001634BE" w:rsidP="00365448">
      <w:pPr>
        <w:pStyle w:val="ListParagraph"/>
        <w:spacing w:after="240"/>
        <w:rPr>
          <w:rFonts w:ascii="Arial" w:hAnsi="Arial" w:cs="Arial"/>
          <w:b/>
          <w:highlight w:val="yellow"/>
        </w:rPr>
      </w:pPr>
    </w:p>
    <w:p w14:paraId="380FC388" w14:textId="77777777" w:rsidR="00813AEF" w:rsidRDefault="00813AEF" w:rsidP="00365448">
      <w:pPr>
        <w:pStyle w:val="ListParagraph"/>
        <w:spacing w:after="240"/>
        <w:rPr>
          <w:rFonts w:ascii="Arial" w:hAnsi="Arial" w:cs="Arial"/>
          <w:b/>
        </w:rPr>
      </w:pPr>
    </w:p>
    <w:p w14:paraId="5BF38B2F" w14:textId="2456FC0A" w:rsidR="00365448" w:rsidRPr="005C38BC" w:rsidRDefault="005F19D8" w:rsidP="00365448">
      <w:pPr>
        <w:pStyle w:val="ListParagraph"/>
        <w:spacing w:after="240"/>
        <w:rPr>
          <w:rFonts w:ascii="Arial" w:hAnsi="Arial" w:cs="Arial"/>
          <w:b/>
        </w:rPr>
      </w:pPr>
      <w:r w:rsidRPr="005C38BC">
        <w:rPr>
          <w:rFonts w:ascii="Arial" w:hAnsi="Arial" w:cs="Arial"/>
          <w:b/>
        </w:rPr>
        <w:lastRenderedPageBreak/>
        <w:t xml:space="preserve">Principal </w:t>
      </w:r>
      <w:r w:rsidR="00977FF4" w:rsidRPr="005C38BC">
        <w:rPr>
          <w:rFonts w:ascii="Arial" w:hAnsi="Arial" w:cs="Arial"/>
          <w:b/>
        </w:rPr>
        <w:t>s</w:t>
      </w:r>
      <w:r w:rsidRPr="005C38BC">
        <w:rPr>
          <w:rFonts w:ascii="Arial" w:hAnsi="Arial" w:cs="Arial"/>
          <w:b/>
        </w:rPr>
        <w:t xml:space="preserve">ums </w:t>
      </w:r>
      <w:r w:rsidR="00977FF4" w:rsidRPr="005C38BC">
        <w:rPr>
          <w:rFonts w:ascii="Arial" w:hAnsi="Arial" w:cs="Arial"/>
          <w:b/>
        </w:rPr>
        <w:t>i</w:t>
      </w:r>
      <w:r w:rsidRPr="005C38BC">
        <w:rPr>
          <w:rFonts w:ascii="Arial" w:hAnsi="Arial" w:cs="Arial"/>
          <w:b/>
        </w:rPr>
        <w:t xml:space="preserve">nvested for </w:t>
      </w:r>
      <w:r w:rsidR="00977FF4" w:rsidRPr="005C38BC">
        <w:rPr>
          <w:rFonts w:ascii="Arial" w:hAnsi="Arial" w:cs="Arial"/>
          <w:b/>
        </w:rPr>
        <w:t>p</w:t>
      </w:r>
      <w:r w:rsidRPr="005C38BC">
        <w:rPr>
          <w:rFonts w:ascii="Arial" w:hAnsi="Arial" w:cs="Arial"/>
          <w:b/>
        </w:rPr>
        <w:t xml:space="preserve">eriods </w:t>
      </w:r>
      <w:r w:rsidR="00977FF4" w:rsidRPr="005C38BC">
        <w:rPr>
          <w:rFonts w:ascii="Arial" w:hAnsi="Arial" w:cs="Arial"/>
          <w:b/>
        </w:rPr>
        <w:t>l</w:t>
      </w:r>
      <w:r w:rsidRPr="005C38BC">
        <w:rPr>
          <w:rFonts w:ascii="Arial" w:hAnsi="Arial" w:cs="Arial"/>
          <w:b/>
        </w:rPr>
        <w:t xml:space="preserve">onger than </w:t>
      </w:r>
      <w:r w:rsidR="00AD07AA" w:rsidRPr="005C38BC">
        <w:rPr>
          <w:rFonts w:ascii="Arial" w:hAnsi="Arial" w:cs="Arial"/>
          <w:b/>
        </w:rPr>
        <w:t xml:space="preserve">a </w:t>
      </w:r>
      <w:proofErr w:type="gramStart"/>
      <w:r w:rsidR="00AD07AA" w:rsidRPr="005C38BC">
        <w:rPr>
          <w:rFonts w:ascii="Arial" w:hAnsi="Arial" w:cs="Arial"/>
          <w:b/>
        </w:rPr>
        <w:t>year</w:t>
      </w:r>
      <w:proofErr w:type="gramEnd"/>
    </w:p>
    <w:p w14:paraId="292F69FC" w14:textId="3FCD678F" w:rsidR="005F19D8" w:rsidRPr="005C38BC" w:rsidRDefault="005F19D8" w:rsidP="003C3808">
      <w:pPr>
        <w:pStyle w:val="ListParagraph"/>
        <w:numPr>
          <w:ilvl w:val="1"/>
          <w:numId w:val="2"/>
        </w:numPr>
        <w:spacing w:after="240"/>
        <w:ind w:left="720" w:hanging="720"/>
        <w:rPr>
          <w:rFonts w:ascii="Arial" w:hAnsi="Arial" w:cs="Arial"/>
        </w:rPr>
      </w:pPr>
      <w:r w:rsidRPr="005C38BC">
        <w:rPr>
          <w:rFonts w:ascii="Arial" w:hAnsi="Arial" w:cs="Arial"/>
        </w:rPr>
        <w:t xml:space="preserve">The purpose of this indicator is to control the </w:t>
      </w:r>
      <w:r w:rsidR="00365448" w:rsidRPr="005C38BC">
        <w:rPr>
          <w:rFonts w:ascii="Arial" w:hAnsi="Arial" w:cs="Arial"/>
        </w:rPr>
        <w:t>PCC</w:t>
      </w:r>
      <w:r w:rsidRPr="005C38BC">
        <w:rPr>
          <w:rFonts w:ascii="Arial" w:hAnsi="Arial" w:cs="Arial"/>
        </w:rPr>
        <w:t>’s exposure to the risk of incurring losses by seeking early repayment of its investments.</w:t>
      </w:r>
      <w:r w:rsidR="00AD07AA" w:rsidRPr="005C38BC">
        <w:rPr>
          <w:rFonts w:ascii="Arial" w:hAnsi="Arial" w:cs="Arial"/>
        </w:rPr>
        <w:t xml:space="preserve">  The limits on the long-term principal sum invested to final maturities beyond the period end were:</w:t>
      </w:r>
    </w:p>
    <w:tbl>
      <w:tblPr>
        <w:tblW w:w="9086" w:type="dxa"/>
        <w:tblLayout w:type="fixed"/>
        <w:tblLook w:val="04A0" w:firstRow="1" w:lastRow="0" w:firstColumn="1" w:lastColumn="0" w:noHBand="0" w:noVBand="1"/>
      </w:tblPr>
      <w:tblGrid>
        <w:gridCol w:w="4835"/>
        <w:gridCol w:w="1417"/>
        <w:gridCol w:w="1417"/>
        <w:gridCol w:w="1417"/>
      </w:tblGrid>
      <w:tr w:rsidR="0085577D" w:rsidRPr="00F97363" w14:paraId="099E4C60" w14:textId="77777777" w:rsidTr="00523117">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tcPr>
          <w:p w14:paraId="072C5F99" w14:textId="78D61316" w:rsidR="0085577D" w:rsidRPr="00F97363" w:rsidRDefault="0085577D" w:rsidP="0085577D">
            <w:pPr>
              <w:rPr>
                <w:rFonts w:ascii="Arial" w:hAnsi="Arial" w:cs="Arial"/>
                <w:b/>
              </w:rPr>
            </w:pPr>
            <w:r w:rsidRPr="00F97363">
              <w:rPr>
                <w:rFonts w:ascii="Arial" w:hAnsi="Arial" w:cs="Arial"/>
                <w:b/>
              </w:rPr>
              <w:t>Table 11: Price risk indicator</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5C2BA0" w14:textId="36D14D89" w:rsidR="0085577D" w:rsidRPr="0085577D" w:rsidRDefault="0085577D" w:rsidP="0085577D">
            <w:pPr>
              <w:jc w:val="center"/>
              <w:rPr>
                <w:rFonts w:ascii="Arial" w:hAnsi="Arial" w:cs="Arial"/>
                <w:b/>
                <w:bCs/>
              </w:rPr>
            </w:pPr>
            <w:r w:rsidRPr="0085577D">
              <w:rPr>
                <w:rFonts w:ascii="Arial" w:hAnsi="Arial" w:cs="Arial"/>
                <w:b/>
                <w:bCs/>
                <w:color w:val="000000"/>
              </w:rPr>
              <w:t>2023/24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027810" w14:textId="6AA2C954" w:rsidR="0085577D" w:rsidRPr="0085577D" w:rsidRDefault="0085577D" w:rsidP="0085577D">
            <w:pPr>
              <w:jc w:val="center"/>
              <w:rPr>
                <w:rFonts w:ascii="Arial" w:hAnsi="Arial" w:cs="Arial"/>
                <w:b/>
                <w:bCs/>
              </w:rPr>
            </w:pPr>
            <w:r w:rsidRPr="0085577D">
              <w:rPr>
                <w:rFonts w:ascii="Arial" w:hAnsi="Arial" w:cs="Arial"/>
                <w:b/>
                <w:bCs/>
                <w:color w:val="000000"/>
              </w:rPr>
              <w:t>2024/25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C4B69D" w14:textId="1D4346A9" w:rsidR="0085577D" w:rsidRPr="0085577D" w:rsidRDefault="0085577D" w:rsidP="0085577D">
            <w:pPr>
              <w:jc w:val="center"/>
              <w:rPr>
                <w:rFonts w:ascii="Arial" w:hAnsi="Arial" w:cs="Arial"/>
                <w:b/>
                <w:bCs/>
              </w:rPr>
            </w:pPr>
            <w:r w:rsidRPr="0085577D">
              <w:rPr>
                <w:rFonts w:ascii="Arial" w:hAnsi="Arial" w:cs="Arial"/>
                <w:b/>
                <w:bCs/>
                <w:color w:val="000000"/>
              </w:rPr>
              <w:t>2025/26</w:t>
            </w:r>
          </w:p>
        </w:tc>
      </w:tr>
      <w:tr w:rsidR="0085577D" w:rsidRPr="00F97363" w14:paraId="2947C371" w14:textId="77777777" w:rsidTr="00BA3850">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18E4C037" w14:textId="77777777" w:rsidR="0085577D" w:rsidRPr="00F97363" w:rsidRDefault="0085577D" w:rsidP="0085577D">
            <w:pPr>
              <w:rPr>
                <w:rFonts w:ascii="Arial" w:hAnsi="Arial" w:cs="Arial"/>
                <w:bCs/>
              </w:rPr>
            </w:pPr>
            <w:r w:rsidRPr="00F97363">
              <w:rPr>
                <w:rFonts w:ascii="Arial" w:hAnsi="Arial" w:cs="Arial"/>
                <w:bCs/>
              </w:rPr>
              <w:t>Actual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AEC072" w14:textId="11E849D0" w:rsidR="0085577D" w:rsidRPr="0085577D" w:rsidRDefault="0085577D" w:rsidP="0085577D">
            <w:pPr>
              <w:jc w:val="center"/>
              <w:rPr>
                <w:rFonts w:ascii="Arial" w:hAnsi="Arial" w:cs="Arial"/>
                <w:bCs/>
              </w:rPr>
            </w:pPr>
            <w:r w:rsidRPr="0085577D">
              <w:rPr>
                <w:rFonts w:ascii="Arial" w:hAnsi="Arial" w:cs="Arial"/>
                <w:color w:val="000000"/>
              </w:rPr>
              <w:t>£24m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198D50" w14:textId="028997DC" w:rsidR="0085577D" w:rsidRPr="0085577D" w:rsidRDefault="0085577D" w:rsidP="0085577D">
            <w:pPr>
              <w:jc w:val="center"/>
              <w:rPr>
                <w:rFonts w:ascii="Arial" w:hAnsi="Arial" w:cs="Arial"/>
                <w:bCs/>
              </w:rPr>
            </w:pPr>
            <w:r w:rsidRPr="0085577D">
              <w:rPr>
                <w:rFonts w:ascii="Arial" w:hAnsi="Arial" w:cs="Arial"/>
                <w:color w:val="000000"/>
              </w:rPr>
              <w:t>£24m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4EFCDF" w14:textId="7C8994E2" w:rsidR="0085577D" w:rsidRPr="0085577D" w:rsidRDefault="0085577D" w:rsidP="0085577D">
            <w:pPr>
              <w:jc w:val="center"/>
              <w:rPr>
                <w:rFonts w:ascii="Arial" w:hAnsi="Arial" w:cs="Arial"/>
                <w:bCs/>
              </w:rPr>
            </w:pPr>
            <w:r w:rsidRPr="0085577D">
              <w:rPr>
                <w:rFonts w:ascii="Arial" w:hAnsi="Arial" w:cs="Arial"/>
                <w:color w:val="000000"/>
              </w:rPr>
              <w:t>£20m</w:t>
            </w:r>
          </w:p>
        </w:tc>
      </w:tr>
      <w:tr w:rsidR="0085577D" w:rsidRPr="00F97363" w14:paraId="00E39E94" w14:textId="77777777" w:rsidTr="00BA3850">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41218404" w14:textId="77777777" w:rsidR="0085577D" w:rsidRPr="00F97363" w:rsidRDefault="0085577D" w:rsidP="0085577D">
            <w:pPr>
              <w:rPr>
                <w:rFonts w:ascii="Arial" w:hAnsi="Arial" w:cs="Arial"/>
                <w:bCs/>
              </w:rPr>
            </w:pPr>
            <w:r w:rsidRPr="00F97363">
              <w:rPr>
                <w:rFonts w:ascii="Arial" w:hAnsi="Arial" w:cs="Arial"/>
                <w:bCs/>
              </w:rPr>
              <w:t>Limit on principal invested beyond year end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DD26F9C" w14:textId="349070C7" w:rsidR="0085577D" w:rsidRPr="0085577D" w:rsidRDefault="0085577D" w:rsidP="0085577D">
            <w:pPr>
              <w:jc w:val="center"/>
              <w:rPr>
                <w:rFonts w:ascii="Arial" w:hAnsi="Arial" w:cs="Arial"/>
                <w:bCs/>
              </w:rPr>
            </w:pPr>
            <w:r w:rsidRPr="0085577D">
              <w:rPr>
                <w:rFonts w:ascii="Arial" w:hAnsi="Arial" w:cs="Arial"/>
                <w:color w:val="000000"/>
              </w:rPr>
              <w:t>£40m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108B90" w14:textId="4380A092" w:rsidR="0085577D" w:rsidRPr="0085577D" w:rsidRDefault="0085577D" w:rsidP="0085577D">
            <w:pPr>
              <w:jc w:val="center"/>
              <w:rPr>
                <w:rFonts w:ascii="Arial" w:hAnsi="Arial" w:cs="Arial"/>
                <w:bCs/>
              </w:rPr>
            </w:pPr>
            <w:r w:rsidRPr="0085577D">
              <w:rPr>
                <w:rFonts w:ascii="Arial" w:hAnsi="Arial" w:cs="Arial"/>
                <w:color w:val="000000"/>
              </w:rPr>
              <w:t>£40m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C6EFA1" w14:textId="766B858D" w:rsidR="0085577D" w:rsidRPr="0085577D" w:rsidRDefault="0085577D" w:rsidP="0085577D">
            <w:pPr>
              <w:jc w:val="center"/>
              <w:rPr>
                <w:rFonts w:ascii="Arial" w:hAnsi="Arial" w:cs="Arial"/>
                <w:bCs/>
              </w:rPr>
            </w:pPr>
            <w:r w:rsidRPr="0085577D">
              <w:rPr>
                <w:rFonts w:ascii="Arial" w:hAnsi="Arial" w:cs="Arial"/>
                <w:color w:val="000000"/>
              </w:rPr>
              <w:t>£40m</w:t>
            </w:r>
          </w:p>
        </w:tc>
      </w:tr>
      <w:tr w:rsidR="00B80378" w:rsidRPr="00BA4271" w14:paraId="4CF4EF6C" w14:textId="77777777" w:rsidTr="00BA3850">
        <w:trPr>
          <w:trHeight w:val="34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tcPr>
          <w:p w14:paraId="374731E3" w14:textId="77777777" w:rsidR="00B80378" w:rsidRPr="00F97363" w:rsidRDefault="00B80378" w:rsidP="00BA4E55">
            <w:pPr>
              <w:rPr>
                <w:rFonts w:ascii="Arial" w:hAnsi="Arial" w:cs="Arial"/>
                <w:bCs/>
              </w:rPr>
            </w:pPr>
            <w:r w:rsidRPr="00F97363">
              <w:rPr>
                <w:rFonts w:ascii="Arial" w:hAnsi="Arial" w:cs="Arial"/>
                <w:bCs/>
              </w:rPr>
              <w:t>Complied</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151AC0E" w14:textId="77777777" w:rsidR="00B80378" w:rsidRPr="00F97363" w:rsidRDefault="00B80378" w:rsidP="002E3C4B">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5426B2D" w14:textId="77777777" w:rsidR="00B80378" w:rsidRPr="00F97363" w:rsidRDefault="00B80378" w:rsidP="002E3C4B">
            <w:pPr>
              <w:keepNext/>
              <w:keepLines/>
              <w:widowControl w:val="0"/>
              <w:numPr>
                <w:ilvl w:val="0"/>
                <w:numId w:val="3"/>
              </w:numPr>
              <w:jc w:val="cente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16923D" w14:textId="77777777" w:rsidR="00B80378" w:rsidRPr="00F97363" w:rsidRDefault="00B80378" w:rsidP="002E3C4B">
            <w:pPr>
              <w:keepNext/>
              <w:keepLines/>
              <w:widowControl w:val="0"/>
              <w:numPr>
                <w:ilvl w:val="0"/>
                <w:numId w:val="3"/>
              </w:numPr>
              <w:jc w:val="center"/>
              <w:rPr>
                <w:rFonts w:ascii="Arial" w:hAnsi="Arial" w:cs="Arial"/>
              </w:rPr>
            </w:pPr>
          </w:p>
        </w:tc>
      </w:tr>
    </w:tbl>
    <w:p w14:paraId="4611DAC2" w14:textId="32AB8325" w:rsidR="00F41044" w:rsidRPr="00A21282" w:rsidRDefault="00F41044" w:rsidP="00A21282">
      <w:pPr>
        <w:spacing w:after="240"/>
        <w:rPr>
          <w:rFonts w:ascii="Arial" w:hAnsi="Arial" w:cs="Arial"/>
        </w:rPr>
      </w:pPr>
    </w:p>
    <w:sectPr w:rsidR="00F41044" w:rsidRPr="00A21282" w:rsidSect="00365448">
      <w:headerReference w:type="default" r:id="rId13"/>
      <w:headerReference w:type="first" r:id="rId14"/>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56C83" w14:textId="77777777" w:rsidR="00E36042" w:rsidRDefault="00E36042">
      <w:r>
        <w:separator/>
      </w:r>
    </w:p>
  </w:endnote>
  <w:endnote w:type="continuationSeparator" w:id="0">
    <w:p w14:paraId="0BB6EEEB" w14:textId="77777777" w:rsidR="00E36042" w:rsidRDefault="00E36042">
      <w:r>
        <w:continuationSeparator/>
      </w:r>
    </w:p>
  </w:endnote>
  <w:endnote w:type="continuationNotice" w:id="1">
    <w:p w14:paraId="696C04BA" w14:textId="77777777" w:rsidR="00E36042" w:rsidRDefault="00E36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72BC4" w14:textId="77777777" w:rsidR="00E36042" w:rsidRDefault="00E36042">
      <w:r>
        <w:separator/>
      </w:r>
    </w:p>
  </w:footnote>
  <w:footnote w:type="continuationSeparator" w:id="0">
    <w:p w14:paraId="3989BF40" w14:textId="77777777" w:rsidR="00E36042" w:rsidRDefault="00E36042">
      <w:r>
        <w:continuationSeparator/>
      </w:r>
    </w:p>
  </w:footnote>
  <w:footnote w:type="continuationNotice" w:id="1">
    <w:p w14:paraId="23DD0DEC" w14:textId="77777777" w:rsidR="00E36042" w:rsidRDefault="00E36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CE69" w14:textId="5CB9FA7F" w:rsidR="00B336D6" w:rsidRDefault="00F553D2" w:rsidP="00AA0BC8">
    <w:pPr>
      <w:pStyle w:val="Header"/>
      <w:ind w:left="360"/>
      <w:jc w:val="right"/>
    </w:pPr>
    <w:r>
      <w:rPr>
        <w:noProof/>
      </w:rPr>
      <w:drawing>
        <wp:inline distT="0" distB="0" distL="0" distR="0" wp14:anchorId="039A045D" wp14:editId="35B7E9A2">
          <wp:extent cx="1518285" cy="76200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762000"/>
                  </a:xfrm>
                  <a:prstGeom prst="rect">
                    <a:avLst/>
                  </a:prstGeom>
                  <a:noFill/>
                </pic:spPr>
              </pic:pic>
            </a:graphicData>
          </a:graphic>
        </wp:inline>
      </w:drawing>
    </w:r>
  </w:p>
  <w:p w14:paraId="7FEC7E7F" w14:textId="7FC653DC" w:rsidR="00B336D6" w:rsidRPr="00382A4E" w:rsidRDefault="00B336D6" w:rsidP="00365448">
    <w:pPr>
      <w:pStyle w:val="Header"/>
      <w:ind w:left="360"/>
      <w:jc w:val="cent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53C2" w14:textId="7F1006DA" w:rsidR="00B336D6" w:rsidRDefault="000F5BB8" w:rsidP="0051299B">
    <w:pPr>
      <w:pStyle w:val="Header"/>
      <w:ind w:left="360"/>
      <w:jc w:val="right"/>
      <w:rPr>
        <w:rFonts w:ascii="Arial" w:hAnsi="Arial" w:cs="Arial"/>
      </w:rPr>
    </w:pPr>
    <w:r>
      <w:rPr>
        <w:noProof/>
      </w:rPr>
      <w:drawing>
        <wp:inline distT="0" distB="0" distL="0" distR="0" wp14:anchorId="5527190A" wp14:editId="17ED20CD">
          <wp:extent cx="2800350" cy="7874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0560354"/>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787400"/>
                  </a:xfrm>
                  <a:prstGeom prst="rect">
                    <a:avLst/>
                  </a:prstGeom>
                  <a:noFill/>
                  <a:ln>
                    <a:noFill/>
                  </a:ln>
                </pic:spPr>
              </pic:pic>
            </a:graphicData>
          </a:graphic>
        </wp:inline>
      </w:drawing>
    </w:r>
  </w:p>
  <w:p w14:paraId="01852A79" w14:textId="77777777" w:rsidR="00B336D6" w:rsidRDefault="00B336D6" w:rsidP="0051299B">
    <w:pPr>
      <w:pStyle w:val="Header"/>
      <w:ind w:left="360"/>
      <w:jc w:val="center"/>
      <w:rPr>
        <w:rFonts w:ascii="Arial" w:hAnsi="Arial" w:cs="Arial"/>
      </w:rPr>
    </w:pPr>
  </w:p>
  <w:p w14:paraId="6CBB1422" w14:textId="77777777" w:rsidR="00B336D6" w:rsidRDefault="00B336D6" w:rsidP="0051299B">
    <w:pPr>
      <w:pStyle w:val="Header"/>
      <w:ind w:left="360"/>
      <w:jc w:val="center"/>
      <w:rPr>
        <w:rFonts w:ascii="Arial" w:hAnsi="Arial" w:cs="Arial"/>
      </w:rPr>
    </w:pPr>
    <w:r>
      <w:rPr>
        <w:rFonts w:ascii="Arial" w:hAnsi="Arial" w:cs="Arial"/>
      </w:rPr>
      <w:t xml:space="preserve">- </w:t>
    </w:r>
    <w:r w:rsidRPr="00382A4E">
      <w:rPr>
        <w:rFonts w:ascii="Arial" w:hAnsi="Arial" w:cs="Arial"/>
      </w:rPr>
      <w:t>NOT PROTECTIVELY MARKED</w:t>
    </w:r>
    <w:r>
      <w:rPr>
        <w:rFonts w:ascii="Arial" w:hAnsi="Arial" w:cs="Arial"/>
      </w:rPr>
      <w:t>/PROTECT/RESTRICTED –</w:t>
    </w:r>
  </w:p>
  <w:p w14:paraId="600054B0" w14:textId="77777777" w:rsidR="00B336D6" w:rsidRDefault="00B336D6" w:rsidP="0051299B">
    <w:pPr>
      <w:pStyle w:val="Header"/>
      <w:ind w:left="360"/>
      <w:jc w:val="center"/>
      <w:rPr>
        <w:rFonts w:ascii="Arial" w:hAnsi="Arial" w:cs="Arial"/>
      </w:rPr>
    </w:pPr>
    <w:r>
      <w:rPr>
        <w:rFonts w:ascii="Arial" w:hAnsi="Arial" w:cs="Arial"/>
      </w:rPr>
      <w:tab/>
    </w:r>
    <w:r>
      <w:rPr>
        <w:rFonts w:ascii="Arial" w:hAnsi="Arial" w:cs="Arial"/>
      </w:rPr>
      <w:tab/>
      <w:t>Appendix 1</w:t>
    </w:r>
  </w:p>
  <w:p w14:paraId="07BDBE61" w14:textId="77777777" w:rsidR="00B336D6" w:rsidRPr="00382A4E" w:rsidRDefault="00B336D6" w:rsidP="0051299B">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79F"/>
    <w:multiLevelType w:val="hybridMultilevel"/>
    <w:tmpl w:val="A6907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31075"/>
    <w:multiLevelType w:val="hybridMultilevel"/>
    <w:tmpl w:val="2F66C690"/>
    <w:lvl w:ilvl="0" w:tplc="EC32EF48">
      <w:start w:val="5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D93F98"/>
    <w:multiLevelType w:val="hybridMultilevel"/>
    <w:tmpl w:val="CE74D760"/>
    <w:lvl w:ilvl="0" w:tplc="8A26586A">
      <w:start w:val="2"/>
      <w:numFmt w:val="bullet"/>
      <w:lvlText w:val="-"/>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87BF7"/>
    <w:multiLevelType w:val="multilevel"/>
    <w:tmpl w:val="60F2B56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655A1B"/>
    <w:multiLevelType w:val="hybridMultilevel"/>
    <w:tmpl w:val="B380C31C"/>
    <w:lvl w:ilvl="0" w:tplc="8A26586A">
      <w:start w:val="2"/>
      <w:numFmt w:val="bullet"/>
      <w:lvlText w:val="-"/>
      <w:lvlJc w:val="left"/>
      <w:pPr>
        <w:ind w:left="720" w:hanging="360"/>
      </w:pPr>
      <w:rPr>
        <w:rFonts w:ascii="Trebuchet MS" w:eastAsia="Times New Roman" w:hAnsi="Trebuchet MS" w:cs="Arial" w:hint="default"/>
      </w:rPr>
    </w:lvl>
    <w:lvl w:ilvl="1" w:tplc="8A26586A">
      <w:start w:val="2"/>
      <w:numFmt w:val="bullet"/>
      <w:lvlText w:val="-"/>
      <w:lvlJc w:val="left"/>
      <w:pPr>
        <w:ind w:left="1440" w:hanging="360"/>
      </w:pPr>
      <w:rPr>
        <w:rFonts w:ascii="Trebuchet MS" w:eastAsia="Times New Roman" w:hAnsi="Trebuchet MS"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306D99"/>
    <w:multiLevelType w:val="hybridMultilevel"/>
    <w:tmpl w:val="D9B4547E"/>
    <w:lvl w:ilvl="0" w:tplc="3D36A7FC">
      <w:numFmt w:val="bullet"/>
      <w:lvlText w:val="-"/>
      <w:lvlJc w:val="left"/>
      <w:pPr>
        <w:ind w:left="-174" w:hanging="360"/>
      </w:pPr>
      <w:rPr>
        <w:rFonts w:ascii="Trebuchet MS" w:eastAsia="Times New Roman" w:hAnsi="Trebuchet MS" w:cs="Times New Roman" w:hint="default"/>
      </w:rPr>
    </w:lvl>
    <w:lvl w:ilvl="1" w:tplc="08090003" w:tentative="1">
      <w:start w:val="1"/>
      <w:numFmt w:val="bullet"/>
      <w:lvlText w:val="o"/>
      <w:lvlJc w:val="left"/>
      <w:pPr>
        <w:ind w:left="546" w:hanging="360"/>
      </w:pPr>
      <w:rPr>
        <w:rFonts w:ascii="Courier New" w:hAnsi="Courier New" w:cs="Courier New" w:hint="default"/>
      </w:rPr>
    </w:lvl>
    <w:lvl w:ilvl="2" w:tplc="08090005" w:tentative="1">
      <w:start w:val="1"/>
      <w:numFmt w:val="bullet"/>
      <w:lvlText w:val=""/>
      <w:lvlJc w:val="left"/>
      <w:pPr>
        <w:ind w:left="1266" w:hanging="360"/>
      </w:pPr>
      <w:rPr>
        <w:rFonts w:ascii="Wingdings" w:hAnsi="Wingdings" w:hint="default"/>
      </w:rPr>
    </w:lvl>
    <w:lvl w:ilvl="3" w:tplc="08090001" w:tentative="1">
      <w:start w:val="1"/>
      <w:numFmt w:val="bullet"/>
      <w:lvlText w:val=""/>
      <w:lvlJc w:val="left"/>
      <w:pPr>
        <w:ind w:left="1986" w:hanging="360"/>
      </w:pPr>
      <w:rPr>
        <w:rFonts w:ascii="Symbol" w:hAnsi="Symbol" w:hint="default"/>
      </w:rPr>
    </w:lvl>
    <w:lvl w:ilvl="4" w:tplc="08090003" w:tentative="1">
      <w:start w:val="1"/>
      <w:numFmt w:val="bullet"/>
      <w:lvlText w:val="o"/>
      <w:lvlJc w:val="left"/>
      <w:pPr>
        <w:ind w:left="2706" w:hanging="360"/>
      </w:pPr>
      <w:rPr>
        <w:rFonts w:ascii="Courier New" w:hAnsi="Courier New" w:cs="Courier New" w:hint="default"/>
      </w:rPr>
    </w:lvl>
    <w:lvl w:ilvl="5" w:tplc="08090005" w:tentative="1">
      <w:start w:val="1"/>
      <w:numFmt w:val="bullet"/>
      <w:lvlText w:val=""/>
      <w:lvlJc w:val="left"/>
      <w:pPr>
        <w:ind w:left="3426" w:hanging="360"/>
      </w:pPr>
      <w:rPr>
        <w:rFonts w:ascii="Wingdings" w:hAnsi="Wingdings" w:hint="default"/>
      </w:rPr>
    </w:lvl>
    <w:lvl w:ilvl="6" w:tplc="08090001" w:tentative="1">
      <w:start w:val="1"/>
      <w:numFmt w:val="bullet"/>
      <w:lvlText w:val=""/>
      <w:lvlJc w:val="left"/>
      <w:pPr>
        <w:ind w:left="4146" w:hanging="360"/>
      </w:pPr>
      <w:rPr>
        <w:rFonts w:ascii="Symbol" w:hAnsi="Symbol" w:hint="default"/>
      </w:rPr>
    </w:lvl>
    <w:lvl w:ilvl="7" w:tplc="08090003" w:tentative="1">
      <w:start w:val="1"/>
      <w:numFmt w:val="bullet"/>
      <w:lvlText w:val="o"/>
      <w:lvlJc w:val="left"/>
      <w:pPr>
        <w:ind w:left="4866" w:hanging="360"/>
      </w:pPr>
      <w:rPr>
        <w:rFonts w:ascii="Courier New" w:hAnsi="Courier New" w:cs="Courier New" w:hint="default"/>
      </w:rPr>
    </w:lvl>
    <w:lvl w:ilvl="8" w:tplc="08090005" w:tentative="1">
      <w:start w:val="1"/>
      <w:numFmt w:val="bullet"/>
      <w:lvlText w:val=""/>
      <w:lvlJc w:val="left"/>
      <w:pPr>
        <w:ind w:left="5586" w:hanging="360"/>
      </w:pPr>
      <w:rPr>
        <w:rFonts w:ascii="Wingdings" w:hAnsi="Wingdings" w:hint="default"/>
      </w:rPr>
    </w:lvl>
  </w:abstractNum>
  <w:abstractNum w:abstractNumId="6" w15:restartNumberingAfterBreak="0">
    <w:nsid w:val="44E42543"/>
    <w:multiLevelType w:val="hybridMultilevel"/>
    <w:tmpl w:val="B44679F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804E5C"/>
    <w:multiLevelType w:val="multilevel"/>
    <w:tmpl w:val="080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23F3E80"/>
    <w:multiLevelType w:val="hybridMultilevel"/>
    <w:tmpl w:val="67D85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6341654">
    <w:abstractNumId w:val="4"/>
  </w:num>
  <w:num w:numId="2" w16cid:durableId="1799107848">
    <w:abstractNumId w:val="7"/>
  </w:num>
  <w:num w:numId="3" w16cid:durableId="900601888">
    <w:abstractNumId w:val="6"/>
  </w:num>
  <w:num w:numId="4" w16cid:durableId="1607273881">
    <w:abstractNumId w:val="6"/>
  </w:num>
  <w:num w:numId="5" w16cid:durableId="585110149">
    <w:abstractNumId w:val="0"/>
  </w:num>
  <w:num w:numId="6" w16cid:durableId="297034510">
    <w:abstractNumId w:val="3"/>
  </w:num>
  <w:num w:numId="7" w16cid:durableId="1245601279">
    <w:abstractNumId w:val="1"/>
  </w:num>
  <w:num w:numId="8" w16cid:durableId="1633056379">
    <w:abstractNumId w:val="8"/>
  </w:num>
  <w:num w:numId="9" w16cid:durableId="1679769718">
    <w:abstractNumId w:val="2"/>
  </w:num>
  <w:num w:numId="10" w16cid:durableId="160839177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0C"/>
    <w:rsid w:val="00000C34"/>
    <w:rsid w:val="000012BF"/>
    <w:rsid w:val="00001AAD"/>
    <w:rsid w:val="00003353"/>
    <w:rsid w:val="00003E24"/>
    <w:rsid w:val="00003EA0"/>
    <w:rsid w:val="00003FC5"/>
    <w:rsid w:val="000040CD"/>
    <w:rsid w:val="00004136"/>
    <w:rsid w:val="000046E2"/>
    <w:rsid w:val="00005517"/>
    <w:rsid w:val="00005660"/>
    <w:rsid w:val="00005E19"/>
    <w:rsid w:val="00006165"/>
    <w:rsid w:val="00006BD7"/>
    <w:rsid w:val="00007AA2"/>
    <w:rsid w:val="00007E62"/>
    <w:rsid w:val="000105AF"/>
    <w:rsid w:val="0001064E"/>
    <w:rsid w:val="000108F3"/>
    <w:rsid w:val="00011951"/>
    <w:rsid w:val="0001331B"/>
    <w:rsid w:val="00013ABB"/>
    <w:rsid w:val="00013BAF"/>
    <w:rsid w:val="00013D13"/>
    <w:rsid w:val="00014022"/>
    <w:rsid w:val="00014703"/>
    <w:rsid w:val="000148B5"/>
    <w:rsid w:val="00014B4B"/>
    <w:rsid w:val="00014F0D"/>
    <w:rsid w:val="00015059"/>
    <w:rsid w:val="00015953"/>
    <w:rsid w:val="00015F36"/>
    <w:rsid w:val="000170D8"/>
    <w:rsid w:val="00017398"/>
    <w:rsid w:val="000213A0"/>
    <w:rsid w:val="00022722"/>
    <w:rsid w:val="000232FE"/>
    <w:rsid w:val="00023423"/>
    <w:rsid w:val="00024916"/>
    <w:rsid w:val="000249F5"/>
    <w:rsid w:val="00024AC7"/>
    <w:rsid w:val="00024DF4"/>
    <w:rsid w:val="00025364"/>
    <w:rsid w:val="00025DF5"/>
    <w:rsid w:val="00026C9E"/>
    <w:rsid w:val="00026EBD"/>
    <w:rsid w:val="00027510"/>
    <w:rsid w:val="00027768"/>
    <w:rsid w:val="0002789D"/>
    <w:rsid w:val="00027E51"/>
    <w:rsid w:val="00031FDD"/>
    <w:rsid w:val="0003290B"/>
    <w:rsid w:val="00032DF6"/>
    <w:rsid w:val="00033393"/>
    <w:rsid w:val="00034A31"/>
    <w:rsid w:val="00034B50"/>
    <w:rsid w:val="0003555B"/>
    <w:rsid w:val="00035D17"/>
    <w:rsid w:val="00035E3F"/>
    <w:rsid w:val="00036181"/>
    <w:rsid w:val="0003753A"/>
    <w:rsid w:val="00037F69"/>
    <w:rsid w:val="0004183B"/>
    <w:rsid w:val="00041A67"/>
    <w:rsid w:val="000423FA"/>
    <w:rsid w:val="00042E30"/>
    <w:rsid w:val="00042FE1"/>
    <w:rsid w:val="00043816"/>
    <w:rsid w:val="00043A25"/>
    <w:rsid w:val="00043BF5"/>
    <w:rsid w:val="000441DF"/>
    <w:rsid w:val="000446C2"/>
    <w:rsid w:val="000461D1"/>
    <w:rsid w:val="000462E7"/>
    <w:rsid w:val="0004733F"/>
    <w:rsid w:val="0004746F"/>
    <w:rsid w:val="00047770"/>
    <w:rsid w:val="00047A0B"/>
    <w:rsid w:val="00047AF1"/>
    <w:rsid w:val="00047CDB"/>
    <w:rsid w:val="00047E7D"/>
    <w:rsid w:val="00050C91"/>
    <w:rsid w:val="00050E27"/>
    <w:rsid w:val="00051F56"/>
    <w:rsid w:val="00051F65"/>
    <w:rsid w:val="00052222"/>
    <w:rsid w:val="00052552"/>
    <w:rsid w:val="000525A4"/>
    <w:rsid w:val="00052758"/>
    <w:rsid w:val="000528AA"/>
    <w:rsid w:val="0005293C"/>
    <w:rsid w:val="00053097"/>
    <w:rsid w:val="0005315E"/>
    <w:rsid w:val="000533C4"/>
    <w:rsid w:val="0005365D"/>
    <w:rsid w:val="000538CC"/>
    <w:rsid w:val="000543DC"/>
    <w:rsid w:val="0005471A"/>
    <w:rsid w:val="000550EF"/>
    <w:rsid w:val="00055142"/>
    <w:rsid w:val="00055FE3"/>
    <w:rsid w:val="00056450"/>
    <w:rsid w:val="0005645D"/>
    <w:rsid w:val="0005665D"/>
    <w:rsid w:val="00056778"/>
    <w:rsid w:val="00056D9C"/>
    <w:rsid w:val="00057C64"/>
    <w:rsid w:val="00057D9A"/>
    <w:rsid w:val="00060720"/>
    <w:rsid w:val="000608B1"/>
    <w:rsid w:val="00062780"/>
    <w:rsid w:val="00062959"/>
    <w:rsid w:val="000630CC"/>
    <w:rsid w:val="00064F5A"/>
    <w:rsid w:val="00065027"/>
    <w:rsid w:val="0006597C"/>
    <w:rsid w:val="0006696B"/>
    <w:rsid w:val="00066D4B"/>
    <w:rsid w:val="00066DFB"/>
    <w:rsid w:val="000670C1"/>
    <w:rsid w:val="000676FA"/>
    <w:rsid w:val="0006772D"/>
    <w:rsid w:val="00067763"/>
    <w:rsid w:val="00067884"/>
    <w:rsid w:val="00067DC1"/>
    <w:rsid w:val="00067EA6"/>
    <w:rsid w:val="000708D8"/>
    <w:rsid w:val="00070D9F"/>
    <w:rsid w:val="00071401"/>
    <w:rsid w:val="00071513"/>
    <w:rsid w:val="00071E26"/>
    <w:rsid w:val="000731C4"/>
    <w:rsid w:val="00074D66"/>
    <w:rsid w:val="00074DB9"/>
    <w:rsid w:val="00080508"/>
    <w:rsid w:val="0008073E"/>
    <w:rsid w:val="000810A6"/>
    <w:rsid w:val="0008168E"/>
    <w:rsid w:val="00081D9C"/>
    <w:rsid w:val="00083249"/>
    <w:rsid w:val="00083826"/>
    <w:rsid w:val="00084837"/>
    <w:rsid w:val="00084865"/>
    <w:rsid w:val="000852EF"/>
    <w:rsid w:val="0008644C"/>
    <w:rsid w:val="00086DFA"/>
    <w:rsid w:val="00086F9E"/>
    <w:rsid w:val="000873C5"/>
    <w:rsid w:val="00090706"/>
    <w:rsid w:val="00090A81"/>
    <w:rsid w:val="000914A8"/>
    <w:rsid w:val="00092533"/>
    <w:rsid w:val="00092C57"/>
    <w:rsid w:val="000931C3"/>
    <w:rsid w:val="0009577C"/>
    <w:rsid w:val="00095CAC"/>
    <w:rsid w:val="0009617C"/>
    <w:rsid w:val="000961B7"/>
    <w:rsid w:val="000969C9"/>
    <w:rsid w:val="000A007B"/>
    <w:rsid w:val="000A134C"/>
    <w:rsid w:val="000A1BCC"/>
    <w:rsid w:val="000A1D2E"/>
    <w:rsid w:val="000A2213"/>
    <w:rsid w:val="000A2D04"/>
    <w:rsid w:val="000A2F88"/>
    <w:rsid w:val="000A3405"/>
    <w:rsid w:val="000A34E3"/>
    <w:rsid w:val="000A3A39"/>
    <w:rsid w:val="000A42A6"/>
    <w:rsid w:val="000A4678"/>
    <w:rsid w:val="000A4959"/>
    <w:rsid w:val="000A4EB0"/>
    <w:rsid w:val="000A5563"/>
    <w:rsid w:val="000A5718"/>
    <w:rsid w:val="000A6D81"/>
    <w:rsid w:val="000A7F06"/>
    <w:rsid w:val="000A7F14"/>
    <w:rsid w:val="000A7FAC"/>
    <w:rsid w:val="000B02C5"/>
    <w:rsid w:val="000B10A1"/>
    <w:rsid w:val="000B198E"/>
    <w:rsid w:val="000B1C66"/>
    <w:rsid w:val="000B35FE"/>
    <w:rsid w:val="000B3B33"/>
    <w:rsid w:val="000B6A54"/>
    <w:rsid w:val="000B6FC0"/>
    <w:rsid w:val="000C0DDA"/>
    <w:rsid w:val="000C18EB"/>
    <w:rsid w:val="000C2A6F"/>
    <w:rsid w:val="000C3EB8"/>
    <w:rsid w:val="000C4398"/>
    <w:rsid w:val="000C5533"/>
    <w:rsid w:val="000C5713"/>
    <w:rsid w:val="000C695B"/>
    <w:rsid w:val="000C715F"/>
    <w:rsid w:val="000C7379"/>
    <w:rsid w:val="000C7F08"/>
    <w:rsid w:val="000D1F1F"/>
    <w:rsid w:val="000D20F5"/>
    <w:rsid w:val="000D2479"/>
    <w:rsid w:val="000D3BF7"/>
    <w:rsid w:val="000D5019"/>
    <w:rsid w:val="000D5121"/>
    <w:rsid w:val="000D662C"/>
    <w:rsid w:val="000D7217"/>
    <w:rsid w:val="000E0F9D"/>
    <w:rsid w:val="000E18FC"/>
    <w:rsid w:val="000E19CB"/>
    <w:rsid w:val="000E27CB"/>
    <w:rsid w:val="000E2E12"/>
    <w:rsid w:val="000E2E37"/>
    <w:rsid w:val="000E2F3C"/>
    <w:rsid w:val="000E30E1"/>
    <w:rsid w:val="000E362F"/>
    <w:rsid w:val="000E3EEB"/>
    <w:rsid w:val="000E4B71"/>
    <w:rsid w:val="000E4BE2"/>
    <w:rsid w:val="000E5204"/>
    <w:rsid w:val="000E5EB4"/>
    <w:rsid w:val="000E6710"/>
    <w:rsid w:val="000E6E0C"/>
    <w:rsid w:val="000E6E49"/>
    <w:rsid w:val="000E6FAB"/>
    <w:rsid w:val="000E70F3"/>
    <w:rsid w:val="000E7BC2"/>
    <w:rsid w:val="000E7E38"/>
    <w:rsid w:val="000F01F5"/>
    <w:rsid w:val="000F1AC7"/>
    <w:rsid w:val="000F1C2C"/>
    <w:rsid w:val="000F20A9"/>
    <w:rsid w:val="000F26F0"/>
    <w:rsid w:val="000F29A8"/>
    <w:rsid w:val="000F29C3"/>
    <w:rsid w:val="000F3805"/>
    <w:rsid w:val="000F476E"/>
    <w:rsid w:val="000F4C13"/>
    <w:rsid w:val="000F5BB8"/>
    <w:rsid w:val="000F75EC"/>
    <w:rsid w:val="000F7DFC"/>
    <w:rsid w:val="00101175"/>
    <w:rsid w:val="00101648"/>
    <w:rsid w:val="00102F57"/>
    <w:rsid w:val="00103190"/>
    <w:rsid w:val="00103CAA"/>
    <w:rsid w:val="00103E74"/>
    <w:rsid w:val="00104283"/>
    <w:rsid w:val="00104982"/>
    <w:rsid w:val="00104BC3"/>
    <w:rsid w:val="00104D10"/>
    <w:rsid w:val="00104EEF"/>
    <w:rsid w:val="0010570C"/>
    <w:rsid w:val="0010655F"/>
    <w:rsid w:val="00106FC1"/>
    <w:rsid w:val="00107A60"/>
    <w:rsid w:val="001101ED"/>
    <w:rsid w:val="00110901"/>
    <w:rsid w:val="00110BB6"/>
    <w:rsid w:val="0011100B"/>
    <w:rsid w:val="00111801"/>
    <w:rsid w:val="00111FAD"/>
    <w:rsid w:val="001127C1"/>
    <w:rsid w:val="00112D58"/>
    <w:rsid w:val="0011311A"/>
    <w:rsid w:val="00113DE0"/>
    <w:rsid w:val="001147FA"/>
    <w:rsid w:val="00114DFF"/>
    <w:rsid w:val="00115893"/>
    <w:rsid w:val="00115CB9"/>
    <w:rsid w:val="001166C6"/>
    <w:rsid w:val="00120744"/>
    <w:rsid w:val="00120AD0"/>
    <w:rsid w:val="00120E42"/>
    <w:rsid w:val="00121ABA"/>
    <w:rsid w:val="0012209D"/>
    <w:rsid w:val="001222A1"/>
    <w:rsid w:val="0012252D"/>
    <w:rsid w:val="0012254D"/>
    <w:rsid w:val="001228AE"/>
    <w:rsid w:val="00122DCF"/>
    <w:rsid w:val="001238E5"/>
    <w:rsid w:val="00123955"/>
    <w:rsid w:val="00123BE4"/>
    <w:rsid w:val="00123F7C"/>
    <w:rsid w:val="00124524"/>
    <w:rsid w:val="00124FB9"/>
    <w:rsid w:val="00125466"/>
    <w:rsid w:val="00127092"/>
    <w:rsid w:val="00127ABC"/>
    <w:rsid w:val="00130E0F"/>
    <w:rsid w:val="001313E7"/>
    <w:rsid w:val="001324C4"/>
    <w:rsid w:val="00132DA3"/>
    <w:rsid w:val="00133105"/>
    <w:rsid w:val="00133499"/>
    <w:rsid w:val="001341A9"/>
    <w:rsid w:val="001346A7"/>
    <w:rsid w:val="00134E28"/>
    <w:rsid w:val="00134FBE"/>
    <w:rsid w:val="0013537A"/>
    <w:rsid w:val="001354E0"/>
    <w:rsid w:val="0013567E"/>
    <w:rsid w:val="0013577F"/>
    <w:rsid w:val="00136AB8"/>
    <w:rsid w:val="001375CE"/>
    <w:rsid w:val="001376F5"/>
    <w:rsid w:val="00137D69"/>
    <w:rsid w:val="00140D97"/>
    <w:rsid w:val="00141385"/>
    <w:rsid w:val="0014141F"/>
    <w:rsid w:val="001416EC"/>
    <w:rsid w:val="00141B85"/>
    <w:rsid w:val="00141D46"/>
    <w:rsid w:val="0014285D"/>
    <w:rsid w:val="00142897"/>
    <w:rsid w:val="00142B74"/>
    <w:rsid w:val="0014300F"/>
    <w:rsid w:val="00145754"/>
    <w:rsid w:val="0014638B"/>
    <w:rsid w:val="00146588"/>
    <w:rsid w:val="001468C0"/>
    <w:rsid w:val="00146EC7"/>
    <w:rsid w:val="00147C76"/>
    <w:rsid w:val="00150300"/>
    <w:rsid w:val="001511EB"/>
    <w:rsid w:val="001512BA"/>
    <w:rsid w:val="001527E7"/>
    <w:rsid w:val="00153377"/>
    <w:rsid w:val="00153A6B"/>
    <w:rsid w:val="00153E59"/>
    <w:rsid w:val="001544D3"/>
    <w:rsid w:val="001546C7"/>
    <w:rsid w:val="00155B77"/>
    <w:rsid w:val="00155FC6"/>
    <w:rsid w:val="001563F9"/>
    <w:rsid w:val="001566C8"/>
    <w:rsid w:val="001567FC"/>
    <w:rsid w:val="001569FB"/>
    <w:rsid w:val="00157E63"/>
    <w:rsid w:val="00160C5B"/>
    <w:rsid w:val="00161292"/>
    <w:rsid w:val="0016199B"/>
    <w:rsid w:val="00161DD1"/>
    <w:rsid w:val="0016200B"/>
    <w:rsid w:val="001634BE"/>
    <w:rsid w:val="00163F84"/>
    <w:rsid w:val="001656A6"/>
    <w:rsid w:val="00165D19"/>
    <w:rsid w:val="0016654A"/>
    <w:rsid w:val="00166802"/>
    <w:rsid w:val="00166C91"/>
    <w:rsid w:val="0016704B"/>
    <w:rsid w:val="00167542"/>
    <w:rsid w:val="00170003"/>
    <w:rsid w:val="0017056B"/>
    <w:rsid w:val="0017163D"/>
    <w:rsid w:val="0017196C"/>
    <w:rsid w:val="0017220D"/>
    <w:rsid w:val="001722F5"/>
    <w:rsid w:val="0017251A"/>
    <w:rsid w:val="00172870"/>
    <w:rsid w:val="001734B2"/>
    <w:rsid w:val="001739AA"/>
    <w:rsid w:val="00173BEF"/>
    <w:rsid w:val="001742F3"/>
    <w:rsid w:val="001748C1"/>
    <w:rsid w:val="00174EF9"/>
    <w:rsid w:val="00176F6A"/>
    <w:rsid w:val="001777CE"/>
    <w:rsid w:val="00177A4A"/>
    <w:rsid w:val="00177F6C"/>
    <w:rsid w:val="001803C9"/>
    <w:rsid w:val="00181B10"/>
    <w:rsid w:val="001826DF"/>
    <w:rsid w:val="00182748"/>
    <w:rsid w:val="001827A9"/>
    <w:rsid w:val="00182B84"/>
    <w:rsid w:val="00182E1F"/>
    <w:rsid w:val="00183950"/>
    <w:rsid w:val="00184283"/>
    <w:rsid w:val="0018463D"/>
    <w:rsid w:val="00184826"/>
    <w:rsid w:val="0018509B"/>
    <w:rsid w:val="00186027"/>
    <w:rsid w:val="00186501"/>
    <w:rsid w:val="00186566"/>
    <w:rsid w:val="00186A5E"/>
    <w:rsid w:val="00187BCD"/>
    <w:rsid w:val="00190B98"/>
    <w:rsid w:val="001919B5"/>
    <w:rsid w:val="001919F1"/>
    <w:rsid w:val="001921CB"/>
    <w:rsid w:val="00192A37"/>
    <w:rsid w:val="001931BA"/>
    <w:rsid w:val="0019327C"/>
    <w:rsid w:val="0019400F"/>
    <w:rsid w:val="001947D4"/>
    <w:rsid w:val="00194E0E"/>
    <w:rsid w:val="0019505C"/>
    <w:rsid w:val="001959A7"/>
    <w:rsid w:val="00195A5E"/>
    <w:rsid w:val="001961B5"/>
    <w:rsid w:val="00197150"/>
    <w:rsid w:val="001976A3"/>
    <w:rsid w:val="001A04A9"/>
    <w:rsid w:val="001A09D8"/>
    <w:rsid w:val="001A11CC"/>
    <w:rsid w:val="001A1493"/>
    <w:rsid w:val="001A14E6"/>
    <w:rsid w:val="001A2DE3"/>
    <w:rsid w:val="001A2E1E"/>
    <w:rsid w:val="001A39FD"/>
    <w:rsid w:val="001A3FB4"/>
    <w:rsid w:val="001A4214"/>
    <w:rsid w:val="001A4572"/>
    <w:rsid w:val="001A4E20"/>
    <w:rsid w:val="001A5167"/>
    <w:rsid w:val="001A51C6"/>
    <w:rsid w:val="001A5581"/>
    <w:rsid w:val="001A62F9"/>
    <w:rsid w:val="001A72E6"/>
    <w:rsid w:val="001A7A6F"/>
    <w:rsid w:val="001B0663"/>
    <w:rsid w:val="001B0C05"/>
    <w:rsid w:val="001B0F48"/>
    <w:rsid w:val="001B130F"/>
    <w:rsid w:val="001B1835"/>
    <w:rsid w:val="001B2565"/>
    <w:rsid w:val="001B312F"/>
    <w:rsid w:val="001B3134"/>
    <w:rsid w:val="001B37B9"/>
    <w:rsid w:val="001B4043"/>
    <w:rsid w:val="001B4081"/>
    <w:rsid w:val="001B4C97"/>
    <w:rsid w:val="001B549D"/>
    <w:rsid w:val="001B59AA"/>
    <w:rsid w:val="001B683E"/>
    <w:rsid w:val="001B732E"/>
    <w:rsid w:val="001B7937"/>
    <w:rsid w:val="001C0C54"/>
    <w:rsid w:val="001C2664"/>
    <w:rsid w:val="001C3AD1"/>
    <w:rsid w:val="001C4213"/>
    <w:rsid w:val="001C4C96"/>
    <w:rsid w:val="001C4FB0"/>
    <w:rsid w:val="001C5D24"/>
    <w:rsid w:val="001C5E6B"/>
    <w:rsid w:val="001C62A6"/>
    <w:rsid w:val="001C6908"/>
    <w:rsid w:val="001C6C1A"/>
    <w:rsid w:val="001C7FA7"/>
    <w:rsid w:val="001D0F8E"/>
    <w:rsid w:val="001D128A"/>
    <w:rsid w:val="001D14C6"/>
    <w:rsid w:val="001D1E71"/>
    <w:rsid w:val="001D2AF7"/>
    <w:rsid w:val="001D3D3B"/>
    <w:rsid w:val="001D4183"/>
    <w:rsid w:val="001D67CF"/>
    <w:rsid w:val="001D7564"/>
    <w:rsid w:val="001D7D03"/>
    <w:rsid w:val="001E146D"/>
    <w:rsid w:val="001E1D91"/>
    <w:rsid w:val="001E21B7"/>
    <w:rsid w:val="001E241C"/>
    <w:rsid w:val="001E27FC"/>
    <w:rsid w:val="001E2F70"/>
    <w:rsid w:val="001E3ACB"/>
    <w:rsid w:val="001E3F63"/>
    <w:rsid w:val="001E4E83"/>
    <w:rsid w:val="001E5356"/>
    <w:rsid w:val="001E57DF"/>
    <w:rsid w:val="001E5E82"/>
    <w:rsid w:val="001E655E"/>
    <w:rsid w:val="001E6638"/>
    <w:rsid w:val="001E6677"/>
    <w:rsid w:val="001E6B81"/>
    <w:rsid w:val="001E7577"/>
    <w:rsid w:val="001E77EB"/>
    <w:rsid w:val="001E7C8C"/>
    <w:rsid w:val="001F1A1C"/>
    <w:rsid w:val="001F1D18"/>
    <w:rsid w:val="001F2834"/>
    <w:rsid w:val="001F2C3D"/>
    <w:rsid w:val="001F2CDD"/>
    <w:rsid w:val="001F3412"/>
    <w:rsid w:val="001F34A4"/>
    <w:rsid w:val="001F4D6E"/>
    <w:rsid w:val="001F506D"/>
    <w:rsid w:val="001F522A"/>
    <w:rsid w:val="001F5A85"/>
    <w:rsid w:val="001F6417"/>
    <w:rsid w:val="001F6D1F"/>
    <w:rsid w:val="001F6EB2"/>
    <w:rsid w:val="001F726D"/>
    <w:rsid w:val="001F7C05"/>
    <w:rsid w:val="00200BBB"/>
    <w:rsid w:val="00201892"/>
    <w:rsid w:val="002024F0"/>
    <w:rsid w:val="00202747"/>
    <w:rsid w:val="002042D7"/>
    <w:rsid w:val="00205D59"/>
    <w:rsid w:val="0021067E"/>
    <w:rsid w:val="00210DF2"/>
    <w:rsid w:val="00211218"/>
    <w:rsid w:val="002113CA"/>
    <w:rsid w:val="002117BC"/>
    <w:rsid w:val="00212539"/>
    <w:rsid w:val="002135F6"/>
    <w:rsid w:val="002137D8"/>
    <w:rsid w:val="00213EEC"/>
    <w:rsid w:val="00215730"/>
    <w:rsid w:val="002158F5"/>
    <w:rsid w:val="00216CD4"/>
    <w:rsid w:val="00216E95"/>
    <w:rsid w:val="0022062A"/>
    <w:rsid w:val="00220792"/>
    <w:rsid w:val="0022094A"/>
    <w:rsid w:val="00220E60"/>
    <w:rsid w:val="00220F54"/>
    <w:rsid w:val="00221851"/>
    <w:rsid w:val="002218A8"/>
    <w:rsid w:val="00222EE9"/>
    <w:rsid w:val="00223737"/>
    <w:rsid w:val="002240EA"/>
    <w:rsid w:val="0022439C"/>
    <w:rsid w:val="00224791"/>
    <w:rsid w:val="0022486C"/>
    <w:rsid w:val="00224F50"/>
    <w:rsid w:val="0022507C"/>
    <w:rsid w:val="00225106"/>
    <w:rsid w:val="00225D46"/>
    <w:rsid w:val="00226A83"/>
    <w:rsid w:val="00226ACD"/>
    <w:rsid w:val="00226CED"/>
    <w:rsid w:val="00227C3E"/>
    <w:rsid w:val="0023116F"/>
    <w:rsid w:val="0023225B"/>
    <w:rsid w:val="0023379D"/>
    <w:rsid w:val="00233F83"/>
    <w:rsid w:val="00234403"/>
    <w:rsid w:val="00234499"/>
    <w:rsid w:val="00234D07"/>
    <w:rsid w:val="002352CD"/>
    <w:rsid w:val="0023548B"/>
    <w:rsid w:val="0023590A"/>
    <w:rsid w:val="002369AF"/>
    <w:rsid w:val="00236A75"/>
    <w:rsid w:val="002370B5"/>
    <w:rsid w:val="002378DC"/>
    <w:rsid w:val="00237FB9"/>
    <w:rsid w:val="00240475"/>
    <w:rsid w:val="00241F95"/>
    <w:rsid w:val="0024206A"/>
    <w:rsid w:val="00242A06"/>
    <w:rsid w:val="0024314E"/>
    <w:rsid w:val="0024347B"/>
    <w:rsid w:val="002436FD"/>
    <w:rsid w:val="002439AB"/>
    <w:rsid w:val="00243B0D"/>
    <w:rsid w:val="0024434A"/>
    <w:rsid w:val="00245BDB"/>
    <w:rsid w:val="00247751"/>
    <w:rsid w:val="00247F76"/>
    <w:rsid w:val="00251C02"/>
    <w:rsid w:val="00252777"/>
    <w:rsid w:val="00252B31"/>
    <w:rsid w:val="00252C4C"/>
    <w:rsid w:val="00253AE7"/>
    <w:rsid w:val="00253BF7"/>
    <w:rsid w:val="00253E3D"/>
    <w:rsid w:val="00254C56"/>
    <w:rsid w:val="00254DDF"/>
    <w:rsid w:val="002558D6"/>
    <w:rsid w:val="002559FB"/>
    <w:rsid w:val="00256073"/>
    <w:rsid w:val="00256A87"/>
    <w:rsid w:val="00256FC2"/>
    <w:rsid w:val="00257540"/>
    <w:rsid w:val="00257C34"/>
    <w:rsid w:val="002609EF"/>
    <w:rsid w:val="00261118"/>
    <w:rsid w:val="00261864"/>
    <w:rsid w:val="002619A3"/>
    <w:rsid w:val="00262025"/>
    <w:rsid w:val="00262315"/>
    <w:rsid w:val="0026231F"/>
    <w:rsid w:val="00262CBA"/>
    <w:rsid w:val="00263800"/>
    <w:rsid w:val="00263A7B"/>
    <w:rsid w:val="00264058"/>
    <w:rsid w:val="002647F1"/>
    <w:rsid w:val="00264E2C"/>
    <w:rsid w:val="00265F96"/>
    <w:rsid w:val="002663A8"/>
    <w:rsid w:val="002669D7"/>
    <w:rsid w:val="0026706D"/>
    <w:rsid w:val="002678E4"/>
    <w:rsid w:val="00267F6A"/>
    <w:rsid w:val="002701C0"/>
    <w:rsid w:val="00271938"/>
    <w:rsid w:val="00271FA5"/>
    <w:rsid w:val="002720D3"/>
    <w:rsid w:val="00272D72"/>
    <w:rsid w:val="00274142"/>
    <w:rsid w:val="002745EF"/>
    <w:rsid w:val="00276635"/>
    <w:rsid w:val="00276671"/>
    <w:rsid w:val="00277004"/>
    <w:rsid w:val="002778B0"/>
    <w:rsid w:val="00277C3C"/>
    <w:rsid w:val="00277ED3"/>
    <w:rsid w:val="002801EB"/>
    <w:rsid w:val="0028036B"/>
    <w:rsid w:val="00280751"/>
    <w:rsid w:val="00280B58"/>
    <w:rsid w:val="00280CF9"/>
    <w:rsid w:val="002811E6"/>
    <w:rsid w:val="0028150D"/>
    <w:rsid w:val="002824CD"/>
    <w:rsid w:val="00282ACA"/>
    <w:rsid w:val="00283119"/>
    <w:rsid w:val="00285D8C"/>
    <w:rsid w:val="00285F1B"/>
    <w:rsid w:val="00286222"/>
    <w:rsid w:val="00287006"/>
    <w:rsid w:val="00287F1C"/>
    <w:rsid w:val="00291D76"/>
    <w:rsid w:val="00292489"/>
    <w:rsid w:val="00292A67"/>
    <w:rsid w:val="00292B47"/>
    <w:rsid w:val="0029365A"/>
    <w:rsid w:val="002954D2"/>
    <w:rsid w:val="00295567"/>
    <w:rsid w:val="002955D1"/>
    <w:rsid w:val="002958A1"/>
    <w:rsid w:val="00295F78"/>
    <w:rsid w:val="00296A85"/>
    <w:rsid w:val="00296FEE"/>
    <w:rsid w:val="0029746A"/>
    <w:rsid w:val="00297F8B"/>
    <w:rsid w:val="002A0641"/>
    <w:rsid w:val="002A072A"/>
    <w:rsid w:val="002A087D"/>
    <w:rsid w:val="002A0D0A"/>
    <w:rsid w:val="002A125F"/>
    <w:rsid w:val="002A17AF"/>
    <w:rsid w:val="002A28E1"/>
    <w:rsid w:val="002A47A0"/>
    <w:rsid w:val="002A4E25"/>
    <w:rsid w:val="002A54F2"/>
    <w:rsid w:val="002A6534"/>
    <w:rsid w:val="002A7553"/>
    <w:rsid w:val="002A7E6E"/>
    <w:rsid w:val="002B056F"/>
    <w:rsid w:val="002B1208"/>
    <w:rsid w:val="002B22F8"/>
    <w:rsid w:val="002B265C"/>
    <w:rsid w:val="002B3B36"/>
    <w:rsid w:val="002B3B8A"/>
    <w:rsid w:val="002B3CB3"/>
    <w:rsid w:val="002B475E"/>
    <w:rsid w:val="002B48D3"/>
    <w:rsid w:val="002B49E6"/>
    <w:rsid w:val="002B6AE5"/>
    <w:rsid w:val="002B6B33"/>
    <w:rsid w:val="002B7066"/>
    <w:rsid w:val="002B7612"/>
    <w:rsid w:val="002B7971"/>
    <w:rsid w:val="002B7CF0"/>
    <w:rsid w:val="002B7F22"/>
    <w:rsid w:val="002C0524"/>
    <w:rsid w:val="002C0D71"/>
    <w:rsid w:val="002C0FF9"/>
    <w:rsid w:val="002C1356"/>
    <w:rsid w:val="002C13D1"/>
    <w:rsid w:val="002C14ED"/>
    <w:rsid w:val="002C21DC"/>
    <w:rsid w:val="002C2FE0"/>
    <w:rsid w:val="002C3988"/>
    <w:rsid w:val="002C4566"/>
    <w:rsid w:val="002C5A8C"/>
    <w:rsid w:val="002C662C"/>
    <w:rsid w:val="002C7788"/>
    <w:rsid w:val="002C7912"/>
    <w:rsid w:val="002D07BC"/>
    <w:rsid w:val="002D1DD4"/>
    <w:rsid w:val="002D29B2"/>
    <w:rsid w:val="002D2A4E"/>
    <w:rsid w:val="002D2C2B"/>
    <w:rsid w:val="002D2D11"/>
    <w:rsid w:val="002D398B"/>
    <w:rsid w:val="002D4A66"/>
    <w:rsid w:val="002D4B32"/>
    <w:rsid w:val="002D502D"/>
    <w:rsid w:val="002D57AA"/>
    <w:rsid w:val="002D5E5E"/>
    <w:rsid w:val="002D64D9"/>
    <w:rsid w:val="002D7940"/>
    <w:rsid w:val="002E0223"/>
    <w:rsid w:val="002E07C2"/>
    <w:rsid w:val="002E138F"/>
    <w:rsid w:val="002E139B"/>
    <w:rsid w:val="002E1831"/>
    <w:rsid w:val="002E1AA7"/>
    <w:rsid w:val="002E1CA0"/>
    <w:rsid w:val="002E20F2"/>
    <w:rsid w:val="002E22BC"/>
    <w:rsid w:val="002E34BD"/>
    <w:rsid w:val="002E38F1"/>
    <w:rsid w:val="002E3C09"/>
    <w:rsid w:val="002E3C4B"/>
    <w:rsid w:val="002E45BF"/>
    <w:rsid w:val="002E577C"/>
    <w:rsid w:val="002E64A3"/>
    <w:rsid w:val="002E6C65"/>
    <w:rsid w:val="002E6DBF"/>
    <w:rsid w:val="002F0188"/>
    <w:rsid w:val="002F0A95"/>
    <w:rsid w:val="002F0C2E"/>
    <w:rsid w:val="002F1F6D"/>
    <w:rsid w:val="002F1F94"/>
    <w:rsid w:val="002F273A"/>
    <w:rsid w:val="002F2A8E"/>
    <w:rsid w:val="002F3F5A"/>
    <w:rsid w:val="002F45B7"/>
    <w:rsid w:val="002F53BC"/>
    <w:rsid w:val="002F583E"/>
    <w:rsid w:val="002F648B"/>
    <w:rsid w:val="002F7066"/>
    <w:rsid w:val="002F7B97"/>
    <w:rsid w:val="00300E43"/>
    <w:rsid w:val="00302389"/>
    <w:rsid w:val="003037DA"/>
    <w:rsid w:val="00303825"/>
    <w:rsid w:val="003039CE"/>
    <w:rsid w:val="00303AC8"/>
    <w:rsid w:val="00303F00"/>
    <w:rsid w:val="00304DC9"/>
    <w:rsid w:val="00305A39"/>
    <w:rsid w:val="00305A6A"/>
    <w:rsid w:val="00305E21"/>
    <w:rsid w:val="0030680C"/>
    <w:rsid w:val="00307225"/>
    <w:rsid w:val="00307650"/>
    <w:rsid w:val="00307CAC"/>
    <w:rsid w:val="00307EAF"/>
    <w:rsid w:val="00310546"/>
    <w:rsid w:val="00311522"/>
    <w:rsid w:val="0031196E"/>
    <w:rsid w:val="00312090"/>
    <w:rsid w:val="0031250C"/>
    <w:rsid w:val="00312AAB"/>
    <w:rsid w:val="003131E3"/>
    <w:rsid w:val="0031367F"/>
    <w:rsid w:val="00314361"/>
    <w:rsid w:val="00314B7F"/>
    <w:rsid w:val="00314F5D"/>
    <w:rsid w:val="00315C49"/>
    <w:rsid w:val="003171EF"/>
    <w:rsid w:val="00317D2D"/>
    <w:rsid w:val="00317DA6"/>
    <w:rsid w:val="00317F82"/>
    <w:rsid w:val="00320951"/>
    <w:rsid w:val="00321BFB"/>
    <w:rsid w:val="00322697"/>
    <w:rsid w:val="0032325D"/>
    <w:rsid w:val="00323561"/>
    <w:rsid w:val="00323AD4"/>
    <w:rsid w:val="00323CD6"/>
    <w:rsid w:val="00323F10"/>
    <w:rsid w:val="003240FF"/>
    <w:rsid w:val="0032425C"/>
    <w:rsid w:val="003248D2"/>
    <w:rsid w:val="003249EB"/>
    <w:rsid w:val="00325416"/>
    <w:rsid w:val="00325E2E"/>
    <w:rsid w:val="003260EA"/>
    <w:rsid w:val="00326219"/>
    <w:rsid w:val="0032696E"/>
    <w:rsid w:val="00326AC4"/>
    <w:rsid w:val="00326FBB"/>
    <w:rsid w:val="00327113"/>
    <w:rsid w:val="003275B2"/>
    <w:rsid w:val="00327B9B"/>
    <w:rsid w:val="00330110"/>
    <w:rsid w:val="003310AA"/>
    <w:rsid w:val="003319A0"/>
    <w:rsid w:val="00332A4C"/>
    <w:rsid w:val="00333652"/>
    <w:rsid w:val="00334321"/>
    <w:rsid w:val="003349AD"/>
    <w:rsid w:val="00334C94"/>
    <w:rsid w:val="0033543F"/>
    <w:rsid w:val="00335C7A"/>
    <w:rsid w:val="00335EB9"/>
    <w:rsid w:val="0033789B"/>
    <w:rsid w:val="00337B19"/>
    <w:rsid w:val="00340BDB"/>
    <w:rsid w:val="00340E49"/>
    <w:rsid w:val="00340F59"/>
    <w:rsid w:val="003411BA"/>
    <w:rsid w:val="003435A2"/>
    <w:rsid w:val="0034380F"/>
    <w:rsid w:val="00344688"/>
    <w:rsid w:val="00344E0A"/>
    <w:rsid w:val="00345D7F"/>
    <w:rsid w:val="00346551"/>
    <w:rsid w:val="00346CCE"/>
    <w:rsid w:val="00347154"/>
    <w:rsid w:val="003471A9"/>
    <w:rsid w:val="00347FAE"/>
    <w:rsid w:val="00350078"/>
    <w:rsid w:val="00350643"/>
    <w:rsid w:val="00350867"/>
    <w:rsid w:val="00350B37"/>
    <w:rsid w:val="00350F69"/>
    <w:rsid w:val="003515A1"/>
    <w:rsid w:val="00351A7C"/>
    <w:rsid w:val="00352519"/>
    <w:rsid w:val="003529A9"/>
    <w:rsid w:val="003529F3"/>
    <w:rsid w:val="00352F48"/>
    <w:rsid w:val="00353C62"/>
    <w:rsid w:val="00354723"/>
    <w:rsid w:val="00354FDC"/>
    <w:rsid w:val="003553D7"/>
    <w:rsid w:val="00355487"/>
    <w:rsid w:val="00355635"/>
    <w:rsid w:val="00355E94"/>
    <w:rsid w:val="003560FC"/>
    <w:rsid w:val="00357A26"/>
    <w:rsid w:val="00357DF2"/>
    <w:rsid w:val="00357ECE"/>
    <w:rsid w:val="003600A2"/>
    <w:rsid w:val="00360571"/>
    <w:rsid w:val="003607EB"/>
    <w:rsid w:val="00360B2B"/>
    <w:rsid w:val="003618A4"/>
    <w:rsid w:val="003620CF"/>
    <w:rsid w:val="00363BD8"/>
    <w:rsid w:val="00364460"/>
    <w:rsid w:val="003646F7"/>
    <w:rsid w:val="00364764"/>
    <w:rsid w:val="00364B55"/>
    <w:rsid w:val="00365041"/>
    <w:rsid w:val="00365318"/>
    <w:rsid w:val="00365448"/>
    <w:rsid w:val="00366E50"/>
    <w:rsid w:val="00367ADC"/>
    <w:rsid w:val="00367D2A"/>
    <w:rsid w:val="00370A7F"/>
    <w:rsid w:val="00371452"/>
    <w:rsid w:val="003729C2"/>
    <w:rsid w:val="00372F3B"/>
    <w:rsid w:val="003733D4"/>
    <w:rsid w:val="003749B1"/>
    <w:rsid w:val="00374F2B"/>
    <w:rsid w:val="00376381"/>
    <w:rsid w:val="00377CE8"/>
    <w:rsid w:val="00377E7F"/>
    <w:rsid w:val="003803CD"/>
    <w:rsid w:val="00380F99"/>
    <w:rsid w:val="003813AB"/>
    <w:rsid w:val="00382730"/>
    <w:rsid w:val="003845A3"/>
    <w:rsid w:val="00384864"/>
    <w:rsid w:val="00384ABA"/>
    <w:rsid w:val="00384AC2"/>
    <w:rsid w:val="00384F07"/>
    <w:rsid w:val="00385D2D"/>
    <w:rsid w:val="00386FA2"/>
    <w:rsid w:val="0039046B"/>
    <w:rsid w:val="0039095F"/>
    <w:rsid w:val="00390CF6"/>
    <w:rsid w:val="00391293"/>
    <w:rsid w:val="00391C3C"/>
    <w:rsid w:val="00391E8F"/>
    <w:rsid w:val="0039210D"/>
    <w:rsid w:val="00392684"/>
    <w:rsid w:val="00392BDC"/>
    <w:rsid w:val="003933C9"/>
    <w:rsid w:val="003950E7"/>
    <w:rsid w:val="0039561E"/>
    <w:rsid w:val="0039625C"/>
    <w:rsid w:val="00396B26"/>
    <w:rsid w:val="003976DC"/>
    <w:rsid w:val="00397B70"/>
    <w:rsid w:val="003A0AD9"/>
    <w:rsid w:val="003A0DEC"/>
    <w:rsid w:val="003A0EF5"/>
    <w:rsid w:val="003A1191"/>
    <w:rsid w:val="003A2F8F"/>
    <w:rsid w:val="003A3579"/>
    <w:rsid w:val="003A3AD4"/>
    <w:rsid w:val="003A3B33"/>
    <w:rsid w:val="003A46C5"/>
    <w:rsid w:val="003A51DC"/>
    <w:rsid w:val="003A527E"/>
    <w:rsid w:val="003A52CC"/>
    <w:rsid w:val="003A6663"/>
    <w:rsid w:val="003A7A9E"/>
    <w:rsid w:val="003A7F2A"/>
    <w:rsid w:val="003A7FE7"/>
    <w:rsid w:val="003B04A6"/>
    <w:rsid w:val="003B0CC2"/>
    <w:rsid w:val="003B0F75"/>
    <w:rsid w:val="003B1D16"/>
    <w:rsid w:val="003B2C3E"/>
    <w:rsid w:val="003B311D"/>
    <w:rsid w:val="003B355A"/>
    <w:rsid w:val="003B3A67"/>
    <w:rsid w:val="003B3C50"/>
    <w:rsid w:val="003B5678"/>
    <w:rsid w:val="003B601A"/>
    <w:rsid w:val="003B6596"/>
    <w:rsid w:val="003B661E"/>
    <w:rsid w:val="003B6F75"/>
    <w:rsid w:val="003B76D4"/>
    <w:rsid w:val="003B76E5"/>
    <w:rsid w:val="003C0779"/>
    <w:rsid w:val="003C0D0B"/>
    <w:rsid w:val="003C0D40"/>
    <w:rsid w:val="003C0F86"/>
    <w:rsid w:val="003C1348"/>
    <w:rsid w:val="003C1D7A"/>
    <w:rsid w:val="003C229C"/>
    <w:rsid w:val="003C2402"/>
    <w:rsid w:val="003C2413"/>
    <w:rsid w:val="003C24EB"/>
    <w:rsid w:val="003C3658"/>
    <w:rsid w:val="003C36E4"/>
    <w:rsid w:val="003C3808"/>
    <w:rsid w:val="003C3AC8"/>
    <w:rsid w:val="003C4105"/>
    <w:rsid w:val="003C45D1"/>
    <w:rsid w:val="003C5286"/>
    <w:rsid w:val="003C6D0E"/>
    <w:rsid w:val="003C6EA8"/>
    <w:rsid w:val="003C7197"/>
    <w:rsid w:val="003C7712"/>
    <w:rsid w:val="003C783F"/>
    <w:rsid w:val="003C7935"/>
    <w:rsid w:val="003C7F23"/>
    <w:rsid w:val="003D0036"/>
    <w:rsid w:val="003D029D"/>
    <w:rsid w:val="003D082D"/>
    <w:rsid w:val="003D16D6"/>
    <w:rsid w:val="003D2137"/>
    <w:rsid w:val="003D2311"/>
    <w:rsid w:val="003D297A"/>
    <w:rsid w:val="003D3249"/>
    <w:rsid w:val="003D3F89"/>
    <w:rsid w:val="003D5998"/>
    <w:rsid w:val="003D5D6E"/>
    <w:rsid w:val="003D6570"/>
    <w:rsid w:val="003D6D83"/>
    <w:rsid w:val="003D74DC"/>
    <w:rsid w:val="003E0120"/>
    <w:rsid w:val="003E0177"/>
    <w:rsid w:val="003E0DA1"/>
    <w:rsid w:val="003E19CB"/>
    <w:rsid w:val="003E22AA"/>
    <w:rsid w:val="003E28B9"/>
    <w:rsid w:val="003E2B2E"/>
    <w:rsid w:val="003E31C4"/>
    <w:rsid w:val="003E48DA"/>
    <w:rsid w:val="003E49F2"/>
    <w:rsid w:val="003E5143"/>
    <w:rsid w:val="003E58FB"/>
    <w:rsid w:val="003E6D2C"/>
    <w:rsid w:val="003E7DC0"/>
    <w:rsid w:val="003E7E21"/>
    <w:rsid w:val="003F00E9"/>
    <w:rsid w:val="003F0FC2"/>
    <w:rsid w:val="003F122D"/>
    <w:rsid w:val="003F12FE"/>
    <w:rsid w:val="003F1ECF"/>
    <w:rsid w:val="003F25FC"/>
    <w:rsid w:val="003F2731"/>
    <w:rsid w:val="003F2BA7"/>
    <w:rsid w:val="003F32D5"/>
    <w:rsid w:val="003F4B06"/>
    <w:rsid w:val="003F5B44"/>
    <w:rsid w:val="003F5E4A"/>
    <w:rsid w:val="003F62F6"/>
    <w:rsid w:val="003F6E5F"/>
    <w:rsid w:val="003F718D"/>
    <w:rsid w:val="003F73D8"/>
    <w:rsid w:val="003F73EC"/>
    <w:rsid w:val="003F7818"/>
    <w:rsid w:val="003F7B28"/>
    <w:rsid w:val="00401559"/>
    <w:rsid w:val="00402575"/>
    <w:rsid w:val="00402F2C"/>
    <w:rsid w:val="00402F9A"/>
    <w:rsid w:val="00403480"/>
    <w:rsid w:val="004038D2"/>
    <w:rsid w:val="00403E61"/>
    <w:rsid w:val="00404B56"/>
    <w:rsid w:val="00404EA9"/>
    <w:rsid w:val="00405649"/>
    <w:rsid w:val="00410D01"/>
    <w:rsid w:val="00410E2C"/>
    <w:rsid w:val="004110E8"/>
    <w:rsid w:val="00411809"/>
    <w:rsid w:val="00411818"/>
    <w:rsid w:val="00411908"/>
    <w:rsid w:val="00411B13"/>
    <w:rsid w:val="00412AC4"/>
    <w:rsid w:val="0041351F"/>
    <w:rsid w:val="00413ECF"/>
    <w:rsid w:val="00413F43"/>
    <w:rsid w:val="0041452C"/>
    <w:rsid w:val="00414C3A"/>
    <w:rsid w:val="00414D85"/>
    <w:rsid w:val="004159FA"/>
    <w:rsid w:val="00416CA5"/>
    <w:rsid w:val="004202BE"/>
    <w:rsid w:val="00420466"/>
    <w:rsid w:val="00420AE8"/>
    <w:rsid w:val="00420B0A"/>
    <w:rsid w:val="00422205"/>
    <w:rsid w:val="00422BEF"/>
    <w:rsid w:val="0042447D"/>
    <w:rsid w:val="00424C4D"/>
    <w:rsid w:val="00425EA5"/>
    <w:rsid w:val="004264DA"/>
    <w:rsid w:val="0042741A"/>
    <w:rsid w:val="004279A6"/>
    <w:rsid w:val="004309AA"/>
    <w:rsid w:val="004319F2"/>
    <w:rsid w:val="00431C83"/>
    <w:rsid w:val="00431E02"/>
    <w:rsid w:val="00432728"/>
    <w:rsid w:val="00432835"/>
    <w:rsid w:val="00432FE1"/>
    <w:rsid w:val="004338C5"/>
    <w:rsid w:val="00433C5B"/>
    <w:rsid w:val="00433D75"/>
    <w:rsid w:val="00434ADD"/>
    <w:rsid w:val="004351F8"/>
    <w:rsid w:val="004352D8"/>
    <w:rsid w:val="004359B3"/>
    <w:rsid w:val="00436E58"/>
    <w:rsid w:val="004376E5"/>
    <w:rsid w:val="00442163"/>
    <w:rsid w:val="00442F99"/>
    <w:rsid w:val="00443223"/>
    <w:rsid w:val="00443E3B"/>
    <w:rsid w:val="00444D8A"/>
    <w:rsid w:val="00444DC5"/>
    <w:rsid w:val="0044518B"/>
    <w:rsid w:val="00446327"/>
    <w:rsid w:val="004470C8"/>
    <w:rsid w:val="004479AC"/>
    <w:rsid w:val="00447C3B"/>
    <w:rsid w:val="00450895"/>
    <w:rsid w:val="0045174D"/>
    <w:rsid w:val="00451C35"/>
    <w:rsid w:val="00452607"/>
    <w:rsid w:val="00452841"/>
    <w:rsid w:val="004528EE"/>
    <w:rsid w:val="00452CD9"/>
    <w:rsid w:val="0045301C"/>
    <w:rsid w:val="004535F5"/>
    <w:rsid w:val="00453930"/>
    <w:rsid w:val="0045481F"/>
    <w:rsid w:val="00454D8F"/>
    <w:rsid w:val="0045508E"/>
    <w:rsid w:val="004551C6"/>
    <w:rsid w:val="00455DF2"/>
    <w:rsid w:val="00456073"/>
    <w:rsid w:val="004563B5"/>
    <w:rsid w:val="004568FA"/>
    <w:rsid w:val="00456E18"/>
    <w:rsid w:val="00456EBB"/>
    <w:rsid w:val="00457EC5"/>
    <w:rsid w:val="00457F70"/>
    <w:rsid w:val="00461BC5"/>
    <w:rsid w:val="004623A9"/>
    <w:rsid w:val="00463D59"/>
    <w:rsid w:val="004648CE"/>
    <w:rsid w:val="004663E7"/>
    <w:rsid w:val="00466A42"/>
    <w:rsid w:val="00466EC9"/>
    <w:rsid w:val="004677A1"/>
    <w:rsid w:val="00467B4E"/>
    <w:rsid w:val="00470298"/>
    <w:rsid w:val="00470E77"/>
    <w:rsid w:val="00471100"/>
    <w:rsid w:val="00471810"/>
    <w:rsid w:val="004729F7"/>
    <w:rsid w:val="00472EE0"/>
    <w:rsid w:val="004743B6"/>
    <w:rsid w:val="004756EC"/>
    <w:rsid w:val="0047591F"/>
    <w:rsid w:val="00475BF8"/>
    <w:rsid w:val="00475CBC"/>
    <w:rsid w:val="004762BA"/>
    <w:rsid w:val="00476AF7"/>
    <w:rsid w:val="00476E95"/>
    <w:rsid w:val="004801CA"/>
    <w:rsid w:val="00480502"/>
    <w:rsid w:val="00480C20"/>
    <w:rsid w:val="00481215"/>
    <w:rsid w:val="004820BE"/>
    <w:rsid w:val="004833D5"/>
    <w:rsid w:val="00483489"/>
    <w:rsid w:val="00483AD9"/>
    <w:rsid w:val="0048522A"/>
    <w:rsid w:val="00485DC1"/>
    <w:rsid w:val="00486B85"/>
    <w:rsid w:val="00486D75"/>
    <w:rsid w:val="0048728D"/>
    <w:rsid w:val="0048745E"/>
    <w:rsid w:val="00490C16"/>
    <w:rsid w:val="0049106B"/>
    <w:rsid w:val="00491669"/>
    <w:rsid w:val="004918BB"/>
    <w:rsid w:val="00491E48"/>
    <w:rsid w:val="004928CD"/>
    <w:rsid w:val="0049309A"/>
    <w:rsid w:val="0049311A"/>
    <w:rsid w:val="0049401B"/>
    <w:rsid w:val="00494D64"/>
    <w:rsid w:val="00495A33"/>
    <w:rsid w:val="00496A0D"/>
    <w:rsid w:val="00496AB0"/>
    <w:rsid w:val="00497B37"/>
    <w:rsid w:val="004A0279"/>
    <w:rsid w:val="004A07BA"/>
    <w:rsid w:val="004A1A98"/>
    <w:rsid w:val="004A4261"/>
    <w:rsid w:val="004A66F8"/>
    <w:rsid w:val="004A6751"/>
    <w:rsid w:val="004A6873"/>
    <w:rsid w:val="004A6898"/>
    <w:rsid w:val="004A6EBB"/>
    <w:rsid w:val="004A710C"/>
    <w:rsid w:val="004B018B"/>
    <w:rsid w:val="004B0FF9"/>
    <w:rsid w:val="004B163C"/>
    <w:rsid w:val="004B2833"/>
    <w:rsid w:val="004B2A4F"/>
    <w:rsid w:val="004B2E5A"/>
    <w:rsid w:val="004B2EA3"/>
    <w:rsid w:val="004B31AD"/>
    <w:rsid w:val="004B53EB"/>
    <w:rsid w:val="004B595C"/>
    <w:rsid w:val="004B5BE1"/>
    <w:rsid w:val="004B5D54"/>
    <w:rsid w:val="004B6AD1"/>
    <w:rsid w:val="004B6C0E"/>
    <w:rsid w:val="004B7E71"/>
    <w:rsid w:val="004C03CC"/>
    <w:rsid w:val="004C042A"/>
    <w:rsid w:val="004C084A"/>
    <w:rsid w:val="004C1B6A"/>
    <w:rsid w:val="004C1B73"/>
    <w:rsid w:val="004C1C52"/>
    <w:rsid w:val="004C247B"/>
    <w:rsid w:val="004C4106"/>
    <w:rsid w:val="004C4402"/>
    <w:rsid w:val="004C6EF0"/>
    <w:rsid w:val="004C78CB"/>
    <w:rsid w:val="004D08CB"/>
    <w:rsid w:val="004D0929"/>
    <w:rsid w:val="004D151B"/>
    <w:rsid w:val="004D152B"/>
    <w:rsid w:val="004D15EF"/>
    <w:rsid w:val="004D1619"/>
    <w:rsid w:val="004D1FFD"/>
    <w:rsid w:val="004D2C76"/>
    <w:rsid w:val="004D3DC1"/>
    <w:rsid w:val="004D4887"/>
    <w:rsid w:val="004D5426"/>
    <w:rsid w:val="004D5A59"/>
    <w:rsid w:val="004D696F"/>
    <w:rsid w:val="004D6B12"/>
    <w:rsid w:val="004D6C19"/>
    <w:rsid w:val="004D6C28"/>
    <w:rsid w:val="004D6CC9"/>
    <w:rsid w:val="004D6D43"/>
    <w:rsid w:val="004D74C9"/>
    <w:rsid w:val="004D7C28"/>
    <w:rsid w:val="004E0745"/>
    <w:rsid w:val="004E1231"/>
    <w:rsid w:val="004E17DC"/>
    <w:rsid w:val="004E19AD"/>
    <w:rsid w:val="004E2640"/>
    <w:rsid w:val="004E2E65"/>
    <w:rsid w:val="004E491C"/>
    <w:rsid w:val="004E7328"/>
    <w:rsid w:val="004E7542"/>
    <w:rsid w:val="004E7BC3"/>
    <w:rsid w:val="004E7F8F"/>
    <w:rsid w:val="004E7F90"/>
    <w:rsid w:val="004F0729"/>
    <w:rsid w:val="004F1F2B"/>
    <w:rsid w:val="004F1F4A"/>
    <w:rsid w:val="004F22C8"/>
    <w:rsid w:val="004F2BFE"/>
    <w:rsid w:val="004F3D84"/>
    <w:rsid w:val="004F54EF"/>
    <w:rsid w:val="004F6834"/>
    <w:rsid w:val="004F696B"/>
    <w:rsid w:val="004F69A4"/>
    <w:rsid w:val="004F7121"/>
    <w:rsid w:val="004F761E"/>
    <w:rsid w:val="00500D31"/>
    <w:rsid w:val="005023E7"/>
    <w:rsid w:val="0050347E"/>
    <w:rsid w:val="005035B5"/>
    <w:rsid w:val="005035B6"/>
    <w:rsid w:val="00504157"/>
    <w:rsid w:val="00504297"/>
    <w:rsid w:val="005050FA"/>
    <w:rsid w:val="00505A1E"/>
    <w:rsid w:val="00505A5D"/>
    <w:rsid w:val="0050627B"/>
    <w:rsid w:val="00506324"/>
    <w:rsid w:val="00506340"/>
    <w:rsid w:val="00506851"/>
    <w:rsid w:val="00506B4D"/>
    <w:rsid w:val="00506C77"/>
    <w:rsid w:val="00507405"/>
    <w:rsid w:val="005078AA"/>
    <w:rsid w:val="005079F2"/>
    <w:rsid w:val="00507A64"/>
    <w:rsid w:val="0051299B"/>
    <w:rsid w:val="005144FD"/>
    <w:rsid w:val="00514527"/>
    <w:rsid w:val="0051485E"/>
    <w:rsid w:val="00514991"/>
    <w:rsid w:val="00514D86"/>
    <w:rsid w:val="0051519E"/>
    <w:rsid w:val="005155DB"/>
    <w:rsid w:val="00515C3C"/>
    <w:rsid w:val="00515E42"/>
    <w:rsid w:val="00516B1F"/>
    <w:rsid w:val="00516B7C"/>
    <w:rsid w:val="00516C22"/>
    <w:rsid w:val="0051763F"/>
    <w:rsid w:val="0051795C"/>
    <w:rsid w:val="00517DEE"/>
    <w:rsid w:val="0052026E"/>
    <w:rsid w:val="00520A0C"/>
    <w:rsid w:val="00521B41"/>
    <w:rsid w:val="005223B5"/>
    <w:rsid w:val="00522844"/>
    <w:rsid w:val="00523117"/>
    <w:rsid w:val="00523636"/>
    <w:rsid w:val="00523903"/>
    <w:rsid w:val="00524B57"/>
    <w:rsid w:val="00526032"/>
    <w:rsid w:val="005263AD"/>
    <w:rsid w:val="0052666F"/>
    <w:rsid w:val="00527B94"/>
    <w:rsid w:val="00527C81"/>
    <w:rsid w:val="005305C4"/>
    <w:rsid w:val="005306ED"/>
    <w:rsid w:val="00531FBD"/>
    <w:rsid w:val="005321ED"/>
    <w:rsid w:val="00532924"/>
    <w:rsid w:val="00532DB3"/>
    <w:rsid w:val="005348B6"/>
    <w:rsid w:val="005355BA"/>
    <w:rsid w:val="005363A9"/>
    <w:rsid w:val="00536AA4"/>
    <w:rsid w:val="00536B5C"/>
    <w:rsid w:val="00537607"/>
    <w:rsid w:val="00537DFA"/>
    <w:rsid w:val="00537E5B"/>
    <w:rsid w:val="00541F22"/>
    <w:rsid w:val="00543E37"/>
    <w:rsid w:val="005441DE"/>
    <w:rsid w:val="005443F5"/>
    <w:rsid w:val="00544598"/>
    <w:rsid w:val="00544642"/>
    <w:rsid w:val="00545194"/>
    <w:rsid w:val="005456E1"/>
    <w:rsid w:val="00545952"/>
    <w:rsid w:val="0054648F"/>
    <w:rsid w:val="005467B8"/>
    <w:rsid w:val="00546819"/>
    <w:rsid w:val="005471E6"/>
    <w:rsid w:val="00547846"/>
    <w:rsid w:val="00547880"/>
    <w:rsid w:val="00547897"/>
    <w:rsid w:val="0055140D"/>
    <w:rsid w:val="00551FF5"/>
    <w:rsid w:val="00552553"/>
    <w:rsid w:val="00552A7B"/>
    <w:rsid w:val="00552B0C"/>
    <w:rsid w:val="00553C20"/>
    <w:rsid w:val="00554936"/>
    <w:rsid w:val="0055532A"/>
    <w:rsid w:val="005558DF"/>
    <w:rsid w:val="00556679"/>
    <w:rsid w:val="00556DC2"/>
    <w:rsid w:val="00557178"/>
    <w:rsid w:val="00557BB5"/>
    <w:rsid w:val="00557FDD"/>
    <w:rsid w:val="00560A86"/>
    <w:rsid w:val="0056189B"/>
    <w:rsid w:val="00562042"/>
    <w:rsid w:val="005621A8"/>
    <w:rsid w:val="00563213"/>
    <w:rsid w:val="00564235"/>
    <w:rsid w:val="005643A2"/>
    <w:rsid w:val="00564821"/>
    <w:rsid w:val="00564847"/>
    <w:rsid w:val="00564BE3"/>
    <w:rsid w:val="00564DA5"/>
    <w:rsid w:val="005655E7"/>
    <w:rsid w:val="00565AE9"/>
    <w:rsid w:val="0056612A"/>
    <w:rsid w:val="005661EE"/>
    <w:rsid w:val="00567572"/>
    <w:rsid w:val="0056776B"/>
    <w:rsid w:val="00567ABF"/>
    <w:rsid w:val="0057037D"/>
    <w:rsid w:val="00570382"/>
    <w:rsid w:val="00570B21"/>
    <w:rsid w:val="0057159A"/>
    <w:rsid w:val="005723E3"/>
    <w:rsid w:val="005726C1"/>
    <w:rsid w:val="005735B0"/>
    <w:rsid w:val="00573A78"/>
    <w:rsid w:val="005741DE"/>
    <w:rsid w:val="005742CA"/>
    <w:rsid w:val="0057555F"/>
    <w:rsid w:val="00576B4F"/>
    <w:rsid w:val="00577A69"/>
    <w:rsid w:val="00580770"/>
    <w:rsid w:val="00581C48"/>
    <w:rsid w:val="0058240E"/>
    <w:rsid w:val="00582675"/>
    <w:rsid w:val="005830D0"/>
    <w:rsid w:val="00583697"/>
    <w:rsid w:val="00583CC1"/>
    <w:rsid w:val="00584159"/>
    <w:rsid w:val="005847B0"/>
    <w:rsid w:val="00584BCA"/>
    <w:rsid w:val="00586338"/>
    <w:rsid w:val="00586D3B"/>
    <w:rsid w:val="005872AE"/>
    <w:rsid w:val="00587553"/>
    <w:rsid w:val="00587660"/>
    <w:rsid w:val="0058777E"/>
    <w:rsid w:val="005877D2"/>
    <w:rsid w:val="00587D72"/>
    <w:rsid w:val="00587FE8"/>
    <w:rsid w:val="005904B3"/>
    <w:rsid w:val="005904DA"/>
    <w:rsid w:val="005909F5"/>
    <w:rsid w:val="005913FB"/>
    <w:rsid w:val="00591B78"/>
    <w:rsid w:val="00592166"/>
    <w:rsid w:val="005925E5"/>
    <w:rsid w:val="00592EF5"/>
    <w:rsid w:val="00593374"/>
    <w:rsid w:val="005947CD"/>
    <w:rsid w:val="00594D2F"/>
    <w:rsid w:val="00594E66"/>
    <w:rsid w:val="005950A0"/>
    <w:rsid w:val="005966CE"/>
    <w:rsid w:val="00596854"/>
    <w:rsid w:val="00596D62"/>
    <w:rsid w:val="005973FD"/>
    <w:rsid w:val="00597D61"/>
    <w:rsid w:val="005A08F6"/>
    <w:rsid w:val="005A0E6B"/>
    <w:rsid w:val="005A0E95"/>
    <w:rsid w:val="005A16D5"/>
    <w:rsid w:val="005A182B"/>
    <w:rsid w:val="005A1EBE"/>
    <w:rsid w:val="005A2636"/>
    <w:rsid w:val="005A2B74"/>
    <w:rsid w:val="005A300F"/>
    <w:rsid w:val="005A31B9"/>
    <w:rsid w:val="005A3618"/>
    <w:rsid w:val="005A3FEA"/>
    <w:rsid w:val="005A416A"/>
    <w:rsid w:val="005A5C79"/>
    <w:rsid w:val="005A6023"/>
    <w:rsid w:val="005A60B2"/>
    <w:rsid w:val="005A66FC"/>
    <w:rsid w:val="005B0382"/>
    <w:rsid w:val="005B110A"/>
    <w:rsid w:val="005B2349"/>
    <w:rsid w:val="005B2771"/>
    <w:rsid w:val="005B2E74"/>
    <w:rsid w:val="005B381B"/>
    <w:rsid w:val="005B4251"/>
    <w:rsid w:val="005B47D3"/>
    <w:rsid w:val="005B50AF"/>
    <w:rsid w:val="005B5978"/>
    <w:rsid w:val="005B7406"/>
    <w:rsid w:val="005B7E15"/>
    <w:rsid w:val="005C019B"/>
    <w:rsid w:val="005C03D5"/>
    <w:rsid w:val="005C0B1C"/>
    <w:rsid w:val="005C0EF6"/>
    <w:rsid w:val="005C1A67"/>
    <w:rsid w:val="005C1DAF"/>
    <w:rsid w:val="005C20D4"/>
    <w:rsid w:val="005C25C1"/>
    <w:rsid w:val="005C28C4"/>
    <w:rsid w:val="005C38BC"/>
    <w:rsid w:val="005C400E"/>
    <w:rsid w:val="005C459C"/>
    <w:rsid w:val="005C4922"/>
    <w:rsid w:val="005C4A00"/>
    <w:rsid w:val="005C4D73"/>
    <w:rsid w:val="005C5041"/>
    <w:rsid w:val="005C52E3"/>
    <w:rsid w:val="005C5376"/>
    <w:rsid w:val="005C598D"/>
    <w:rsid w:val="005C5FCB"/>
    <w:rsid w:val="005C625A"/>
    <w:rsid w:val="005C7735"/>
    <w:rsid w:val="005C7DDF"/>
    <w:rsid w:val="005D1179"/>
    <w:rsid w:val="005D2088"/>
    <w:rsid w:val="005D334A"/>
    <w:rsid w:val="005D3D3F"/>
    <w:rsid w:val="005D4139"/>
    <w:rsid w:val="005D4882"/>
    <w:rsid w:val="005D6431"/>
    <w:rsid w:val="005D6B96"/>
    <w:rsid w:val="005D7244"/>
    <w:rsid w:val="005D724E"/>
    <w:rsid w:val="005D7574"/>
    <w:rsid w:val="005D75B7"/>
    <w:rsid w:val="005D7676"/>
    <w:rsid w:val="005D7721"/>
    <w:rsid w:val="005D7779"/>
    <w:rsid w:val="005D7935"/>
    <w:rsid w:val="005D79C8"/>
    <w:rsid w:val="005E06E3"/>
    <w:rsid w:val="005E0C1C"/>
    <w:rsid w:val="005E10C1"/>
    <w:rsid w:val="005E126F"/>
    <w:rsid w:val="005E199C"/>
    <w:rsid w:val="005E19DF"/>
    <w:rsid w:val="005E227A"/>
    <w:rsid w:val="005E3566"/>
    <w:rsid w:val="005E5353"/>
    <w:rsid w:val="005E5FB8"/>
    <w:rsid w:val="005E5FE2"/>
    <w:rsid w:val="005E6C5B"/>
    <w:rsid w:val="005E6FA5"/>
    <w:rsid w:val="005E7E7C"/>
    <w:rsid w:val="005F05C5"/>
    <w:rsid w:val="005F05D8"/>
    <w:rsid w:val="005F0D83"/>
    <w:rsid w:val="005F19D8"/>
    <w:rsid w:val="005F1C03"/>
    <w:rsid w:val="005F21D6"/>
    <w:rsid w:val="005F2FBB"/>
    <w:rsid w:val="005F3E62"/>
    <w:rsid w:val="005F400C"/>
    <w:rsid w:val="005F450B"/>
    <w:rsid w:val="005F490F"/>
    <w:rsid w:val="005F4B66"/>
    <w:rsid w:val="005F4B8E"/>
    <w:rsid w:val="005F5784"/>
    <w:rsid w:val="005F61BC"/>
    <w:rsid w:val="005F69C5"/>
    <w:rsid w:val="005F6EF9"/>
    <w:rsid w:val="00601509"/>
    <w:rsid w:val="006016E1"/>
    <w:rsid w:val="00601796"/>
    <w:rsid w:val="0060180D"/>
    <w:rsid w:val="006020E0"/>
    <w:rsid w:val="00602A6A"/>
    <w:rsid w:val="00603D10"/>
    <w:rsid w:val="00604086"/>
    <w:rsid w:val="00604159"/>
    <w:rsid w:val="00607505"/>
    <w:rsid w:val="00607869"/>
    <w:rsid w:val="006100D0"/>
    <w:rsid w:val="006108CC"/>
    <w:rsid w:val="00610C20"/>
    <w:rsid w:val="006118AC"/>
    <w:rsid w:val="0061283A"/>
    <w:rsid w:val="00612DBF"/>
    <w:rsid w:val="00613762"/>
    <w:rsid w:val="00613C04"/>
    <w:rsid w:val="0061409F"/>
    <w:rsid w:val="006148BD"/>
    <w:rsid w:val="00617912"/>
    <w:rsid w:val="006225D0"/>
    <w:rsid w:val="006229A8"/>
    <w:rsid w:val="00622E43"/>
    <w:rsid w:val="00623092"/>
    <w:rsid w:val="00623235"/>
    <w:rsid w:val="006232F7"/>
    <w:rsid w:val="00623F4A"/>
    <w:rsid w:val="0062434B"/>
    <w:rsid w:val="0062445D"/>
    <w:rsid w:val="00625388"/>
    <w:rsid w:val="006256D3"/>
    <w:rsid w:val="00625FA1"/>
    <w:rsid w:val="00625FCB"/>
    <w:rsid w:val="00626261"/>
    <w:rsid w:val="006275D7"/>
    <w:rsid w:val="00627C2A"/>
    <w:rsid w:val="0063033F"/>
    <w:rsid w:val="0063183E"/>
    <w:rsid w:val="00632EFC"/>
    <w:rsid w:val="00632F3A"/>
    <w:rsid w:val="0063358A"/>
    <w:rsid w:val="0063418F"/>
    <w:rsid w:val="0063427C"/>
    <w:rsid w:val="0063585D"/>
    <w:rsid w:val="00636428"/>
    <w:rsid w:val="00636950"/>
    <w:rsid w:val="006375E1"/>
    <w:rsid w:val="00637B57"/>
    <w:rsid w:val="00637D3D"/>
    <w:rsid w:val="0064042B"/>
    <w:rsid w:val="00640820"/>
    <w:rsid w:val="0064103C"/>
    <w:rsid w:val="006414D2"/>
    <w:rsid w:val="00641A74"/>
    <w:rsid w:val="00642D18"/>
    <w:rsid w:val="00643207"/>
    <w:rsid w:val="00643F66"/>
    <w:rsid w:val="006443F0"/>
    <w:rsid w:val="00645F27"/>
    <w:rsid w:val="00646046"/>
    <w:rsid w:val="00647111"/>
    <w:rsid w:val="00650679"/>
    <w:rsid w:val="00651201"/>
    <w:rsid w:val="006514BD"/>
    <w:rsid w:val="00651978"/>
    <w:rsid w:val="00651AC2"/>
    <w:rsid w:val="00652275"/>
    <w:rsid w:val="00652B5B"/>
    <w:rsid w:val="0065354D"/>
    <w:rsid w:val="006539E2"/>
    <w:rsid w:val="00654838"/>
    <w:rsid w:val="0065510A"/>
    <w:rsid w:val="00655C52"/>
    <w:rsid w:val="00655D7F"/>
    <w:rsid w:val="00655DD5"/>
    <w:rsid w:val="00656B4A"/>
    <w:rsid w:val="00656C63"/>
    <w:rsid w:val="00656C99"/>
    <w:rsid w:val="00657679"/>
    <w:rsid w:val="00657716"/>
    <w:rsid w:val="006579F4"/>
    <w:rsid w:val="00657B22"/>
    <w:rsid w:val="00660008"/>
    <w:rsid w:val="00661043"/>
    <w:rsid w:val="00661413"/>
    <w:rsid w:val="00661B40"/>
    <w:rsid w:val="00661C62"/>
    <w:rsid w:val="00661E02"/>
    <w:rsid w:val="00661FF6"/>
    <w:rsid w:val="0066305D"/>
    <w:rsid w:val="00664D74"/>
    <w:rsid w:val="00664F3D"/>
    <w:rsid w:val="00665F30"/>
    <w:rsid w:val="00666DDA"/>
    <w:rsid w:val="00667598"/>
    <w:rsid w:val="00667B8B"/>
    <w:rsid w:val="00667FB0"/>
    <w:rsid w:val="0067079C"/>
    <w:rsid w:val="00671852"/>
    <w:rsid w:val="00671BED"/>
    <w:rsid w:val="006721CE"/>
    <w:rsid w:val="00672B5D"/>
    <w:rsid w:val="00672DB3"/>
    <w:rsid w:val="00673E7D"/>
    <w:rsid w:val="006748D0"/>
    <w:rsid w:val="0067494E"/>
    <w:rsid w:val="00674FB6"/>
    <w:rsid w:val="00675A57"/>
    <w:rsid w:val="00675E2C"/>
    <w:rsid w:val="00676E3E"/>
    <w:rsid w:val="00680711"/>
    <w:rsid w:val="00680C71"/>
    <w:rsid w:val="00680FC7"/>
    <w:rsid w:val="006813FC"/>
    <w:rsid w:val="0068156E"/>
    <w:rsid w:val="0068224C"/>
    <w:rsid w:val="006833F2"/>
    <w:rsid w:val="0068422F"/>
    <w:rsid w:val="00684F6F"/>
    <w:rsid w:val="006850A8"/>
    <w:rsid w:val="00687DEE"/>
    <w:rsid w:val="00687E78"/>
    <w:rsid w:val="00690673"/>
    <w:rsid w:val="00690F98"/>
    <w:rsid w:val="006922AD"/>
    <w:rsid w:val="00692397"/>
    <w:rsid w:val="006947A0"/>
    <w:rsid w:val="006947F4"/>
    <w:rsid w:val="006948BA"/>
    <w:rsid w:val="00694A5E"/>
    <w:rsid w:val="00694FDC"/>
    <w:rsid w:val="0069567D"/>
    <w:rsid w:val="006956A1"/>
    <w:rsid w:val="006967D2"/>
    <w:rsid w:val="0069680B"/>
    <w:rsid w:val="00696DA6"/>
    <w:rsid w:val="00697258"/>
    <w:rsid w:val="0069736D"/>
    <w:rsid w:val="006A0361"/>
    <w:rsid w:val="006A06A6"/>
    <w:rsid w:val="006A1909"/>
    <w:rsid w:val="006A2259"/>
    <w:rsid w:val="006A2393"/>
    <w:rsid w:val="006A2A16"/>
    <w:rsid w:val="006A2DD0"/>
    <w:rsid w:val="006A2ED3"/>
    <w:rsid w:val="006A3419"/>
    <w:rsid w:val="006A3A9D"/>
    <w:rsid w:val="006A46FF"/>
    <w:rsid w:val="006A5235"/>
    <w:rsid w:val="006A55A0"/>
    <w:rsid w:val="006A731D"/>
    <w:rsid w:val="006A737E"/>
    <w:rsid w:val="006B0CF6"/>
    <w:rsid w:val="006B1DDB"/>
    <w:rsid w:val="006B2E57"/>
    <w:rsid w:val="006B5105"/>
    <w:rsid w:val="006B5918"/>
    <w:rsid w:val="006B5952"/>
    <w:rsid w:val="006B5BB6"/>
    <w:rsid w:val="006B6197"/>
    <w:rsid w:val="006B62D3"/>
    <w:rsid w:val="006B6463"/>
    <w:rsid w:val="006B6633"/>
    <w:rsid w:val="006B7302"/>
    <w:rsid w:val="006B7814"/>
    <w:rsid w:val="006C03BB"/>
    <w:rsid w:val="006C0506"/>
    <w:rsid w:val="006C0C30"/>
    <w:rsid w:val="006C0E5D"/>
    <w:rsid w:val="006C0E9D"/>
    <w:rsid w:val="006C154B"/>
    <w:rsid w:val="006C26EE"/>
    <w:rsid w:val="006C287A"/>
    <w:rsid w:val="006C300C"/>
    <w:rsid w:val="006C37AE"/>
    <w:rsid w:val="006C38B2"/>
    <w:rsid w:val="006C4F13"/>
    <w:rsid w:val="006C5C57"/>
    <w:rsid w:val="006C738B"/>
    <w:rsid w:val="006C7471"/>
    <w:rsid w:val="006C75A1"/>
    <w:rsid w:val="006D0854"/>
    <w:rsid w:val="006D16C8"/>
    <w:rsid w:val="006D1CAC"/>
    <w:rsid w:val="006D268D"/>
    <w:rsid w:val="006D33D0"/>
    <w:rsid w:val="006D3420"/>
    <w:rsid w:val="006D41CC"/>
    <w:rsid w:val="006D590C"/>
    <w:rsid w:val="006D5A3F"/>
    <w:rsid w:val="006D5FDD"/>
    <w:rsid w:val="006D6963"/>
    <w:rsid w:val="006D6EEA"/>
    <w:rsid w:val="006D7990"/>
    <w:rsid w:val="006D7E1B"/>
    <w:rsid w:val="006E1164"/>
    <w:rsid w:val="006E13ED"/>
    <w:rsid w:val="006E15B8"/>
    <w:rsid w:val="006E24BA"/>
    <w:rsid w:val="006E2659"/>
    <w:rsid w:val="006E3297"/>
    <w:rsid w:val="006E3E5E"/>
    <w:rsid w:val="006E43F5"/>
    <w:rsid w:val="006E5630"/>
    <w:rsid w:val="006E5E9B"/>
    <w:rsid w:val="006E60B3"/>
    <w:rsid w:val="006E60B8"/>
    <w:rsid w:val="006E6772"/>
    <w:rsid w:val="006E6EF1"/>
    <w:rsid w:val="006E7733"/>
    <w:rsid w:val="006F0072"/>
    <w:rsid w:val="006F21FF"/>
    <w:rsid w:val="006F2B7A"/>
    <w:rsid w:val="006F2F32"/>
    <w:rsid w:val="006F4BDE"/>
    <w:rsid w:val="006F4FB2"/>
    <w:rsid w:val="006F5660"/>
    <w:rsid w:val="006F6190"/>
    <w:rsid w:val="006F6795"/>
    <w:rsid w:val="006F68D8"/>
    <w:rsid w:val="007014D8"/>
    <w:rsid w:val="00702B4F"/>
    <w:rsid w:val="00702FFF"/>
    <w:rsid w:val="0070367D"/>
    <w:rsid w:val="0070388E"/>
    <w:rsid w:val="00704227"/>
    <w:rsid w:val="007042FB"/>
    <w:rsid w:val="00704DA4"/>
    <w:rsid w:val="007057F2"/>
    <w:rsid w:val="00705D2C"/>
    <w:rsid w:val="007063D6"/>
    <w:rsid w:val="00706798"/>
    <w:rsid w:val="00706D6A"/>
    <w:rsid w:val="007072C3"/>
    <w:rsid w:val="00707396"/>
    <w:rsid w:val="00710596"/>
    <w:rsid w:val="00711D34"/>
    <w:rsid w:val="00712690"/>
    <w:rsid w:val="007127F1"/>
    <w:rsid w:val="00712D11"/>
    <w:rsid w:val="00713A0E"/>
    <w:rsid w:val="0071436D"/>
    <w:rsid w:val="007149D6"/>
    <w:rsid w:val="007154C7"/>
    <w:rsid w:val="00715B88"/>
    <w:rsid w:val="00716DC8"/>
    <w:rsid w:val="0071701F"/>
    <w:rsid w:val="007171ED"/>
    <w:rsid w:val="00717A83"/>
    <w:rsid w:val="00720226"/>
    <w:rsid w:val="00721128"/>
    <w:rsid w:val="00721447"/>
    <w:rsid w:val="0072317F"/>
    <w:rsid w:val="007232D7"/>
    <w:rsid w:val="0072373E"/>
    <w:rsid w:val="00725A62"/>
    <w:rsid w:val="00726005"/>
    <w:rsid w:val="00726148"/>
    <w:rsid w:val="007268D7"/>
    <w:rsid w:val="00726FDF"/>
    <w:rsid w:val="007277D7"/>
    <w:rsid w:val="007309E7"/>
    <w:rsid w:val="00730C35"/>
    <w:rsid w:val="00732EE3"/>
    <w:rsid w:val="007337C3"/>
    <w:rsid w:val="00733D26"/>
    <w:rsid w:val="00736FD1"/>
    <w:rsid w:val="007375ED"/>
    <w:rsid w:val="007403DE"/>
    <w:rsid w:val="007407F1"/>
    <w:rsid w:val="007410D4"/>
    <w:rsid w:val="00741178"/>
    <w:rsid w:val="00742963"/>
    <w:rsid w:val="00743039"/>
    <w:rsid w:val="00743554"/>
    <w:rsid w:val="007438E3"/>
    <w:rsid w:val="0074421B"/>
    <w:rsid w:val="00745616"/>
    <w:rsid w:val="00745DF8"/>
    <w:rsid w:val="007471F9"/>
    <w:rsid w:val="0075025D"/>
    <w:rsid w:val="00750451"/>
    <w:rsid w:val="007521CF"/>
    <w:rsid w:val="007525E6"/>
    <w:rsid w:val="0075277B"/>
    <w:rsid w:val="00752ADC"/>
    <w:rsid w:val="007537FB"/>
    <w:rsid w:val="00753F63"/>
    <w:rsid w:val="00754B7E"/>
    <w:rsid w:val="007557AF"/>
    <w:rsid w:val="00756752"/>
    <w:rsid w:val="00756852"/>
    <w:rsid w:val="00757605"/>
    <w:rsid w:val="00757633"/>
    <w:rsid w:val="00757753"/>
    <w:rsid w:val="0075790C"/>
    <w:rsid w:val="00757B3A"/>
    <w:rsid w:val="00760839"/>
    <w:rsid w:val="00761536"/>
    <w:rsid w:val="0076189D"/>
    <w:rsid w:val="00761C8D"/>
    <w:rsid w:val="00761E09"/>
    <w:rsid w:val="0076200F"/>
    <w:rsid w:val="00762639"/>
    <w:rsid w:val="00762C1C"/>
    <w:rsid w:val="0076428A"/>
    <w:rsid w:val="00764557"/>
    <w:rsid w:val="0076598F"/>
    <w:rsid w:val="00765EE0"/>
    <w:rsid w:val="00766241"/>
    <w:rsid w:val="00766B2F"/>
    <w:rsid w:val="00766DBF"/>
    <w:rsid w:val="007710D1"/>
    <w:rsid w:val="00771AA8"/>
    <w:rsid w:val="00772B2C"/>
    <w:rsid w:val="00774D30"/>
    <w:rsid w:val="007752A3"/>
    <w:rsid w:val="00775881"/>
    <w:rsid w:val="00775A94"/>
    <w:rsid w:val="0077627D"/>
    <w:rsid w:val="007768A4"/>
    <w:rsid w:val="00776979"/>
    <w:rsid w:val="00776F7C"/>
    <w:rsid w:val="007805B1"/>
    <w:rsid w:val="007811E1"/>
    <w:rsid w:val="007812BA"/>
    <w:rsid w:val="0078148A"/>
    <w:rsid w:val="00781754"/>
    <w:rsid w:val="00781C6B"/>
    <w:rsid w:val="00781F1F"/>
    <w:rsid w:val="00782E8B"/>
    <w:rsid w:val="00783177"/>
    <w:rsid w:val="00783834"/>
    <w:rsid w:val="007842BA"/>
    <w:rsid w:val="0078432F"/>
    <w:rsid w:val="00784A5B"/>
    <w:rsid w:val="007855A2"/>
    <w:rsid w:val="00785A7C"/>
    <w:rsid w:val="00785AB0"/>
    <w:rsid w:val="00786C65"/>
    <w:rsid w:val="007873B4"/>
    <w:rsid w:val="007915C6"/>
    <w:rsid w:val="00791D20"/>
    <w:rsid w:val="007928AC"/>
    <w:rsid w:val="00792D02"/>
    <w:rsid w:val="00792E67"/>
    <w:rsid w:val="00793166"/>
    <w:rsid w:val="00793697"/>
    <w:rsid w:val="007938A3"/>
    <w:rsid w:val="00793A4C"/>
    <w:rsid w:val="00793EC1"/>
    <w:rsid w:val="007940FD"/>
    <w:rsid w:val="007943C0"/>
    <w:rsid w:val="007945D9"/>
    <w:rsid w:val="00794940"/>
    <w:rsid w:val="00796CE6"/>
    <w:rsid w:val="007973AA"/>
    <w:rsid w:val="00797C42"/>
    <w:rsid w:val="00797CBD"/>
    <w:rsid w:val="007A0633"/>
    <w:rsid w:val="007A085C"/>
    <w:rsid w:val="007A1181"/>
    <w:rsid w:val="007A190C"/>
    <w:rsid w:val="007A247F"/>
    <w:rsid w:val="007A2ECA"/>
    <w:rsid w:val="007A3373"/>
    <w:rsid w:val="007A3382"/>
    <w:rsid w:val="007A457D"/>
    <w:rsid w:val="007A4625"/>
    <w:rsid w:val="007A4BC9"/>
    <w:rsid w:val="007A596D"/>
    <w:rsid w:val="007A5F7E"/>
    <w:rsid w:val="007A6D06"/>
    <w:rsid w:val="007A7C1D"/>
    <w:rsid w:val="007B0142"/>
    <w:rsid w:val="007B0AA5"/>
    <w:rsid w:val="007B0B85"/>
    <w:rsid w:val="007B19D2"/>
    <w:rsid w:val="007B1A2E"/>
    <w:rsid w:val="007B1C55"/>
    <w:rsid w:val="007B27A5"/>
    <w:rsid w:val="007B2B46"/>
    <w:rsid w:val="007B2FA6"/>
    <w:rsid w:val="007B3F65"/>
    <w:rsid w:val="007B4F7D"/>
    <w:rsid w:val="007B51A0"/>
    <w:rsid w:val="007B56E5"/>
    <w:rsid w:val="007B5B28"/>
    <w:rsid w:val="007B5BA7"/>
    <w:rsid w:val="007B61E1"/>
    <w:rsid w:val="007B6D63"/>
    <w:rsid w:val="007B6D68"/>
    <w:rsid w:val="007B7643"/>
    <w:rsid w:val="007B7754"/>
    <w:rsid w:val="007C1879"/>
    <w:rsid w:val="007C368B"/>
    <w:rsid w:val="007C371F"/>
    <w:rsid w:val="007C3D21"/>
    <w:rsid w:val="007C4297"/>
    <w:rsid w:val="007C45E1"/>
    <w:rsid w:val="007C4694"/>
    <w:rsid w:val="007C72DA"/>
    <w:rsid w:val="007C75CD"/>
    <w:rsid w:val="007C7EF2"/>
    <w:rsid w:val="007D26FE"/>
    <w:rsid w:val="007D277A"/>
    <w:rsid w:val="007D3386"/>
    <w:rsid w:val="007D3E6C"/>
    <w:rsid w:val="007D4BF7"/>
    <w:rsid w:val="007D50DD"/>
    <w:rsid w:val="007D61AA"/>
    <w:rsid w:val="007D6999"/>
    <w:rsid w:val="007D6A7A"/>
    <w:rsid w:val="007E16F1"/>
    <w:rsid w:val="007E2152"/>
    <w:rsid w:val="007E28C9"/>
    <w:rsid w:val="007E299E"/>
    <w:rsid w:val="007E2C20"/>
    <w:rsid w:val="007E2C97"/>
    <w:rsid w:val="007E37AA"/>
    <w:rsid w:val="007E3914"/>
    <w:rsid w:val="007E3C0A"/>
    <w:rsid w:val="007E4029"/>
    <w:rsid w:val="007E4E54"/>
    <w:rsid w:val="007E5B34"/>
    <w:rsid w:val="007E6ABF"/>
    <w:rsid w:val="007E7675"/>
    <w:rsid w:val="007F01B0"/>
    <w:rsid w:val="007F02C5"/>
    <w:rsid w:val="007F121A"/>
    <w:rsid w:val="007F17A9"/>
    <w:rsid w:val="007F2D62"/>
    <w:rsid w:val="007F317F"/>
    <w:rsid w:val="007F341E"/>
    <w:rsid w:val="007F3C9E"/>
    <w:rsid w:val="007F3DD6"/>
    <w:rsid w:val="007F4062"/>
    <w:rsid w:val="007F425D"/>
    <w:rsid w:val="007F4276"/>
    <w:rsid w:val="007F5C71"/>
    <w:rsid w:val="007F65CD"/>
    <w:rsid w:val="007F6A2E"/>
    <w:rsid w:val="007F7431"/>
    <w:rsid w:val="007F7777"/>
    <w:rsid w:val="007F7CD9"/>
    <w:rsid w:val="008001EC"/>
    <w:rsid w:val="008005BF"/>
    <w:rsid w:val="008007B7"/>
    <w:rsid w:val="00800BAE"/>
    <w:rsid w:val="008017A4"/>
    <w:rsid w:val="00802BB2"/>
    <w:rsid w:val="00802D3E"/>
    <w:rsid w:val="008030B3"/>
    <w:rsid w:val="008030FF"/>
    <w:rsid w:val="00803329"/>
    <w:rsid w:val="00803851"/>
    <w:rsid w:val="00803990"/>
    <w:rsid w:val="008048F1"/>
    <w:rsid w:val="00804E4F"/>
    <w:rsid w:val="00804EDB"/>
    <w:rsid w:val="0080544A"/>
    <w:rsid w:val="00805643"/>
    <w:rsid w:val="00805CDF"/>
    <w:rsid w:val="00806B9C"/>
    <w:rsid w:val="00807941"/>
    <w:rsid w:val="00810F0A"/>
    <w:rsid w:val="008116AA"/>
    <w:rsid w:val="0081181E"/>
    <w:rsid w:val="00811ACD"/>
    <w:rsid w:val="00811E6B"/>
    <w:rsid w:val="00811E75"/>
    <w:rsid w:val="00812038"/>
    <w:rsid w:val="00812045"/>
    <w:rsid w:val="00813AEF"/>
    <w:rsid w:val="0081403B"/>
    <w:rsid w:val="008153A9"/>
    <w:rsid w:val="0081559A"/>
    <w:rsid w:val="00815762"/>
    <w:rsid w:val="00815A69"/>
    <w:rsid w:val="00815D4B"/>
    <w:rsid w:val="008163A4"/>
    <w:rsid w:val="00816670"/>
    <w:rsid w:val="008167D3"/>
    <w:rsid w:val="00817117"/>
    <w:rsid w:val="00820C3F"/>
    <w:rsid w:val="00820DEB"/>
    <w:rsid w:val="008211E2"/>
    <w:rsid w:val="00821BEC"/>
    <w:rsid w:val="00822433"/>
    <w:rsid w:val="0082248B"/>
    <w:rsid w:val="00823953"/>
    <w:rsid w:val="00823B00"/>
    <w:rsid w:val="00824A59"/>
    <w:rsid w:val="00826719"/>
    <w:rsid w:val="008276BC"/>
    <w:rsid w:val="00827887"/>
    <w:rsid w:val="00830130"/>
    <w:rsid w:val="00831843"/>
    <w:rsid w:val="00831F38"/>
    <w:rsid w:val="00832171"/>
    <w:rsid w:val="00832358"/>
    <w:rsid w:val="00832584"/>
    <w:rsid w:val="00832609"/>
    <w:rsid w:val="0083291F"/>
    <w:rsid w:val="00832FF4"/>
    <w:rsid w:val="00833A99"/>
    <w:rsid w:val="00834665"/>
    <w:rsid w:val="0083547B"/>
    <w:rsid w:val="008356CF"/>
    <w:rsid w:val="00835BED"/>
    <w:rsid w:val="00835EA7"/>
    <w:rsid w:val="00836777"/>
    <w:rsid w:val="008368DB"/>
    <w:rsid w:val="00840E39"/>
    <w:rsid w:val="0084198F"/>
    <w:rsid w:val="00843276"/>
    <w:rsid w:val="00844D6B"/>
    <w:rsid w:val="0084531B"/>
    <w:rsid w:val="00845A77"/>
    <w:rsid w:val="00846229"/>
    <w:rsid w:val="0084623D"/>
    <w:rsid w:val="00846D59"/>
    <w:rsid w:val="00846EEA"/>
    <w:rsid w:val="00847124"/>
    <w:rsid w:val="00847D4F"/>
    <w:rsid w:val="00847D71"/>
    <w:rsid w:val="00850155"/>
    <w:rsid w:val="0085102D"/>
    <w:rsid w:val="00851DEC"/>
    <w:rsid w:val="00852842"/>
    <w:rsid w:val="00852919"/>
    <w:rsid w:val="008530D8"/>
    <w:rsid w:val="0085324F"/>
    <w:rsid w:val="00853911"/>
    <w:rsid w:val="00854621"/>
    <w:rsid w:val="008549EA"/>
    <w:rsid w:val="0085517B"/>
    <w:rsid w:val="0085577D"/>
    <w:rsid w:val="00855F5F"/>
    <w:rsid w:val="00857E21"/>
    <w:rsid w:val="00860351"/>
    <w:rsid w:val="00861EA5"/>
    <w:rsid w:val="0086392F"/>
    <w:rsid w:val="0086393F"/>
    <w:rsid w:val="00863B01"/>
    <w:rsid w:val="0086478C"/>
    <w:rsid w:val="0086531F"/>
    <w:rsid w:val="00865810"/>
    <w:rsid w:val="008665A5"/>
    <w:rsid w:val="008667FD"/>
    <w:rsid w:val="00866895"/>
    <w:rsid w:val="0086765B"/>
    <w:rsid w:val="00870CD1"/>
    <w:rsid w:val="008712BD"/>
    <w:rsid w:val="008715E8"/>
    <w:rsid w:val="008718DC"/>
    <w:rsid w:val="0087198A"/>
    <w:rsid w:val="00871ABD"/>
    <w:rsid w:val="00871C59"/>
    <w:rsid w:val="00874415"/>
    <w:rsid w:val="00876999"/>
    <w:rsid w:val="008774A4"/>
    <w:rsid w:val="0087762F"/>
    <w:rsid w:val="008778D7"/>
    <w:rsid w:val="00880874"/>
    <w:rsid w:val="00882178"/>
    <w:rsid w:val="00882A9D"/>
    <w:rsid w:val="008846A1"/>
    <w:rsid w:val="00884A55"/>
    <w:rsid w:val="00884DFE"/>
    <w:rsid w:val="00885603"/>
    <w:rsid w:val="008859B4"/>
    <w:rsid w:val="008866B2"/>
    <w:rsid w:val="0088764D"/>
    <w:rsid w:val="00887685"/>
    <w:rsid w:val="0088796C"/>
    <w:rsid w:val="00887B83"/>
    <w:rsid w:val="00887CA4"/>
    <w:rsid w:val="008908C2"/>
    <w:rsid w:val="00890E36"/>
    <w:rsid w:val="00891270"/>
    <w:rsid w:val="008918AF"/>
    <w:rsid w:val="00891921"/>
    <w:rsid w:val="00891C57"/>
    <w:rsid w:val="0089232C"/>
    <w:rsid w:val="00892A3C"/>
    <w:rsid w:val="00892C73"/>
    <w:rsid w:val="00893192"/>
    <w:rsid w:val="008933EC"/>
    <w:rsid w:val="0089349D"/>
    <w:rsid w:val="00893B96"/>
    <w:rsid w:val="00894DCA"/>
    <w:rsid w:val="00894DDD"/>
    <w:rsid w:val="00894FC4"/>
    <w:rsid w:val="008952A3"/>
    <w:rsid w:val="00896185"/>
    <w:rsid w:val="008961C9"/>
    <w:rsid w:val="0089651A"/>
    <w:rsid w:val="00896B3A"/>
    <w:rsid w:val="00896CB5"/>
    <w:rsid w:val="00897228"/>
    <w:rsid w:val="0089744C"/>
    <w:rsid w:val="008A0012"/>
    <w:rsid w:val="008A11F3"/>
    <w:rsid w:val="008A1E79"/>
    <w:rsid w:val="008A1EBA"/>
    <w:rsid w:val="008A22A0"/>
    <w:rsid w:val="008A2668"/>
    <w:rsid w:val="008A2CC7"/>
    <w:rsid w:val="008A2F5E"/>
    <w:rsid w:val="008A348E"/>
    <w:rsid w:val="008A4681"/>
    <w:rsid w:val="008A54F8"/>
    <w:rsid w:val="008A55C4"/>
    <w:rsid w:val="008A61E0"/>
    <w:rsid w:val="008B1184"/>
    <w:rsid w:val="008B1542"/>
    <w:rsid w:val="008B1800"/>
    <w:rsid w:val="008B1C2F"/>
    <w:rsid w:val="008B328E"/>
    <w:rsid w:val="008B400B"/>
    <w:rsid w:val="008B43F6"/>
    <w:rsid w:val="008B5876"/>
    <w:rsid w:val="008B59CB"/>
    <w:rsid w:val="008B6D9C"/>
    <w:rsid w:val="008B75C3"/>
    <w:rsid w:val="008B7B4A"/>
    <w:rsid w:val="008C0236"/>
    <w:rsid w:val="008C218F"/>
    <w:rsid w:val="008C2398"/>
    <w:rsid w:val="008C2564"/>
    <w:rsid w:val="008C2820"/>
    <w:rsid w:val="008C2869"/>
    <w:rsid w:val="008C2E57"/>
    <w:rsid w:val="008C30BA"/>
    <w:rsid w:val="008C3336"/>
    <w:rsid w:val="008C3CE1"/>
    <w:rsid w:val="008C3E77"/>
    <w:rsid w:val="008C46F9"/>
    <w:rsid w:val="008C48DF"/>
    <w:rsid w:val="008C4940"/>
    <w:rsid w:val="008C52A5"/>
    <w:rsid w:val="008C52DF"/>
    <w:rsid w:val="008C5E1F"/>
    <w:rsid w:val="008C6102"/>
    <w:rsid w:val="008C6C52"/>
    <w:rsid w:val="008C76AC"/>
    <w:rsid w:val="008D00D3"/>
    <w:rsid w:val="008D0CDE"/>
    <w:rsid w:val="008D0F32"/>
    <w:rsid w:val="008D0F99"/>
    <w:rsid w:val="008D13C3"/>
    <w:rsid w:val="008D2841"/>
    <w:rsid w:val="008D3B8E"/>
    <w:rsid w:val="008D3E4C"/>
    <w:rsid w:val="008D48E6"/>
    <w:rsid w:val="008D547C"/>
    <w:rsid w:val="008D54B6"/>
    <w:rsid w:val="008D598E"/>
    <w:rsid w:val="008D5F92"/>
    <w:rsid w:val="008D6B07"/>
    <w:rsid w:val="008D6BFC"/>
    <w:rsid w:val="008D7385"/>
    <w:rsid w:val="008D76BA"/>
    <w:rsid w:val="008D77E3"/>
    <w:rsid w:val="008D7D6B"/>
    <w:rsid w:val="008D7ECD"/>
    <w:rsid w:val="008E0A2B"/>
    <w:rsid w:val="008E0BCC"/>
    <w:rsid w:val="008E1B00"/>
    <w:rsid w:val="008E1B6F"/>
    <w:rsid w:val="008E2088"/>
    <w:rsid w:val="008E216C"/>
    <w:rsid w:val="008E2650"/>
    <w:rsid w:val="008E2F42"/>
    <w:rsid w:val="008E2F81"/>
    <w:rsid w:val="008E31AD"/>
    <w:rsid w:val="008E38CC"/>
    <w:rsid w:val="008E3D25"/>
    <w:rsid w:val="008E6591"/>
    <w:rsid w:val="008E763A"/>
    <w:rsid w:val="008E78C0"/>
    <w:rsid w:val="008E7FF5"/>
    <w:rsid w:val="008F0450"/>
    <w:rsid w:val="008F0761"/>
    <w:rsid w:val="008F1BF5"/>
    <w:rsid w:val="008F2646"/>
    <w:rsid w:val="008F35F2"/>
    <w:rsid w:val="008F3606"/>
    <w:rsid w:val="008F53DF"/>
    <w:rsid w:val="008F6C5E"/>
    <w:rsid w:val="008F6F42"/>
    <w:rsid w:val="008F7465"/>
    <w:rsid w:val="008F76C2"/>
    <w:rsid w:val="00900A81"/>
    <w:rsid w:val="00900A92"/>
    <w:rsid w:val="00900F20"/>
    <w:rsid w:val="00902C63"/>
    <w:rsid w:val="00902D9A"/>
    <w:rsid w:val="00902E42"/>
    <w:rsid w:val="00903C7B"/>
    <w:rsid w:val="00904CAF"/>
    <w:rsid w:val="00905498"/>
    <w:rsid w:val="00906049"/>
    <w:rsid w:val="0090669C"/>
    <w:rsid w:val="00906708"/>
    <w:rsid w:val="0090708C"/>
    <w:rsid w:val="0090765B"/>
    <w:rsid w:val="009100D2"/>
    <w:rsid w:val="00910377"/>
    <w:rsid w:val="0091049E"/>
    <w:rsid w:val="00910529"/>
    <w:rsid w:val="00910833"/>
    <w:rsid w:val="00910AC1"/>
    <w:rsid w:val="00911509"/>
    <w:rsid w:val="00911511"/>
    <w:rsid w:val="0091225E"/>
    <w:rsid w:val="00912973"/>
    <w:rsid w:val="00913205"/>
    <w:rsid w:val="00913A4C"/>
    <w:rsid w:val="00913CB5"/>
    <w:rsid w:val="009148E0"/>
    <w:rsid w:val="00915524"/>
    <w:rsid w:val="00915A5E"/>
    <w:rsid w:val="00915C36"/>
    <w:rsid w:val="009167CB"/>
    <w:rsid w:val="00916EEE"/>
    <w:rsid w:val="0091784E"/>
    <w:rsid w:val="00917A91"/>
    <w:rsid w:val="00920D16"/>
    <w:rsid w:val="00922043"/>
    <w:rsid w:val="00922573"/>
    <w:rsid w:val="00922924"/>
    <w:rsid w:val="00922B66"/>
    <w:rsid w:val="00922E64"/>
    <w:rsid w:val="009237E3"/>
    <w:rsid w:val="00924272"/>
    <w:rsid w:val="009245DA"/>
    <w:rsid w:val="009256AF"/>
    <w:rsid w:val="00926623"/>
    <w:rsid w:val="00926875"/>
    <w:rsid w:val="009268E0"/>
    <w:rsid w:val="00926F28"/>
    <w:rsid w:val="009305F7"/>
    <w:rsid w:val="009317F9"/>
    <w:rsid w:val="00932178"/>
    <w:rsid w:val="00932326"/>
    <w:rsid w:val="0093260E"/>
    <w:rsid w:val="009331FD"/>
    <w:rsid w:val="00933610"/>
    <w:rsid w:val="00933BCD"/>
    <w:rsid w:val="00933C4B"/>
    <w:rsid w:val="00933F4C"/>
    <w:rsid w:val="00934376"/>
    <w:rsid w:val="00934547"/>
    <w:rsid w:val="009348B6"/>
    <w:rsid w:val="00935256"/>
    <w:rsid w:val="0093525E"/>
    <w:rsid w:val="00935601"/>
    <w:rsid w:val="00936CFF"/>
    <w:rsid w:val="00937F59"/>
    <w:rsid w:val="009402B2"/>
    <w:rsid w:val="009405B6"/>
    <w:rsid w:val="00940934"/>
    <w:rsid w:val="009414CA"/>
    <w:rsid w:val="00941979"/>
    <w:rsid w:val="00941FA4"/>
    <w:rsid w:val="00942B37"/>
    <w:rsid w:val="00942C39"/>
    <w:rsid w:val="00943EA5"/>
    <w:rsid w:val="00943F0A"/>
    <w:rsid w:val="00944C3C"/>
    <w:rsid w:val="009451C3"/>
    <w:rsid w:val="00946029"/>
    <w:rsid w:val="00946977"/>
    <w:rsid w:val="009478E6"/>
    <w:rsid w:val="00947BC0"/>
    <w:rsid w:val="009500C7"/>
    <w:rsid w:val="00950547"/>
    <w:rsid w:val="009506F7"/>
    <w:rsid w:val="00952094"/>
    <w:rsid w:val="009529BF"/>
    <w:rsid w:val="0095478A"/>
    <w:rsid w:val="00954A9A"/>
    <w:rsid w:val="009559B3"/>
    <w:rsid w:val="00955A7F"/>
    <w:rsid w:val="00955F82"/>
    <w:rsid w:val="00956985"/>
    <w:rsid w:val="00956B27"/>
    <w:rsid w:val="0095728D"/>
    <w:rsid w:val="00957A4E"/>
    <w:rsid w:val="00957CED"/>
    <w:rsid w:val="00960333"/>
    <w:rsid w:val="00960566"/>
    <w:rsid w:val="00961B08"/>
    <w:rsid w:val="0096249E"/>
    <w:rsid w:val="00962C61"/>
    <w:rsid w:val="00963421"/>
    <w:rsid w:val="0096456B"/>
    <w:rsid w:val="00964BB8"/>
    <w:rsid w:val="00964FE9"/>
    <w:rsid w:val="009653E7"/>
    <w:rsid w:val="00965D3F"/>
    <w:rsid w:val="0096701F"/>
    <w:rsid w:val="00967088"/>
    <w:rsid w:val="00967A3C"/>
    <w:rsid w:val="00967DA7"/>
    <w:rsid w:val="00970A4D"/>
    <w:rsid w:val="00970C2D"/>
    <w:rsid w:val="00970D4E"/>
    <w:rsid w:val="0097108A"/>
    <w:rsid w:val="009715ED"/>
    <w:rsid w:val="00972EF1"/>
    <w:rsid w:val="00972F36"/>
    <w:rsid w:val="0097343B"/>
    <w:rsid w:val="00973665"/>
    <w:rsid w:val="00973F0C"/>
    <w:rsid w:val="00973FA7"/>
    <w:rsid w:val="009746FE"/>
    <w:rsid w:val="00974B1F"/>
    <w:rsid w:val="00975FBF"/>
    <w:rsid w:val="00976257"/>
    <w:rsid w:val="009767F0"/>
    <w:rsid w:val="00976FFA"/>
    <w:rsid w:val="00977206"/>
    <w:rsid w:val="00977492"/>
    <w:rsid w:val="00977971"/>
    <w:rsid w:val="00977E9C"/>
    <w:rsid w:val="00977FF4"/>
    <w:rsid w:val="00980129"/>
    <w:rsid w:val="009804AF"/>
    <w:rsid w:val="00980CAE"/>
    <w:rsid w:val="00982020"/>
    <w:rsid w:val="009820CE"/>
    <w:rsid w:val="009823CD"/>
    <w:rsid w:val="009825BB"/>
    <w:rsid w:val="00982695"/>
    <w:rsid w:val="00982B4C"/>
    <w:rsid w:val="00984716"/>
    <w:rsid w:val="00984ED8"/>
    <w:rsid w:val="00985BBE"/>
    <w:rsid w:val="00987E61"/>
    <w:rsid w:val="009945EA"/>
    <w:rsid w:val="0099470D"/>
    <w:rsid w:val="00995E85"/>
    <w:rsid w:val="00995F62"/>
    <w:rsid w:val="00996333"/>
    <w:rsid w:val="00996E25"/>
    <w:rsid w:val="00997F58"/>
    <w:rsid w:val="009A02AE"/>
    <w:rsid w:val="009A0967"/>
    <w:rsid w:val="009A0EB4"/>
    <w:rsid w:val="009A1E28"/>
    <w:rsid w:val="009A3A3A"/>
    <w:rsid w:val="009A444C"/>
    <w:rsid w:val="009A451B"/>
    <w:rsid w:val="009A520B"/>
    <w:rsid w:val="009A57D4"/>
    <w:rsid w:val="009A5BE8"/>
    <w:rsid w:val="009A5E42"/>
    <w:rsid w:val="009A6BFA"/>
    <w:rsid w:val="009A7144"/>
    <w:rsid w:val="009A7612"/>
    <w:rsid w:val="009A78D1"/>
    <w:rsid w:val="009A7EDD"/>
    <w:rsid w:val="009B0264"/>
    <w:rsid w:val="009B0D79"/>
    <w:rsid w:val="009B22B5"/>
    <w:rsid w:val="009B2F94"/>
    <w:rsid w:val="009B34B4"/>
    <w:rsid w:val="009B4280"/>
    <w:rsid w:val="009B58E6"/>
    <w:rsid w:val="009B6515"/>
    <w:rsid w:val="009B66D3"/>
    <w:rsid w:val="009C0089"/>
    <w:rsid w:val="009C1D3F"/>
    <w:rsid w:val="009C2881"/>
    <w:rsid w:val="009C2A4E"/>
    <w:rsid w:val="009C2B61"/>
    <w:rsid w:val="009C2D4B"/>
    <w:rsid w:val="009C3041"/>
    <w:rsid w:val="009C464E"/>
    <w:rsid w:val="009C4DAE"/>
    <w:rsid w:val="009C4EEF"/>
    <w:rsid w:val="009C5417"/>
    <w:rsid w:val="009C5703"/>
    <w:rsid w:val="009C64DB"/>
    <w:rsid w:val="009C6955"/>
    <w:rsid w:val="009C6FFA"/>
    <w:rsid w:val="009C6FFB"/>
    <w:rsid w:val="009C7608"/>
    <w:rsid w:val="009C7AC0"/>
    <w:rsid w:val="009C7CD0"/>
    <w:rsid w:val="009D046F"/>
    <w:rsid w:val="009D0EE8"/>
    <w:rsid w:val="009D121E"/>
    <w:rsid w:val="009D1D9A"/>
    <w:rsid w:val="009D2CB0"/>
    <w:rsid w:val="009D43DF"/>
    <w:rsid w:val="009D46FD"/>
    <w:rsid w:val="009D4797"/>
    <w:rsid w:val="009D5470"/>
    <w:rsid w:val="009D54C3"/>
    <w:rsid w:val="009D5655"/>
    <w:rsid w:val="009D5E73"/>
    <w:rsid w:val="009D5FC0"/>
    <w:rsid w:val="009D5FC8"/>
    <w:rsid w:val="009D6C5C"/>
    <w:rsid w:val="009D7E97"/>
    <w:rsid w:val="009D7EAA"/>
    <w:rsid w:val="009E032A"/>
    <w:rsid w:val="009E063E"/>
    <w:rsid w:val="009E0932"/>
    <w:rsid w:val="009E0E7B"/>
    <w:rsid w:val="009E1588"/>
    <w:rsid w:val="009E165E"/>
    <w:rsid w:val="009E184B"/>
    <w:rsid w:val="009E3975"/>
    <w:rsid w:val="009E4B43"/>
    <w:rsid w:val="009E50EB"/>
    <w:rsid w:val="009E5787"/>
    <w:rsid w:val="009E5963"/>
    <w:rsid w:val="009E5CC4"/>
    <w:rsid w:val="009E6250"/>
    <w:rsid w:val="009E6449"/>
    <w:rsid w:val="009E66FD"/>
    <w:rsid w:val="009E6A2D"/>
    <w:rsid w:val="009E708E"/>
    <w:rsid w:val="009E73A8"/>
    <w:rsid w:val="009E7E82"/>
    <w:rsid w:val="009F0DD9"/>
    <w:rsid w:val="009F1077"/>
    <w:rsid w:val="009F246D"/>
    <w:rsid w:val="009F29D0"/>
    <w:rsid w:val="009F2CE0"/>
    <w:rsid w:val="009F38AA"/>
    <w:rsid w:val="009F4E4D"/>
    <w:rsid w:val="009F4FF9"/>
    <w:rsid w:val="009F5F24"/>
    <w:rsid w:val="009F7599"/>
    <w:rsid w:val="009F79B6"/>
    <w:rsid w:val="009F7E35"/>
    <w:rsid w:val="009F7E85"/>
    <w:rsid w:val="00A00132"/>
    <w:rsid w:val="00A00EA0"/>
    <w:rsid w:val="00A02325"/>
    <w:rsid w:val="00A024A2"/>
    <w:rsid w:val="00A0321A"/>
    <w:rsid w:val="00A03524"/>
    <w:rsid w:val="00A03DA1"/>
    <w:rsid w:val="00A042BB"/>
    <w:rsid w:val="00A05394"/>
    <w:rsid w:val="00A05901"/>
    <w:rsid w:val="00A05962"/>
    <w:rsid w:val="00A06090"/>
    <w:rsid w:val="00A06596"/>
    <w:rsid w:val="00A06FBC"/>
    <w:rsid w:val="00A0746C"/>
    <w:rsid w:val="00A07626"/>
    <w:rsid w:val="00A07B7B"/>
    <w:rsid w:val="00A10B2D"/>
    <w:rsid w:val="00A10F12"/>
    <w:rsid w:val="00A11403"/>
    <w:rsid w:val="00A11D60"/>
    <w:rsid w:val="00A1241E"/>
    <w:rsid w:val="00A1268B"/>
    <w:rsid w:val="00A1291F"/>
    <w:rsid w:val="00A13FEA"/>
    <w:rsid w:val="00A14054"/>
    <w:rsid w:val="00A159C1"/>
    <w:rsid w:val="00A163E2"/>
    <w:rsid w:val="00A16743"/>
    <w:rsid w:val="00A169DF"/>
    <w:rsid w:val="00A16B39"/>
    <w:rsid w:val="00A16D22"/>
    <w:rsid w:val="00A16E9D"/>
    <w:rsid w:val="00A2040A"/>
    <w:rsid w:val="00A21282"/>
    <w:rsid w:val="00A21584"/>
    <w:rsid w:val="00A21F34"/>
    <w:rsid w:val="00A221B9"/>
    <w:rsid w:val="00A2254B"/>
    <w:rsid w:val="00A226E4"/>
    <w:rsid w:val="00A22A2A"/>
    <w:rsid w:val="00A22E8F"/>
    <w:rsid w:val="00A23363"/>
    <w:rsid w:val="00A23377"/>
    <w:rsid w:val="00A236F3"/>
    <w:rsid w:val="00A247D2"/>
    <w:rsid w:val="00A250F9"/>
    <w:rsid w:val="00A26551"/>
    <w:rsid w:val="00A305E7"/>
    <w:rsid w:val="00A30699"/>
    <w:rsid w:val="00A30745"/>
    <w:rsid w:val="00A30E14"/>
    <w:rsid w:val="00A312DD"/>
    <w:rsid w:val="00A31539"/>
    <w:rsid w:val="00A31D8E"/>
    <w:rsid w:val="00A32023"/>
    <w:rsid w:val="00A3285E"/>
    <w:rsid w:val="00A33177"/>
    <w:rsid w:val="00A335EA"/>
    <w:rsid w:val="00A34AA1"/>
    <w:rsid w:val="00A34F44"/>
    <w:rsid w:val="00A36184"/>
    <w:rsid w:val="00A365CC"/>
    <w:rsid w:val="00A36868"/>
    <w:rsid w:val="00A37191"/>
    <w:rsid w:val="00A37416"/>
    <w:rsid w:val="00A37957"/>
    <w:rsid w:val="00A4024B"/>
    <w:rsid w:val="00A403A8"/>
    <w:rsid w:val="00A403ED"/>
    <w:rsid w:val="00A40934"/>
    <w:rsid w:val="00A40E5A"/>
    <w:rsid w:val="00A417B1"/>
    <w:rsid w:val="00A42640"/>
    <w:rsid w:val="00A43CBF"/>
    <w:rsid w:val="00A44B96"/>
    <w:rsid w:val="00A45482"/>
    <w:rsid w:val="00A456AD"/>
    <w:rsid w:val="00A45EF9"/>
    <w:rsid w:val="00A46016"/>
    <w:rsid w:val="00A46276"/>
    <w:rsid w:val="00A46437"/>
    <w:rsid w:val="00A46D5B"/>
    <w:rsid w:val="00A46F02"/>
    <w:rsid w:val="00A4772D"/>
    <w:rsid w:val="00A500D2"/>
    <w:rsid w:val="00A50FCE"/>
    <w:rsid w:val="00A517E8"/>
    <w:rsid w:val="00A52C89"/>
    <w:rsid w:val="00A52D8B"/>
    <w:rsid w:val="00A533A8"/>
    <w:rsid w:val="00A533E5"/>
    <w:rsid w:val="00A53E30"/>
    <w:rsid w:val="00A53F8D"/>
    <w:rsid w:val="00A540F0"/>
    <w:rsid w:val="00A54DDA"/>
    <w:rsid w:val="00A55AD6"/>
    <w:rsid w:val="00A55B47"/>
    <w:rsid w:val="00A55CC6"/>
    <w:rsid w:val="00A55EAF"/>
    <w:rsid w:val="00A5646F"/>
    <w:rsid w:val="00A5652F"/>
    <w:rsid w:val="00A56DAE"/>
    <w:rsid w:val="00A577A4"/>
    <w:rsid w:val="00A61BE1"/>
    <w:rsid w:val="00A624AC"/>
    <w:rsid w:val="00A626F5"/>
    <w:rsid w:val="00A6287A"/>
    <w:rsid w:val="00A6295B"/>
    <w:rsid w:val="00A63971"/>
    <w:rsid w:val="00A63BBB"/>
    <w:rsid w:val="00A63DF1"/>
    <w:rsid w:val="00A63F7B"/>
    <w:rsid w:val="00A64D0F"/>
    <w:rsid w:val="00A653E6"/>
    <w:rsid w:val="00A659DA"/>
    <w:rsid w:val="00A65EAC"/>
    <w:rsid w:val="00A66E25"/>
    <w:rsid w:val="00A6710E"/>
    <w:rsid w:val="00A6783D"/>
    <w:rsid w:val="00A67A99"/>
    <w:rsid w:val="00A70366"/>
    <w:rsid w:val="00A7166A"/>
    <w:rsid w:val="00A72978"/>
    <w:rsid w:val="00A7310F"/>
    <w:rsid w:val="00A7486E"/>
    <w:rsid w:val="00A750D0"/>
    <w:rsid w:val="00A75673"/>
    <w:rsid w:val="00A76C9D"/>
    <w:rsid w:val="00A7751D"/>
    <w:rsid w:val="00A80AB1"/>
    <w:rsid w:val="00A8191C"/>
    <w:rsid w:val="00A81C99"/>
    <w:rsid w:val="00A82781"/>
    <w:rsid w:val="00A827CF"/>
    <w:rsid w:val="00A82A79"/>
    <w:rsid w:val="00A82B7C"/>
    <w:rsid w:val="00A8319E"/>
    <w:rsid w:val="00A846E7"/>
    <w:rsid w:val="00A857CF"/>
    <w:rsid w:val="00A85F68"/>
    <w:rsid w:val="00A86047"/>
    <w:rsid w:val="00A87D22"/>
    <w:rsid w:val="00A87F92"/>
    <w:rsid w:val="00A90AB3"/>
    <w:rsid w:val="00A9179A"/>
    <w:rsid w:val="00A91DDE"/>
    <w:rsid w:val="00A92633"/>
    <w:rsid w:val="00A926E6"/>
    <w:rsid w:val="00A93696"/>
    <w:rsid w:val="00A936E9"/>
    <w:rsid w:val="00A93C07"/>
    <w:rsid w:val="00A93EEC"/>
    <w:rsid w:val="00A9427D"/>
    <w:rsid w:val="00A94583"/>
    <w:rsid w:val="00A94778"/>
    <w:rsid w:val="00A9580F"/>
    <w:rsid w:val="00A95810"/>
    <w:rsid w:val="00A95922"/>
    <w:rsid w:val="00A9599F"/>
    <w:rsid w:val="00A9602D"/>
    <w:rsid w:val="00A963D1"/>
    <w:rsid w:val="00A97375"/>
    <w:rsid w:val="00A97905"/>
    <w:rsid w:val="00A97ABC"/>
    <w:rsid w:val="00AA01DF"/>
    <w:rsid w:val="00AA0BC8"/>
    <w:rsid w:val="00AA0F1C"/>
    <w:rsid w:val="00AA0FDF"/>
    <w:rsid w:val="00AA121F"/>
    <w:rsid w:val="00AA1771"/>
    <w:rsid w:val="00AA187F"/>
    <w:rsid w:val="00AA1EF1"/>
    <w:rsid w:val="00AA272D"/>
    <w:rsid w:val="00AA295E"/>
    <w:rsid w:val="00AA3553"/>
    <w:rsid w:val="00AA35EB"/>
    <w:rsid w:val="00AA3B55"/>
    <w:rsid w:val="00AA4833"/>
    <w:rsid w:val="00AA48BE"/>
    <w:rsid w:val="00AA4BE3"/>
    <w:rsid w:val="00AA5462"/>
    <w:rsid w:val="00AA5552"/>
    <w:rsid w:val="00AA62C3"/>
    <w:rsid w:val="00AA6563"/>
    <w:rsid w:val="00AA6A59"/>
    <w:rsid w:val="00AA7147"/>
    <w:rsid w:val="00AA724A"/>
    <w:rsid w:val="00AA72A1"/>
    <w:rsid w:val="00AA791A"/>
    <w:rsid w:val="00AB0190"/>
    <w:rsid w:val="00AB0F0E"/>
    <w:rsid w:val="00AB1699"/>
    <w:rsid w:val="00AB2B93"/>
    <w:rsid w:val="00AB2DA0"/>
    <w:rsid w:val="00AB31B6"/>
    <w:rsid w:val="00AB5BA0"/>
    <w:rsid w:val="00AC060E"/>
    <w:rsid w:val="00AC15AD"/>
    <w:rsid w:val="00AC2112"/>
    <w:rsid w:val="00AC29C8"/>
    <w:rsid w:val="00AC2B04"/>
    <w:rsid w:val="00AC39BB"/>
    <w:rsid w:val="00AC3B7F"/>
    <w:rsid w:val="00AC3C37"/>
    <w:rsid w:val="00AC4B3F"/>
    <w:rsid w:val="00AC5DA7"/>
    <w:rsid w:val="00AC6358"/>
    <w:rsid w:val="00AC7127"/>
    <w:rsid w:val="00AC7F22"/>
    <w:rsid w:val="00AD05F0"/>
    <w:rsid w:val="00AD07AA"/>
    <w:rsid w:val="00AD1743"/>
    <w:rsid w:val="00AD1ECC"/>
    <w:rsid w:val="00AD2AF5"/>
    <w:rsid w:val="00AD2D0A"/>
    <w:rsid w:val="00AD30D6"/>
    <w:rsid w:val="00AD33ED"/>
    <w:rsid w:val="00AD3E5F"/>
    <w:rsid w:val="00AD4833"/>
    <w:rsid w:val="00AD4FC4"/>
    <w:rsid w:val="00AD601C"/>
    <w:rsid w:val="00AD6497"/>
    <w:rsid w:val="00AD7919"/>
    <w:rsid w:val="00AD7D76"/>
    <w:rsid w:val="00AE0048"/>
    <w:rsid w:val="00AE10F0"/>
    <w:rsid w:val="00AE18DD"/>
    <w:rsid w:val="00AE2574"/>
    <w:rsid w:val="00AE2F51"/>
    <w:rsid w:val="00AE4AC5"/>
    <w:rsid w:val="00AE5218"/>
    <w:rsid w:val="00AE5B06"/>
    <w:rsid w:val="00AE6AE5"/>
    <w:rsid w:val="00AE7E33"/>
    <w:rsid w:val="00AF055D"/>
    <w:rsid w:val="00AF1068"/>
    <w:rsid w:val="00AF10D7"/>
    <w:rsid w:val="00AF19BA"/>
    <w:rsid w:val="00AF2316"/>
    <w:rsid w:val="00AF35C5"/>
    <w:rsid w:val="00AF3B43"/>
    <w:rsid w:val="00AF3BA0"/>
    <w:rsid w:val="00AF5F51"/>
    <w:rsid w:val="00AF6B20"/>
    <w:rsid w:val="00AF765C"/>
    <w:rsid w:val="00AF7C01"/>
    <w:rsid w:val="00B00BFE"/>
    <w:rsid w:val="00B014F5"/>
    <w:rsid w:val="00B01C4F"/>
    <w:rsid w:val="00B02018"/>
    <w:rsid w:val="00B026AC"/>
    <w:rsid w:val="00B02888"/>
    <w:rsid w:val="00B03A46"/>
    <w:rsid w:val="00B03B44"/>
    <w:rsid w:val="00B03FC8"/>
    <w:rsid w:val="00B03FD0"/>
    <w:rsid w:val="00B0488E"/>
    <w:rsid w:val="00B049A1"/>
    <w:rsid w:val="00B04C64"/>
    <w:rsid w:val="00B04EF2"/>
    <w:rsid w:val="00B06358"/>
    <w:rsid w:val="00B067B2"/>
    <w:rsid w:val="00B06E9E"/>
    <w:rsid w:val="00B078E2"/>
    <w:rsid w:val="00B109E4"/>
    <w:rsid w:val="00B10AEE"/>
    <w:rsid w:val="00B10CAB"/>
    <w:rsid w:val="00B12EC0"/>
    <w:rsid w:val="00B136C7"/>
    <w:rsid w:val="00B14AC6"/>
    <w:rsid w:val="00B14B92"/>
    <w:rsid w:val="00B15A3E"/>
    <w:rsid w:val="00B16928"/>
    <w:rsid w:val="00B17101"/>
    <w:rsid w:val="00B17A9B"/>
    <w:rsid w:val="00B17CA0"/>
    <w:rsid w:val="00B20944"/>
    <w:rsid w:val="00B20AFF"/>
    <w:rsid w:val="00B212B0"/>
    <w:rsid w:val="00B21601"/>
    <w:rsid w:val="00B22A12"/>
    <w:rsid w:val="00B22FBA"/>
    <w:rsid w:val="00B2327A"/>
    <w:rsid w:val="00B23A0B"/>
    <w:rsid w:val="00B2572D"/>
    <w:rsid w:val="00B26009"/>
    <w:rsid w:val="00B26B43"/>
    <w:rsid w:val="00B301A7"/>
    <w:rsid w:val="00B306FB"/>
    <w:rsid w:val="00B30733"/>
    <w:rsid w:val="00B30931"/>
    <w:rsid w:val="00B31182"/>
    <w:rsid w:val="00B32885"/>
    <w:rsid w:val="00B33153"/>
    <w:rsid w:val="00B336D6"/>
    <w:rsid w:val="00B338F3"/>
    <w:rsid w:val="00B34123"/>
    <w:rsid w:val="00B342C5"/>
    <w:rsid w:val="00B34FD9"/>
    <w:rsid w:val="00B35E65"/>
    <w:rsid w:val="00B36058"/>
    <w:rsid w:val="00B36399"/>
    <w:rsid w:val="00B366DA"/>
    <w:rsid w:val="00B36D33"/>
    <w:rsid w:val="00B3734F"/>
    <w:rsid w:val="00B3776C"/>
    <w:rsid w:val="00B40802"/>
    <w:rsid w:val="00B41031"/>
    <w:rsid w:val="00B4107D"/>
    <w:rsid w:val="00B41327"/>
    <w:rsid w:val="00B41B65"/>
    <w:rsid w:val="00B44021"/>
    <w:rsid w:val="00B445B5"/>
    <w:rsid w:val="00B448E1"/>
    <w:rsid w:val="00B44CB7"/>
    <w:rsid w:val="00B4546F"/>
    <w:rsid w:val="00B45756"/>
    <w:rsid w:val="00B4589F"/>
    <w:rsid w:val="00B46249"/>
    <w:rsid w:val="00B46B5C"/>
    <w:rsid w:val="00B46D78"/>
    <w:rsid w:val="00B504CA"/>
    <w:rsid w:val="00B50852"/>
    <w:rsid w:val="00B50A90"/>
    <w:rsid w:val="00B51D5A"/>
    <w:rsid w:val="00B525EA"/>
    <w:rsid w:val="00B526B5"/>
    <w:rsid w:val="00B52A26"/>
    <w:rsid w:val="00B52EE0"/>
    <w:rsid w:val="00B52F92"/>
    <w:rsid w:val="00B5380C"/>
    <w:rsid w:val="00B53AFC"/>
    <w:rsid w:val="00B53BDC"/>
    <w:rsid w:val="00B53F3B"/>
    <w:rsid w:val="00B54D65"/>
    <w:rsid w:val="00B54FC8"/>
    <w:rsid w:val="00B556EB"/>
    <w:rsid w:val="00B55F5E"/>
    <w:rsid w:val="00B562F3"/>
    <w:rsid w:val="00B56485"/>
    <w:rsid w:val="00B56955"/>
    <w:rsid w:val="00B57293"/>
    <w:rsid w:val="00B57A7B"/>
    <w:rsid w:val="00B57C68"/>
    <w:rsid w:val="00B60337"/>
    <w:rsid w:val="00B627D8"/>
    <w:rsid w:val="00B639B9"/>
    <w:rsid w:val="00B651E6"/>
    <w:rsid w:val="00B65733"/>
    <w:rsid w:val="00B66368"/>
    <w:rsid w:val="00B66610"/>
    <w:rsid w:val="00B66C49"/>
    <w:rsid w:val="00B676E5"/>
    <w:rsid w:val="00B718FE"/>
    <w:rsid w:val="00B720CF"/>
    <w:rsid w:val="00B72D1B"/>
    <w:rsid w:val="00B75584"/>
    <w:rsid w:val="00B761F7"/>
    <w:rsid w:val="00B762B6"/>
    <w:rsid w:val="00B7648E"/>
    <w:rsid w:val="00B76607"/>
    <w:rsid w:val="00B76A6B"/>
    <w:rsid w:val="00B76CCB"/>
    <w:rsid w:val="00B77142"/>
    <w:rsid w:val="00B773E9"/>
    <w:rsid w:val="00B77875"/>
    <w:rsid w:val="00B77D75"/>
    <w:rsid w:val="00B80378"/>
    <w:rsid w:val="00B803E9"/>
    <w:rsid w:val="00B8221F"/>
    <w:rsid w:val="00B828C6"/>
    <w:rsid w:val="00B83BA0"/>
    <w:rsid w:val="00B842A7"/>
    <w:rsid w:val="00B849DD"/>
    <w:rsid w:val="00B84B7D"/>
    <w:rsid w:val="00B84CF3"/>
    <w:rsid w:val="00B84E7C"/>
    <w:rsid w:val="00B85056"/>
    <w:rsid w:val="00B851EA"/>
    <w:rsid w:val="00B85928"/>
    <w:rsid w:val="00B862B2"/>
    <w:rsid w:val="00B8631B"/>
    <w:rsid w:val="00B875EC"/>
    <w:rsid w:val="00B87803"/>
    <w:rsid w:val="00B90751"/>
    <w:rsid w:val="00B92DDC"/>
    <w:rsid w:val="00B93914"/>
    <w:rsid w:val="00B93974"/>
    <w:rsid w:val="00B9436F"/>
    <w:rsid w:val="00B9499E"/>
    <w:rsid w:val="00B95B4E"/>
    <w:rsid w:val="00B9643F"/>
    <w:rsid w:val="00B96EDB"/>
    <w:rsid w:val="00B97205"/>
    <w:rsid w:val="00B9775C"/>
    <w:rsid w:val="00B979A2"/>
    <w:rsid w:val="00BA05F7"/>
    <w:rsid w:val="00BA080F"/>
    <w:rsid w:val="00BA1493"/>
    <w:rsid w:val="00BA14E0"/>
    <w:rsid w:val="00BA2521"/>
    <w:rsid w:val="00BA28E8"/>
    <w:rsid w:val="00BA30A5"/>
    <w:rsid w:val="00BA3806"/>
    <w:rsid w:val="00BA3850"/>
    <w:rsid w:val="00BA4271"/>
    <w:rsid w:val="00BA4E55"/>
    <w:rsid w:val="00BA5E99"/>
    <w:rsid w:val="00BA63F1"/>
    <w:rsid w:val="00BA6C40"/>
    <w:rsid w:val="00BA754E"/>
    <w:rsid w:val="00BA7B80"/>
    <w:rsid w:val="00BB0085"/>
    <w:rsid w:val="00BB0935"/>
    <w:rsid w:val="00BB118A"/>
    <w:rsid w:val="00BB1674"/>
    <w:rsid w:val="00BB1EAA"/>
    <w:rsid w:val="00BB28B5"/>
    <w:rsid w:val="00BB2F9F"/>
    <w:rsid w:val="00BB3419"/>
    <w:rsid w:val="00BB3C2E"/>
    <w:rsid w:val="00BB50C1"/>
    <w:rsid w:val="00BB5472"/>
    <w:rsid w:val="00BB5499"/>
    <w:rsid w:val="00BB683A"/>
    <w:rsid w:val="00BB6CB6"/>
    <w:rsid w:val="00BB6D53"/>
    <w:rsid w:val="00BC0E6F"/>
    <w:rsid w:val="00BC116C"/>
    <w:rsid w:val="00BC1234"/>
    <w:rsid w:val="00BC1456"/>
    <w:rsid w:val="00BC1A5D"/>
    <w:rsid w:val="00BC1BCF"/>
    <w:rsid w:val="00BC1C28"/>
    <w:rsid w:val="00BC2232"/>
    <w:rsid w:val="00BC2ECF"/>
    <w:rsid w:val="00BC3863"/>
    <w:rsid w:val="00BC4520"/>
    <w:rsid w:val="00BC4BFA"/>
    <w:rsid w:val="00BC4EC8"/>
    <w:rsid w:val="00BC51AD"/>
    <w:rsid w:val="00BC533F"/>
    <w:rsid w:val="00BC5C5B"/>
    <w:rsid w:val="00BC7574"/>
    <w:rsid w:val="00BD0650"/>
    <w:rsid w:val="00BD0C26"/>
    <w:rsid w:val="00BD129F"/>
    <w:rsid w:val="00BD1662"/>
    <w:rsid w:val="00BD19BD"/>
    <w:rsid w:val="00BD1D28"/>
    <w:rsid w:val="00BD1E8D"/>
    <w:rsid w:val="00BD2B8C"/>
    <w:rsid w:val="00BD324E"/>
    <w:rsid w:val="00BD3A75"/>
    <w:rsid w:val="00BD42E8"/>
    <w:rsid w:val="00BD45FD"/>
    <w:rsid w:val="00BD49AD"/>
    <w:rsid w:val="00BD4B37"/>
    <w:rsid w:val="00BD61CA"/>
    <w:rsid w:val="00BD62E4"/>
    <w:rsid w:val="00BD6541"/>
    <w:rsid w:val="00BD79F5"/>
    <w:rsid w:val="00BD7B45"/>
    <w:rsid w:val="00BE0380"/>
    <w:rsid w:val="00BE0634"/>
    <w:rsid w:val="00BE06A3"/>
    <w:rsid w:val="00BE1208"/>
    <w:rsid w:val="00BE1906"/>
    <w:rsid w:val="00BE1BAB"/>
    <w:rsid w:val="00BE23EE"/>
    <w:rsid w:val="00BE350A"/>
    <w:rsid w:val="00BE3CB3"/>
    <w:rsid w:val="00BE3F7A"/>
    <w:rsid w:val="00BE4011"/>
    <w:rsid w:val="00BE4209"/>
    <w:rsid w:val="00BE452A"/>
    <w:rsid w:val="00BE4E14"/>
    <w:rsid w:val="00BE78AE"/>
    <w:rsid w:val="00BF117E"/>
    <w:rsid w:val="00BF11C6"/>
    <w:rsid w:val="00BF1558"/>
    <w:rsid w:val="00BF2768"/>
    <w:rsid w:val="00BF2C6C"/>
    <w:rsid w:val="00BF2EBA"/>
    <w:rsid w:val="00BF34D5"/>
    <w:rsid w:val="00BF46BA"/>
    <w:rsid w:val="00BF47B4"/>
    <w:rsid w:val="00BF4E9B"/>
    <w:rsid w:val="00BF5997"/>
    <w:rsid w:val="00BF5BF5"/>
    <w:rsid w:val="00BF6111"/>
    <w:rsid w:val="00BF69EC"/>
    <w:rsid w:val="00BF6A81"/>
    <w:rsid w:val="00BF706F"/>
    <w:rsid w:val="00BF7FCC"/>
    <w:rsid w:val="00C0178A"/>
    <w:rsid w:val="00C01A4D"/>
    <w:rsid w:val="00C01CDA"/>
    <w:rsid w:val="00C02485"/>
    <w:rsid w:val="00C024FE"/>
    <w:rsid w:val="00C0276F"/>
    <w:rsid w:val="00C03EF0"/>
    <w:rsid w:val="00C041BB"/>
    <w:rsid w:val="00C0615C"/>
    <w:rsid w:val="00C063B5"/>
    <w:rsid w:val="00C0693E"/>
    <w:rsid w:val="00C06BA2"/>
    <w:rsid w:val="00C07C0F"/>
    <w:rsid w:val="00C10899"/>
    <w:rsid w:val="00C10FFC"/>
    <w:rsid w:val="00C11BB4"/>
    <w:rsid w:val="00C126D6"/>
    <w:rsid w:val="00C13431"/>
    <w:rsid w:val="00C13C0C"/>
    <w:rsid w:val="00C14420"/>
    <w:rsid w:val="00C14BD8"/>
    <w:rsid w:val="00C14DA6"/>
    <w:rsid w:val="00C14EA8"/>
    <w:rsid w:val="00C152CE"/>
    <w:rsid w:val="00C1532D"/>
    <w:rsid w:val="00C15B64"/>
    <w:rsid w:val="00C16682"/>
    <w:rsid w:val="00C16F08"/>
    <w:rsid w:val="00C1746A"/>
    <w:rsid w:val="00C1786C"/>
    <w:rsid w:val="00C20202"/>
    <w:rsid w:val="00C2050E"/>
    <w:rsid w:val="00C20BB7"/>
    <w:rsid w:val="00C20E54"/>
    <w:rsid w:val="00C21D62"/>
    <w:rsid w:val="00C22337"/>
    <w:rsid w:val="00C22440"/>
    <w:rsid w:val="00C2282D"/>
    <w:rsid w:val="00C2334A"/>
    <w:rsid w:val="00C24193"/>
    <w:rsid w:val="00C2424C"/>
    <w:rsid w:val="00C243DE"/>
    <w:rsid w:val="00C24CB3"/>
    <w:rsid w:val="00C25622"/>
    <w:rsid w:val="00C25630"/>
    <w:rsid w:val="00C25F46"/>
    <w:rsid w:val="00C26FC5"/>
    <w:rsid w:val="00C2753E"/>
    <w:rsid w:val="00C275C5"/>
    <w:rsid w:val="00C27B0E"/>
    <w:rsid w:val="00C27C13"/>
    <w:rsid w:val="00C30721"/>
    <w:rsid w:val="00C30872"/>
    <w:rsid w:val="00C30B1B"/>
    <w:rsid w:val="00C30B4C"/>
    <w:rsid w:val="00C30CBC"/>
    <w:rsid w:val="00C3228D"/>
    <w:rsid w:val="00C322B4"/>
    <w:rsid w:val="00C32ADF"/>
    <w:rsid w:val="00C334F2"/>
    <w:rsid w:val="00C34C42"/>
    <w:rsid w:val="00C34FA2"/>
    <w:rsid w:val="00C35053"/>
    <w:rsid w:val="00C35310"/>
    <w:rsid w:val="00C35B07"/>
    <w:rsid w:val="00C35E54"/>
    <w:rsid w:val="00C360C0"/>
    <w:rsid w:val="00C3689B"/>
    <w:rsid w:val="00C36C99"/>
    <w:rsid w:val="00C3715A"/>
    <w:rsid w:val="00C37204"/>
    <w:rsid w:val="00C37C72"/>
    <w:rsid w:val="00C37D99"/>
    <w:rsid w:val="00C37F64"/>
    <w:rsid w:val="00C402EE"/>
    <w:rsid w:val="00C40FB0"/>
    <w:rsid w:val="00C42EAB"/>
    <w:rsid w:val="00C433F7"/>
    <w:rsid w:val="00C44824"/>
    <w:rsid w:val="00C450B9"/>
    <w:rsid w:val="00C45E9E"/>
    <w:rsid w:val="00C467A7"/>
    <w:rsid w:val="00C46962"/>
    <w:rsid w:val="00C475DE"/>
    <w:rsid w:val="00C47F06"/>
    <w:rsid w:val="00C50A8F"/>
    <w:rsid w:val="00C515C7"/>
    <w:rsid w:val="00C5176B"/>
    <w:rsid w:val="00C51863"/>
    <w:rsid w:val="00C51CD9"/>
    <w:rsid w:val="00C52536"/>
    <w:rsid w:val="00C525FC"/>
    <w:rsid w:val="00C527D1"/>
    <w:rsid w:val="00C52ED8"/>
    <w:rsid w:val="00C54140"/>
    <w:rsid w:val="00C5436F"/>
    <w:rsid w:val="00C5455B"/>
    <w:rsid w:val="00C54739"/>
    <w:rsid w:val="00C54758"/>
    <w:rsid w:val="00C55FD3"/>
    <w:rsid w:val="00C57DF3"/>
    <w:rsid w:val="00C606CE"/>
    <w:rsid w:val="00C610B1"/>
    <w:rsid w:val="00C615F7"/>
    <w:rsid w:val="00C61B01"/>
    <w:rsid w:val="00C61BAF"/>
    <w:rsid w:val="00C621FB"/>
    <w:rsid w:val="00C62BAA"/>
    <w:rsid w:val="00C62E45"/>
    <w:rsid w:val="00C64046"/>
    <w:rsid w:val="00C64637"/>
    <w:rsid w:val="00C64A60"/>
    <w:rsid w:val="00C657AA"/>
    <w:rsid w:val="00C6581C"/>
    <w:rsid w:val="00C66811"/>
    <w:rsid w:val="00C66C9F"/>
    <w:rsid w:val="00C6756B"/>
    <w:rsid w:val="00C701B1"/>
    <w:rsid w:val="00C70556"/>
    <w:rsid w:val="00C70A3F"/>
    <w:rsid w:val="00C7143E"/>
    <w:rsid w:val="00C74CAB"/>
    <w:rsid w:val="00C74E7A"/>
    <w:rsid w:val="00C75AA9"/>
    <w:rsid w:val="00C7750C"/>
    <w:rsid w:val="00C77CEC"/>
    <w:rsid w:val="00C80D49"/>
    <w:rsid w:val="00C81361"/>
    <w:rsid w:val="00C81E74"/>
    <w:rsid w:val="00C81ED4"/>
    <w:rsid w:val="00C823CF"/>
    <w:rsid w:val="00C825C1"/>
    <w:rsid w:val="00C82BC1"/>
    <w:rsid w:val="00C83DDF"/>
    <w:rsid w:val="00C843D3"/>
    <w:rsid w:val="00C84545"/>
    <w:rsid w:val="00C86064"/>
    <w:rsid w:val="00C862B4"/>
    <w:rsid w:val="00C9190E"/>
    <w:rsid w:val="00C91B3F"/>
    <w:rsid w:val="00C92F9F"/>
    <w:rsid w:val="00C93587"/>
    <w:rsid w:val="00C9405F"/>
    <w:rsid w:val="00C94311"/>
    <w:rsid w:val="00C9506A"/>
    <w:rsid w:val="00C9599F"/>
    <w:rsid w:val="00C96102"/>
    <w:rsid w:val="00C964A6"/>
    <w:rsid w:val="00C9670F"/>
    <w:rsid w:val="00C97242"/>
    <w:rsid w:val="00CA07BD"/>
    <w:rsid w:val="00CA0F1F"/>
    <w:rsid w:val="00CA14A3"/>
    <w:rsid w:val="00CA1520"/>
    <w:rsid w:val="00CA1633"/>
    <w:rsid w:val="00CA2137"/>
    <w:rsid w:val="00CA2202"/>
    <w:rsid w:val="00CA2483"/>
    <w:rsid w:val="00CA2693"/>
    <w:rsid w:val="00CA2EF5"/>
    <w:rsid w:val="00CA31EB"/>
    <w:rsid w:val="00CA3A47"/>
    <w:rsid w:val="00CA3E8A"/>
    <w:rsid w:val="00CA3EC5"/>
    <w:rsid w:val="00CA4517"/>
    <w:rsid w:val="00CA515D"/>
    <w:rsid w:val="00CA5744"/>
    <w:rsid w:val="00CA58B3"/>
    <w:rsid w:val="00CA6487"/>
    <w:rsid w:val="00CA70B2"/>
    <w:rsid w:val="00CA7237"/>
    <w:rsid w:val="00CA7719"/>
    <w:rsid w:val="00CB177B"/>
    <w:rsid w:val="00CB1FF0"/>
    <w:rsid w:val="00CB2553"/>
    <w:rsid w:val="00CB31A3"/>
    <w:rsid w:val="00CB3462"/>
    <w:rsid w:val="00CB4C65"/>
    <w:rsid w:val="00CB59F3"/>
    <w:rsid w:val="00CB5B27"/>
    <w:rsid w:val="00CB5FC4"/>
    <w:rsid w:val="00CB6426"/>
    <w:rsid w:val="00CB6D37"/>
    <w:rsid w:val="00CB78D8"/>
    <w:rsid w:val="00CC0CA4"/>
    <w:rsid w:val="00CC1275"/>
    <w:rsid w:val="00CC1B1A"/>
    <w:rsid w:val="00CC3345"/>
    <w:rsid w:val="00CC33CF"/>
    <w:rsid w:val="00CC351D"/>
    <w:rsid w:val="00CC3E27"/>
    <w:rsid w:val="00CC3E5C"/>
    <w:rsid w:val="00CC47E4"/>
    <w:rsid w:val="00CC50CF"/>
    <w:rsid w:val="00CC539A"/>
    <w:rsid w:val="00CC55FD"/>
    <w:rsid w:val="00CC6093"/>
    <w:rsid w:val="00CC62ED"/>
    <w:rsid w:val="00CC64D5"/>
    <w:rsid w:val="00CC68DD"/>
    <w:rsid w:val="00CC6B31"/>
    <w:rsid w:val="00CC6F90"/>
    <w:rsid w:val="00CC7174"/>
    <w:rsid w:val="00CC71FA"/>
    <w:rsid w:val="00CC7232"/>
    <w:rsid w:val="00CC765B"/>
    <w:rsid w:val="00CD01FE"/>
    <w:rsid w:val="00CD0FCF"/>
    <w:rsid w:val="00CD1628"/>
    <w:rsid w:val="00CD16A8"/>
    <w:rsid w:val="00CD187E"/>
    <w:rsid w:val="00CD3FC4"/>
    <w:rsid w:val="00CD6AD2"/>
    <w:rsid w:val="00CD6C77"/>
    <w:rsid w:val="00CD7390"/>
    <w:rsid w:val="00CD7DEE"/>
    <w:rsid w:val="00CE02D5"/>
    <w:rsid w:val="00CE0874"/>
    <w:rsid w:val="00CE14BA"/>
    <w:rsid w:val="00CE25EA"/>
    <w:rsid w:val="00CE43EE"/>
    <w:rsid w:val="00CE488B"/>
    <w:rsid w:val="00CE506D"/>
    <w:rsid w:val="00CE6024"/>
    <w:rsid w:val="00CE76A2"/>
    <w:rsid w:val="00CE7E0C"/>
    <w:rsid w:val="00CF0564"/>
    <w:rsid w:val="00CF0DBC"/>
    <w:rsid w:val="00CF1038"/>
    <w:rsid w:val="00CF2527"/>
    <w:rsid w:val="00CF3769"/>
    <w:rsid w:val="00CF4650"/>
    <w:rsid w:val="00CF5C54"/>
    <w:rsid w:val="00CF5CBD"/>
    <w:rsid w:val="00D000AE"/>
    <w:rsid w:val="00D00469"/>
    <w:rsid w:val="00D01444"/>
    <w:rsid w:val="00D0175C"/>
    <w:rsid w:val="00D02CF6"/>
    <w:rsid w:val="00D02E5B"/>
    <w:rsid w:val="00D03356"/>
    <w:rsid w:val="00D03A52"/>
    <w:rsid w:val="00D0467B"/>
    <w:rsid w:val="00D0493C"/>
    <w:rsid w:val="00D04AEA"/>
    <w:rsid w:val="00D04DAB"/>
    <w:rsid w:val="00D050BD"/>
    <w:rsid w:val="00D06940"/>
    <w:rsid w:val="00D06961"/>
    <w:rsid w:val="00D10501"/>
    <w:rsid w:val="00D10922"/>
    <w:rsid w:val="00D110B8"/>
    <w:rsid w:val="00D13562"/>
    <w:rsid w:val="00D137F7"/>
    <w:rsid w:val="00D1389A"/>
    <w:rsid w:val="00D13C0C"/>
    <w:rsid w:val="00D13F65"/>
    <w:rsid w:val="00D145F8"/>
    <w:rsid w:val="00D14896"/>
    <w:rsid w:val="00D14B6D"/>
    <w:rsid w:val="00D15145"/>
    <w:rsid w:val="00D15208"/>
    <w:rsid w:val="00D1605C"/>
    <w:rsid w:val="00D165EC"/>
    <w:rsid w:val="00D16E34"/>
    <w:rsid w:val="00D17140"/>
    <w:rsid w:val="00D171F1"/>
    <w:rsid w:val="00D201A6"/>
    <w:rsid w:val="00D20348"/>
    <w:rsid w:val="00D20F95"/>
    <w:rsid w:val="00D2111A"/>
    <w:rsid w:val="00D217EE"/>
    <w:rsid w:val="00D21A9A"/>
    <w:rsid w:val="00D21C2A"/>
    <w:rsid w:val="00D22170"/>
    <w:rsid w:val="00D22988"/>
    <w:rsid w:val="00D22AF8"/>
    <w:rsid w:val="00D2330C"/>
    <w:rsid w:val="00D23616"/>
    <w:rsid w:val="00D24EE8"/>
    <w:rsid w:val="00D25D91"/>
    <w:rsid w:val="00D2640C"/>
    <w:rsid w:val="00D268C9"/>
    <w:rsid w:val="00D27699"/>
    <w:rsid w:val="00D279CA"/>
    <w:rsid w:val="00D27AAF"/>
    <w:rsid w:val="00D3060E"/>
    <w:rsid w:val="00D30A34"/>
    <w:rsid w:val="00D30B5C"/>
    <w:rsid w:val="00D30F48"/>
    <w:rsid w:val="00D311DB"/>
    <w:rsid w:val="00D3137B"/>
    <w:rsid w:val="00D316E8"/>
    <w:rsid w:val="00D31D52"/>
    <w:rsid w:val="00D32B3E"/>
    <w:rsid w:val="00D344BB"/>
    <w:rsid w:val="00D3459E"/>
    <w:rsid w:val="00D35245"/>
    <w:rsid w:val="00D3539B"/>
    <w:rsid w:val="00D357A7"/>
    <w:rsid w:val="00D37407"/>
    <w:rsid w:val="00D37763"/>
    <w:rsid w:val="00D4054A"/>
    <w:rsid w:val="00D4104A"/>
    <w:rsid w:val="00D41357"/>
    <w:rsid w:val="00D41A89"/>
    <w:rsid w:val="00D41B4C"/>
    <w:rsid w:val="00D42CCB"/>
    <w:rsid w:val="00D43395"/>
    <w:rsid w:val="00D43808"/>
    <w:rsid w:val="00D43AED"/>
    <w:rsid w:val="00D44999"/>
    <w:rsid w:val="00D45DEC"/>
    <w:rsid w:val="00D46390"/>
    <w:rsid w:val="00D4755F"/>
    <w:rsid w:val="00D47E48"/>
    <w:rsid w:val="00D50033"/>
    <w:rsid w:val="00D502B9"/>
    <w:rsid w:val="00D507B5"/>
    <w:rsid w:val="00D50D70"/>
    <w:rsid w:val="00D51148"/>
    <w:rsid w:val="00D519E8"/>
    <w:rsid w:val="00D51F48"/>
    <w:rsid w:val="00D522C0"/>
    <w:rsid w:val="00D529C2"/>
    <w:rsid w:val="00D52A73"/>
    <w:rsid w:val="00D52BC3"/>
    <w:rsid w:val="00D52C34"/>
    <w:rsid w:val="00D52DA4"/>
    <w:rsid w:val="00D532BA"/>
    <w:rsid w:val="00D53432"/>
    <w:rsid w:val="00D549AC"/>
    <w:rsid w:val="00D553EC"/>
    <w:rsid w:val="00D55EC2"/>
    <w:rsid w:val="00D56EA5"/>
    <w:rsid w:val="00D579FD"/>
    <w:rsid w:val="00D57EAA"/>
    <w:rsid w:val="00D57F65"/>
    <w:rsid w:val="00D60F9B"/>
    <w:rsid w:val="00D6156E"/>
    <w:rsid w:val="00D624FE"/>
    <w:rsid w:val="00D626A6"/>
    <w:rsid w:val="00D6282D"/>
    <w:rsid w:val="00D64574"/>
    <w:rsid w:val="00D65285"/>
    <w:rsid w:val="00D66798"/>
    <w:rsid w:val="00D66D85"/>
    <w:rsid w:val="00D7044A"/>
    <w:rsid w:val="00D707DE"/>
    <w:rsid w:val="00D710EE"/>
    <w:rsid w:val="00D712E5"/>
    <w:rsid w:val="00D71BF8"/>
    <w:rsid w:val="00D72798"/>
    <w:rsid w:val="00D734F3"/>
    <w:rsid w:val="00D73AB9"/>
    <w:rsid w:val="00D73C31"/>
    <w:rsid w:val="00D750B2"/>
    <w:rsid w:val="00D75868"/>
    <w:rsid w:val="00D75B8B"/>
    <w:rsid w:val="00D76004"/>
    <w:rsid w:val="00D76FB1"/>
    <w:rsid w:val="00D772D5"/>
    <w:rsid w:val="00D779D0"/>
    <w:rsid w:val="00D8028C"/>
    <w:rsid w:val="00D810BF"/>
    <w:rsid w:val="00D812FC"/>
    <w:rsid w:val="00D81CD8"/>
    <w:rsid w:val="00D81EC5"/>
    <w:rsid w:val="00D8398B"/>
    <w:rsid w:val="00D83B57"/>
    <w:rsid w:val="00D846B0"/>
    <w:rsid w:val="00D84AF6"/>
    <w:rsid w:val="00D84B10"/>
    <w:rsid w:val="00D84B99"/>
    <w:rsid w:val="00D84E42"/>
    <w:rsid w:val="00D85193"/>
    <w:rsid w:val="00D85239"/>
    <w:rsid w:val="00D864CB"/>
    <w:rsid w:val="00D8693D"/>
    <w:rsid w:val="00D904FD"/>
    <w:rsid w:val="00D90FB8"/>
    <w:rsid w:val="00D912B6"/>
    <w:rsid w:val="00D91A1D"/>
    <w:rsid w:val="00D9253D"/>
    <w:rsid w:val="00D9330C"/>
    <w:rsid w:val="00D93E78"/>
    <w:rsid w:val="00D94137"/>
    <w:rsid w:val="00D941D8"/>
    <w:rsid w:val="00D94515"/>
    <w:rsid w:val="00D94699"/>
    <w:rsid w:val="00D9518B"/>
    <w:rsid w:val="00D95750"/>
    <w:rsid w:val="00D957EA"/>
    <w:rsid w:val="00D97241"/>
    <w:rsid w:val="00D97A45"/>
    <w:rsid w:val="00D97C23"/>
    <w:rsid w:val="00DA01D1"/>
    <w:rsid w:val="00DA0487"/>
    <w:rsid w:val="00DA05C8"/>
    <w:rsid w:val="00DA0D47"/>
    <w:rsid w:val="00DA2961"/>
    <w:rsid w:val="00DA2BA6"/>
    <w:rsid w:val="00DA2E89"/>
    <w:rsid w:val="00DA4F8C"/>
    <w:rsid w:val="00DA53B6"/>
    <w:rsid w:val="00DA5B32"/>
    <w:rsid w:val="00DA7460"/>
    <w:rsid w:val="00DA746A"/>
    <w:rsid w:val="00DB0362"/>
    <w:rsid w:val="00DB0C67"/>
    <w:rsid w:val="00DB1464"/>
    <w:rsid w:val="00DB1EF9"/>
    <w:rsid w:val="00DB257E"/>
    <w:rsid w:val="00DB2C3D"/>
    <w:rsid w:val="00DB3ECF"/>
    <w:rsid w:val="00DB4437"/>
    <w:rsid w:val="00DB47DD"/>
    <w:rsid w:val="00DB4C4E"/>
    <w:rsid w:val="00DB4E48"/>
    <w:rsid w:val="00DB57E5"/>
    <w:rsid w:val="00DB5D8D"/>
    <w:rsid w:val="00DB6971"/>
    <w:rsid w:val="00DB7176"/>
    <w:rsid w:val="00DB73B9"/>
    <w:rsid w:val="00DC0847"/>
    <w:rsid w:val="00DC0B18"/>
    <w:rsid w:val="00DC15B7"/>
    <w:rsid w:val="00DC1E9B"/>
    <w:rsid w:val="00DC2F22"/>
    <w:rsid w:val="00DC4575"/>
    <w:rsid w:val="00DC4DFA"/>
    <w:rsid w:val="00DC63BB"/>
    <w:rsid w:val="00DC73B1"/>
    <w:rsid w:val="00DD0C3C"/>
    <w:rsid w:val="00DD17E9"/>
    <w:rsid w:val="00DD24B1"/>
    <w:rsid w:val="00DD2613"/>
    <w:rsid w:val="00DD2792"/>
    <w:rsid w:val="00DD2B19"/>
    <w:rsid w:val="00DD2D5F"/>
    <w:rsid w:val="00DD3925"/>
    <w:rsid w:val="00DD3CE7"/>
    <w:rsid w:val="00DD4F17"/>
    <w:rsid w:val="00DD5021"/>
    <w:rsid w:val="00DD5237"/>
    <w:rsid w:val="00DD5494"/>
    <w:rsid w:val="00DD616E"/>
    <w:rsid w:val="00DD63ED"/>
    <w:rsid w:val="00DD676B"/>
    <w:rsid w:val="00DD7C51"/>
    <w:rsid w:val="00DD7CDD"/>
    <w:rsid w:val="00DE0972"/>
    <w:rsid w:val="00DE161C"/>
    <w:rsid w:val="00DE17CB"/>
    <w:rsid w:val="00DE1A03"/>
    <w:rsid w:val="00DE28EC"/>
    <w:rsid w:val="00DE376A"/>
    <w:rsid w:val="00DE4784"/>
    <w:rsid w:val="00DE48D9"/>
    <w:rsid w:val="00DE4C91"/>
    <w:rsid w:val="00DE4F87"/>
    <w:rsid w:val="00DE5024"/>
    <w:rsid w:val="00DE50F9"/>
    <w:rsid w:val="00DE526A"/>
    <w:rsid w:val="00DE55BB"/>
    <w:rsid w:val="00DE5D9F"/>
    <w:rsid w:val="00DE5DEB"/>
    <w:rsid w:val="00DE5E73"/>
    <w:rsid w:val="00DE6157"/>
    <w:rsid w:val="00DE6341"/>
    <w:rsid w:val="00DE7504"/>
    <w:rsid w:val="00DE7536"/>
    <w:rsid w:val="00DE755B"/>
    <w:rsid w:val="00DF179D"/>
    <w:rsid w:val="00DF3173"/>
    <w:rsid w:val="00DF332D"/>
    <w:rsid w:val="00DF3B49"/>
    <w:rsid w:val="00DF4BD0"/>
    <w:rsid w:val="00DF4E11"/>
    <w:rsid w:val="00DF71BE"/>
    <w:rsid w:val="00DF7E92"/>
    <w:rsid w:val="00E0076E"/>
    <w:rsid w:val="00E016D0"/>
    <w:rsid w:val="00E018FD"/>
    <w:rsid w:val="00E0210F"/>
    <w:rsid w:val="00E022EA"/>
    <w:rsid w:val="00E02879"/>
    <w:rsid w:val="00E02A3B"/>
    <w:rsid w:val="00E0389F"/>
    <w:rsid w:val="00E051BF"/>
    <w:rsid w:val="00E0539C"/>
    <w:rsid w:val="00E05549"/>
    <w:rsid w:val="00E05BD6"/>
    <w:rsid w:val="00E062BD"/>
    <w:rsid w:val="00E06502"/>
    <w:rsid w:val="00E067E5"/>
    <w:rsid w:val="00E071C0"/>
    <w:rsid w:val="00E07512"/>
    <w:rsid w:val="00E10293"/>
    <w:rsid w:val="00E102C9"/>
    <w:rsid w:val="00E11B9A"/>
    <w:rsid w:val="00E11F2E"/>
    <w:rsid w:val="00E1224C"/>
    <w:rsid w:val="00E1264E"/>
    <w:rsid w:val="00E1280E"/>
    <w:rsid w:val="00E13979"/>
    <w:rsid w:val="00E139C4"/>
    <w:rsid w:val="00E147C2"/>
    <w:rsid w:val="00E149E5"/>
    <w:rsid w:val="00E14F25"/>
    <w:rsid w:val="00E151A8"/>
    <w:rsid w:val="00E15935"/>
    <w:rsid w:val="00E16570"/>
    <w:rsid w:val="00E165E8"/>
    <w:rsid w:val="00E17744"/>
    <w:rsid w:val="00E17E9E"/>
    <w:rsid w:val="00E200EB"/>
    <w:rsid w:val="00E2023A"/>
    <w:rsid w:val="00E20F86"/>
    <w:rsid w:val="00E21A3E"/>
    <w:rsid w:val="00E21BE2"/>
    <w:rsid w:val="00E22BA8"/>
    <w:rsid w:val="00E2324A"/>
    <w:rsid w:val="00E23AA8"/>
    <w:rsid w:val="00E23CE5"/>
    <w:rsid w:val="00E24D36"/>
    <w:rsid w:val="00E24F39"/>
    <w:rsid w:val="00E25ECE"/>
    <w:rsid w:val="00E264A9"/>
    <w:rsid w:val="00E26D95"/>
    <w:rsid w:val="00E277D3"/>
    <w:rsid w:val="00E277FE"/>
    <w:rsid w:val="00E3024E"/>
    <w:rsid w:val="00E309BF"/>
    <w:rsid w:val="00E31C8F"/>
    <w:rsid w:val="00E3250E"/>
    <w:rsid w:val="00E32595"/>
    <w:rsid w:val="00E3293E"/>
    <w:rsid w:val="00E32AC1"/>
    <w:rsid w:val="00E344E9"/>
    <w:rsid w:val="00E34634"/>
    <w:rsid w:val="00E34711"/>
    <w:rsid w:val="00E34CFC"/>
    <w:rsid w:val="00E35605"/>
    <w:rsid w:val="00E35A90"/>
    <w:rsid w:val="00E36042"/>
    <w:rsid w:val="00E36631"/>
    <w:rsid w:val="00E36A7E"/>
    <w:rsid w:val="00E36B7B"/>
    <w:rsid w:val="00E37AF5"/>
    <w:rsid w:val="00E40182"/>
    <w:rsid w:val="00E40338"/>
    <w:rsid w:val="00E4055E"/>
    <w:rsid w:val="00E43D3D"/>
    <w:rsid w:val="00E43E5C"/>
    <w:rsid w:val="00E44229"/>
    <w:rsid w:val="00E44CE6"/>
    <w:rsid w:val="00E44F1E"/>
    <w:rsid w:val="00E4529C"/>
    <w:rsid w:val="00E459F4"/>
    <w:rsid w:val="00E46F0B"/>
    <w:rsid w:val="00E46F26"/>
    <w:rsid w:val="00E46F6A"/>
    <w:rsid w:val="00E46FA5"/>
    <w:rsid w:val="00E4751E"/>
    <w:rsid w:val="00E47A55"/>
    <w:rsid w:val="00E47A5F"/>
    <w:rsid w:val="00E47F38"/>
    <w:rsid w:val="00E500B4"/>
    <w:rsid w:val="00E50732"/>
    <w:rsid w:val="00E50912"/>
    <w:rsid w:val="00E509D4"/>
    <w:rsid w:val="00E50D3A"/>
    <w:rsid w:val="00E50F11"/>
    <w:rsid w:val="00E50FDE"/>
    <w:rsid w:val="00E52567"/>
    <w:rsid w:val="00E529CD"/>
    <w:rsid w:val="00E52F61"/>
    <w:rsid w:val="00E54C4C"/>
    <w:rsid w:val="00E54C62"/>
    <w:rsid w:val="00E55190"/>
    <w:rsid w:val="00E552C9"/>
    <w:rsid w:val="00E561CC"/>
    <w:rsid w:val="00E56FFB"/>
    <w:rsid w:val="00E572BE"/>
    <w:rsid w:val="00E573DC"/>
    <w:rsid w:val="00E575E7"/>
    <w:rsid w:val="00E57F78"/>
    <w:rsid w:val="00E60546"/>
    <w:rsid w:val="00E608A4"/>
    <w:rsid w:val="00E623A6"/>
    <w:rsid w:val="00E62FDB"/>
    <w:rsid w:val="00E6323C"/>
    <w:rsid w:val="00E63640"/>
    <w:rsid w:val="00E64D09"/>
    <w:rsid w:val="00E651A5"/>
    <w:rsid w:val="00E66471"/>
    <w:rsid w:val="00E674A1"/>
    <w:rsid w:val="00E676AD"/>
    <w:rsid w:val="00E67D98"/>
    <w:rsid w:val="00E67EC5"/>
    <w:rsid w:val="00E67FC8"/>
    <w:rsid w:val="00E70D3D"/>
    <w:rsid w:val="00E70F4F"/>
    <w:rsid w:val="00E70F8C"/>
    <w:rsid w:val="00E73592"/>
    <w:rsid w:val="00E73AC2"/>
    <w:rsid w:val="00E73AFE"/>
    <w:rsid w:val="00E74F06"/>
    <w:rsid w:val="00E75DB5"/>
    <w:rsid w:val="00E76963"/>
    <w:rsid w:val="00E7710C"/>
    <w:rsid w:val="00E77894"/>
    <w:rsid w:val="00E77AEF"/>
    <w:rsid w:val="00E810D5"/>
    <w:rsid w:val="00E81DCE"/>
    <w:rsid w:val="00E824B5"/>
    <w:rsid w:val="00E82518"/>
    <w:rsid w:val="00E82A39"/>
    <w:rsid w:val="00E835B6"/>
    <w:rsid w:val="00E83B0C"/>
    <w:rsid w:val="00E83D61"/>
    <w:rsid w:val="00E83FCB"/>
    <w:rsid w:val="00E8423D"/>
    <w:rsid w:val="00E8507E"/>
    <w:rsid w:val="00E86821"/>
    <w:rsid w:val="00E86F2C"/>
    <w:rsid w:val="00E86FCB"/>
    <w:rsid w:val="00E870C3"/>
    <w:rsid w:val="00E907BC"/>
    <w:rsid w:val="00E90A1B"/>
    <w:rsid w:val="00E92651"/>
    <w:rsid w:val="00E93096"/>
    <w:rsid w:val="00E93419"/>
    <w:rsid w:val="00E93ADF"/>
    <w:rsid w:val="00E93E91"/>
    <w:rsid w:val="00E9402F"/>
    <w:rsid w:val="00E94045"/>
    <w:rsid w:val="00E944A9"/>
    <w:rsid w:val="00E94B8F"/>
    <w:rsid w:val="00E951F9"/>
    <w:rsid w:val="00E9530B"/>
    <w:rsid w:val="00E95591"/>
    <w:rsid w:val="00E95CF1"/>
    <w:rsid w:val="00E95DDD"/>
    <w:rsid w:val="00E963B1"/>
    <w:rsid w:val="00E96C84"/>
    <w:rsid w:val="00E96E08"/>
    <w:rsid w:val="00EA08DC"/>
    <w:rsid w:val="00EA0914"/>
    <w:rsid w:val="00EA0DE0"/>
    <w:rsid w:val="00EA1325"/>
    <w:rsid w:val="00EA20C9"/>
    <w:rsid w:val="00EA2233"/>
    <w:rsid w:val="00EA24B8"/>
    <w:rsid w:val="00EA2B5F"/>
    <w:rsid w:val="00EA2DF4"/>
    <w:rsid w:val="00EA3557"/>
    <w:rsid w:val="00EA3767"/>
    <w:rsid w:val="00EA3B70"/>
    <w:rsid w:val="00EA4785"/>
    <w:rsid w:val="00EA4C2E"/>
    <w:rsid w:val="00EA56C6"/>
    <w:rsid w:val="00EA581D"/>
    <w:rsid w:val="00EA5987"/>
    <w:rsid w:val="00EA5B42"/>
    <w:rsid w:val="00EA5CE8"/>
    <w:rsid w:val="00EA6201"/>
    <w:rsid w:val="00EA6291"/>
    <w:rsid w:val="00EA646E"/>
    <w:rsid w:val="00EA668A"/>
    <w:rsid w:val="00EA6EC3"/>
    <w:rsid w:val="00EA7183"/>
    <w:rsid w:val="00EB04CE"/>
    <w:rsid w:val="00EB05A5"/>
    <w:rsid w:val="00EB09CE"/>
    <w:rsid w:val="00EB164B"/>
    <w:rsid w:val="00EB1C68"/>
    <w:rsid w:val="00EB3289"/>
    <w:rsid w:val="00EB3517"/>
    <w:rsid w:val="00EB3915"/>
    <w:rsid w:val="00EB3F6A"/>
    <w:rsid w:val="00EB5B7F"/>
    <w:rsid w:val="00EB6439"/>
    <w:rsid w:val="00EB6E31"/>
    <w:rsid w:val="00EB6EC4"/>
    <w:rsid w:val="00EB74D0"/>
    <w:rsid w:val="00EB779E"/>
    <w:rsid w:val="00EB77E2"/>
    <w:rsid w:val="00EC0219"/>
    <w:rsid w:val="00EC0BF4"/>
    <w:rsid w:val="00EC1C11"/>
    <w:rsid w:val="00EC360A"/>
    <w:rsid w:val="00EC425C"/>
    <w:rsid w:val="00EC492E"/>
    <w:rsid w:val="00EC5311"/>
    <w:rsid w:val="00EC5F5B"/>
    <w:rsid w:val="00EC6236"/>
    <w:rsid w:val="00EC6B91"/>
    <w:rsid w:val="00EC6F73"/>
    <w:rsid w:val="00EC6FBA"/>
    <w:rsid w:val="00ED0190"/>
    <w:rsid w:val="00ED043D"/>
    <w:rsid w:val="00ED0957"/>
    <w:rsid w:val="00ED134B"/>
    <w:rsid w:val="00ED17C6"/>
    <w:rsid w:val="00ED1A87"/>
    <w:rsid w:val="00ED1D6C"/>
    <w:rsid w:val="00ED30A0"/>
    <w:rsid w:val="00ED32D1"/>
    <w:rsid w:val="00ED3AFC"/>
    <w:rsid w:val="00ED3CBB"/>
    <w:rsid w:val="00ED3EB4"/>
    <w:rsid w:val="00ED5638"/>
    <w:rsid w:val="00ED592C"/>
    <w:rsid w:val="00ED5980"/>
    <w:rsid w:val="00ED6172"/>
    <w:rsid w:val="00ED6751"/>
    <w:rsid w:val="00ED6B3B"/>
    <w:rsid w:val="00ED6EA5"/>
    <w:rsid w:val="00ED6F26"/>
    <w:rsid w:val="00ED6F81"/>
    <w:rsid w:val="00EE0585"/>
    <w:rsid w:val="00EE0643"/>
    <w:rsid w:val="00EE1B95"/>
    <w:rsid w:val="00EE2047"/>
    <w:rsid w:val="00EE2524"/>
    <w:rsid w:val="00EE412C"/>
    <w:rsid w:val="00EE442A"/>
    <w:rsid w:val="00EE46D7"/>
    <w:rsid w:val="00EE476F"/>
    <w:rsid w:val="00EE512A"/>
    <w:rsid w:val="00EE5D37"/>
    <w:rsid w:val="00EE6CBB"/>
    <w:rsid w:val="00EE6E3C"/>
    <w:rsid w:val="00EE7BAD"/>
    <w:rsid w:val="00EE7E20"/>
    <w:rsid w:val="00EF06D8"/>
    <w:rsid w:val="00EF0B70"/>
    <w:rsid w:val="00EF1FCD"/>
    <w:rsid w:val="00EF293B"/>
    <w:rsid w:val="00EF2B8B"/>
    <w:rsid w:val="00EF3320"/>
    <w:rsid w:val="00EF3748"/>
    <w:rsid w:val="00EF397C"/>
    <w:rsid w:val="00EF4090"/>
    <w:rsid w:val="00EF43A1"/>
    <w:rsid w:val="00EF49FA"/>
    <w:rsid w:val="00EF5111"/>
    <w:rsid w:val="00EF54F1"/>
    <w:rsid w:val="00EF5851"/>
    <w:rsid w:val="00EF6F54"/>
    <w:rsid w:val="00EF707F"/>
    <w:rsid w:val="00EF75F9"/>
    <w:rsid w:val="00F00600"/>
    <w:rsid w:val="00F00D2A"/>
    <w:rsid w:val="00F00DEE"/>
    <w:rsid w:val="00F01FD5"/>
    <w:rsid w:val="00F0310E"/>
    <w:rsid w:val="00F039DC"/>
    <w:rsid w:val="00F03F84"/>
    <w:rsid w:val="00F045FB"/>
    <w:rsid w:val="00F046A8"/>
    <w:rsid w:val="00F04D07"/>
    <w:rsid w:val="00F05D33"/>
    <w:rsid w:val="00F06050"/>
    <w:rsid w:val="00F063C2"/>
    <w:rsid w:val="00F071EE"/>
    <w:rsid w:val="00F07433"/>
    <w:rsid w:val="00F105C0"/>
    <w:rsid w:val="00F1066B"/>
    <w:rsid w:val="00F10DB8"/>
    <w:rsid w:val="00F1111B"/>
    <w:rsid w:val="00F119D5"/>
    <w:rsid w:val="00F11E5F"/>
    <w:rsid w:val="00F11FB1"/>
    <w:rsid w:val="00F120FB"/>
    <w:rsid w:val="00F12C08"/>
    <w:rsid w:val="00F13A27"/>
    <w:rsid w:val="00F13A36"/>
    <w:rsid w:val="00F14948"/>
    <w:rsid w:val="00F165BB"/>
    <w:rsid w:val="00F20298"/>
    <w:rsid w:val="00F20800"/>
    <w:rsid w:val="00F20D42"/>
    <w:rsid w:val="00F215F1"/>
    <w:rsid w:val="00F21DA8"/>
    <w:rsid w:val="00F21F1A"/>
    <w:rsid w:val="00F22275"/>
    <w:rsid w:val="00F222EA"/>
    <w:rsid w:val="00F22971"/>
    <w:rsid w:val="00F237F4"/>
    <w:rsid w:val="00F24320"/>
    <w:rsid w:val="00F24406"/>
    <w:rsid w:val="00F24548"/>
    <w:rsid w:val="00F24B89"/>
    <w:rsid w:val="00F24DC4"/>
    <w:rsid w:val="00F25CDA"/>
    <w:rsid w:val="00F27651"/>
    <w:rsid w:val="00F27DC7"/>
    <w:rsid w:val="00F30C28"/>
    <w:rsid w:val="00F31508"/>
    <w:rsid w:val="00F3179B"/>
    <w:rsid w:val="00F31ED9"/>
    <w:rsid w:val="00F32DE5"/>
    <w:rsid w:val="00F32E0B"/>
    <w:rsid w:val="00F33CF5"/>
    <w:rsid w:val="00F34DF0"/>
    <w:rsid w:val="00F34F32"/>
    <w:rsid w:val="00F3597E"/>
    <w:rsid w:val="00F365CF"/>
    <w:rsid w:val="00F37826"/>
    <w:rsid w:val="00F4030C"/>
    <w:rsid w:val="00F408DA"/>
    <w:rsid w:val="00F40FED"/>
    <w:rsid w:val="00F41044"/>
    <w:rsid w:val="00F41108"/>
    <w:rsid w:val="00F41761"/>
    <w:rsid w:val="00F41885"/>
    <w:rsid w:val="00F41D57"/>
    <w:rsid w:val="00F41E3D"/>
    <w:rsid w:val="00F4215F"/>
    <w:rsid w:val="00F4221C"/>
    <w:rsid w:val="00F425F3"/>
    <w:rsid w:val="00F43801"/>
    <w:rsid w:val="00F43B56"/>
    <w:rsid w:val="00F43CEB"/>
    <w:rsid w:val="00F45F15"/>
    <w:rsid w:val="00F45FE3"/>
    <w:rsid w:val="00F467D7"/>
    <w:rsid w:val="00F46854"/>
    <w:rsid w:val="00F47003"/>
    <w:rsid w:val="00F47319"/>
    <w:rsid w:val="00F47641"/>
    <w:rsid w:val="00F47949"/>
    <w:rsid w:val="00F47973"/>
    <w:rsid w:val="00F50220"/>
    <w:rsid w:val="00F5079D"/>
    <w:rsid w:val="00F510A1"/>
    <w:rsid w:val="00F51BDD"/>
    <w:rsid w:val="00F51C52"/>
    <w:rsid w:val="00F524A3"/>
    <w:rsid w:val="00F527E8"/>
    <w:rsid w:val="00F52997"/>
    <w:rsid w:val="00F54737"/>
    <w:rsid w:val="00F5494D"/>
    <w:rsid w:val="00F553D2"/>
    <w:rsid w:val="00F55C3B"/>
    <w:rsid w:val="00F561E0"/>
    <w:rsid w:val="00F576A9"/>
    <w:rsid w:val="00F57CB1"/>
    <w:rsid w:val="00F6075F"/>
    <w:rsid w:val="00F613B7"/>
    <w:rsid w:val="00F619AE"/>
    <w:rsid w:val="00F61EA8"/>
    <w:rsid w:val="00F61EEF"/>
    <w:rsid w:val="00F62AFD"/>
    <w:rsid w:val="00F62CC7"/>
    <w:rsid w:val="00F62FDA"/>
    <w:rsid w:val="00F64D88"/>
    <w:rsid w:val="00F64F3C"/>
    <w:rsid w:val="00F64FC2"/>
    <w:rsid w:val="00F64FEB"/>
    <w:rsid w:val="00F65ABB"/>
    <w:rsid w:val="00F65C0F"/>
    <w:rsid w:val="00F65CD2"/>
    <w:rsid w:val="00F66552"/>
    <w:rsid w:val="00F66B1D"/>
    <w:rsid w:val="00F66B66"/>
    <w:rsid w:val="00F6742D"/>
    <w:rsid w:val="00F702B5"/>
    <w:rsid w:val="00F71084"/>
    <w:rsid w:val="00F7122B"/>
    <w:rsid w:val="00F713EA"/>
    <w:rsid w:val="00F71F68"/>
    <w:rsid w:val="00F7277B"/>
    <w:rsid w:val="00F751E2"/>
    <w:rsid w:val="00F76DA2"/>
    <w:rsid w:val="00F76E85"/>
    <w:rsid w:val="00F7765F"/>
    <w:rsid w:val="00F8051B"/>
    <w:rsid w:val="00F82446"/>
    <w:rsid w:val="00F82AC1"/>
    <w:rsid w:val="00F83E38"/>
    <w:rsid w:val="00F84034"/>
    <w:rsid w:val="00F8554D"/>
    <w:rsid w:val="00F85D4E"/>
    <w:rsid w:val="00F8600F"/>
    <w:rsid w:val="00F86DEA"/>
    <w:rsid w:val="00F8770D"/>
    <w:rsid w:val="00F906A7"/>
    <w:rsid w:val="00F909FC"/>
    <w:rsid w:val="00F910E7"/>
    <w:rsid w:val="00F91308"/>
    <w:rsid w:val="00F93879"/>
    <w:rsid w:val="00F9395C"/>
    <w:rsid w:val="00F93E18"/>
    <w:rsid w:val="00F94379"/>
    <w:rsid w:val="00F94C9E"/>
    <w:rsid w:val="00F95BAE"/>
    <w:rsid w:val="00F96A16"/>
    <w:rsid w:val="00F96EB3"/>
    <w:rsid w:val="00F97363"/>
    <w:rsid w:val="00F97E6A"/>
    <w:rsid w:val="00FA04F9"/>
    <w:rsid w:val="00FA0937"/>
    <w:rsid w:val="00FA10A3"/>
    <w:rsid w:val="00FA15BD"/>
    <w:rsid w:val="00FA1B13"/>
    <w:rsid w:val="00FA2B4F"/>
    <w:rsid w:val="00FA2E73"/>
    <w:rsid w:val="00FA2EB8"/>
    <w:rsid w:val="00FA41F6"/>
    <w:rsid w:val="00FA431D"/>
    <w:rsid w:val="00FA4A4B"/>
    <w:rsid w:val="00FA58B4"/>
    <w:rsid w:val="00FA60C6"/>
    <w:rsid w:val="00FA61A5"/>
    <w:rsid w:val="00FA6420"/>
    <w:rsid w:val="00FB042F"/>
    <w:rsid w:val="00FB0E52"/>
    <w:rsid w:val="00FB2B03"/>
    <w:rsid w:val="00FB2E8B"/>
    <w:rsid w:val="00FB3650"/>
    <w:rsid w:val="00FB3B96"/>
    <w:rsid w:val="00FB6455"/>
    <w:rsid w:val="00FB651D"/>
    <w:rsid w:val="00FB690F"/>
    <w:rsid w:val="00FB6920"/>
    <w:rsid w:val="00FB7746"/>
    <w:rsid w:val="00FC0224"/>
    <w:rsid w:val="00FC0292"/>
    <w:rsid w:val="00FC02D4"/>
    <w:rsid w:val="00FC0EC6"/>
    <w:rsid w:val="00FC141D"/>
    <w:rsid w:val="00FC1FE5"/>
    <w:rsid w:val="00FC3BE5"/>
    <w:rsid w:val="00FC3C63"/>
    <w:rsid w:val="00FC4475"/>
    <w:rsid w:val="00FC4700"/>
    <w:rsid w:val="00FC6332"/>
    <w:rsid w:val="00FC6F5A"/>
    <w:rsid w:val="00FD0106"/>
    <w:rsid w:val="00FD0797"/>
    <w:rsid w:val="00FD09F5"/>
    <w:rsid w:val="00FD0AE4"/>
    <w:rsid w:val="00FD169B"/>
    <w:rsid w:val="00FD2671"/>
    <w:rsid w:val="00FD2A10"/>
    <w:rsid w:val="00FD2CF4"/>
    <w:rsid w:val="00FD2D79"/>
    <w:rsid w:val="00FD3127"/>
    <w:rsid w:val="00FD3233"/>
    <w:rsid w:val="00FD3498"/>
    <w:rsid w:val="00FD3DDC"/>
    <w:rsid w:val="00FD4532"/>
    <w:rsid w:val="00FD4E03"/>
    <w:rsid w:val="00FD5081"/>
    <w:rsid w:val="00FD64FE"/>
    <w:rsid w:val="00FD6610"/>
    <w:rsid w:val="00FD661D"/>
    <w:rsid w:val="00FD72F7"/>
    <w:rsid w:val="00FE03F7"/>
    <w:rsid w:val="00FE09F4"/>
    <w:rsid w:val="00FE1309"/>
    <w:rsid w:val="00FE167D"/>
    <w:rsid w:val="00FE1CCB"/>
    <w:rsid w:val="00FE2ABD"/>
    <w:rsid w:val="00FE2BE6"/>
    <w:rsid w:val="00FE2EF2"/>
    <w:rsid w:val="00FE3E27"/>
    <w:rsid w:val="00FE4491"/>
    <w:rsid w:val="00FE4606"/>
    <w:rsid w:val="00FE56E5"/>
    <w:rsid w:val="00FE59F8"/>
    <w:rsid w:val="00FE62AE"/>
    <w:rsid w:val="00FE64C3"/>
    <w:rsid w:val="00FE6963"/>
    <w:rsid w:val="00FE7767"/>
    <w:rsid w:val="00FF0599"/>
    <w:rsid w:val="00FF2EC4"/>
    <w:rsid w:val="00FF31DA"/>
    <w:rsid w:val="00FF396A"/>
    <w:rsid w:val="00FF3F58"/>
    <w:rsid w:val="00FF4D63"/>
    <w:rsid w:val="00FF4E18"/>
    <w:rsid w:val="00FF5683"/>
    <w:rsid w:val="00FF64EF"/>
    <w:rsid w:val="00FF6620"/>
    <w:rsid w:val="00FF6A31"/>
    <w:rsid w:val="00FF7325"/>
    <w:rsid w:val="00FF7E5B"/>
    <w:rsid w:val="04275B9E"/>
    <w:rsid w:val="165A6749"/>
    <w:rsid w:val="5E1579F5"/>
    <w:rsid w:val="65DDF7AE"/>
    <w:rsid w:val="6818D32C"/>
    <w:rsid w:val="730C38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9534F6"/>
  <w15:chartTrackingRefBased/>
  <w15:docId w15:val="{CC05F91F-82D6-4ED9-9952-014107B7E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24C"/>
    <w:rPr>
      <w:sz w:val="24"/>
      <w:szCs w:val="24"/>
      <w:lang w:eastAsia="en-US"/>
    </w:rPr>
  </w:style>
  <w:style w:type="paragraph" w:styleId="Heading3">
    <w:name w:val="heading 3"/>
    <w:basedOn w:val="Normal"/>
    <w:next w:val="Heading4"/>
    <w:link w:val="Heading3Char1"/>
    <w:qFormat/>
    <w:rsid w:val="00EC6236"/>
    <w:pPr>
      <w:spacing w:before="400"/>
      <w:outlineLvl w:val="2"/>
    </w:pPr>
    <w:rPr>
      <w:rFonts w:ascii="Arial" w:hAnsi="Arial" w:cs="Arial"/>
      <w:b/>
      <w:lang w:eastAsia="en-GB"/>
    </w:rPr>
  </w:style>
  <w:style w:type="paragraph" w:styleId="Heading4">
    <w:name w:val="heading 4"/>
    <w:basedOn w:val="Normal"/>
    <w:next w:val="Normal"/>
    <w:link w:val="Heading4Char"/>
    <w:uiPriority w:val="9"/>
    <w:semiHidden/>
    <w:unhideWhenUsed/>
    <w:qFormat/>
    <w:rsid w:val="00EC623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12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1250C"/>
    <w:pPr>
      <w:spacing w:line="240" w:lineRule="exact"/>
      <w:jc w:val="both"/>
    </w:pPr>
    <w:rPr>
      <w:rFonts w:ascii="Tms Rmn" w:hAnsi="Tms Rmn"/>
      <w:sz w:val="22"/>
      <w:szCs w:val="20"/>
    </w:rPr>
  </w:style>
  <w:style w:type="paragraph" w:styleId="BodyTextIndent">
    <w:name w:val="Body Text Indent"/>
    <w:basedOn w:val="Normal"/>
    <w:rsid w:val="0031250C"/>
    <w:pPr>
      <w:ind w:left="709"/>
    </w:pPr>
    <w:rPr>
      <w:snapToGrid w:val="0"/>
      <w:sz w:val="22"/>
      <w:szCs w:val="20"/>
    </w:rPr>
  </w:style>
  <w:style w:type="paragraph" w:styleId="Footer">
    <w:name w:val="footer"/>
    <w:basedOn w:val="Normal"/>
    <w:link w:val="FooterChar"/>
    <w:uiPriority w:val="99"/>
    <w:rsid w:val="0031250C"/>
    <w:pPr>
      <w:tabs>
        <w:tab w:val="center" w:pos="4320"/>
        <w:tab w:val="right" w:pos="8640"/>
      </w:tabs>
    </w:pPr>
  </w:style>
  <w:style w:type="character" w:styleId="PageNumber">
    <w:name w:val="page number"/>
    <w:basedOn w:val="DefaultParagraphFont"/>
    <w:rsid w:val="0031250C"/>
  </w:style>
  <w:style w:type="paragraph" w:styleId="Header">
    <w:name w:val="header"/>
    <w:basedOn w:val="Normal"/>
    <w:link w:val="HeaderChar"/>
    <w:uiPriority w:val="99"/>
    <w:rsid w:val="0031250C"/>
    <w:pPr>
      <w:tabs>
        <w:tab w:val="center" w:pos="4320"/>
        <w:tab w:val="right" w:pos="8640"/>
      </w:tabs>
    </w:pPr>
  </w:style>
  <w:style w:type="character" w:customStyle="1" w:styleId="mednormal1">
    <w:name w:val="mednormal1"/>
    <w:rsid w:val="0031250C"/>
    <w:rPr>
      <w:rFonts w:ascii="Verdana" w:hAnsi="Verdana" w:hint="default"/>
      <w:color w:val="000000"/>
      <w:sz w:val="15"/>
      <w:szCs w:val="15"/>
    </w:rPr>
  </w:style>
  <w:style w:type="character" w:customStyle="1" w:styleId="locationbar1">
    <w:name w:val="locationbar1"/>
    <w:rsid w:val="0031250C"/>
    <w:rPr>
      <w:rFonts w:ascii="Verdana" w:hAnsi="Verdana" w:hint="default"/>
      <w:b/>
      <w:bCs/>
      <w:color w:val="000000"/>
      <w:sz w:val="15"/>
      <w:szCs w:val="15"/>
    </w:rPr>
  </w:style>
  <w:style w:type="paragraph" w:styleId="BalloonText">
    <w:name w:val="Balloon Text"/>
    <w:basedOn w:val="Normal"/>
    <w:semiHidden/>
    <w:rsid w:val="004D6CC9"/>
    <w:rPr>
      <w:rFonts w:ascii="Tahoma" w:hAnsi="Tahoma" w:cs="Tahoma"/>
      <w:sz w:val="16"/>
      <w:szCs w:val="16"/>
    </w:rPr>
  </w:style>
  <w:style w:type="paragraph" w:styleId="BodyTextIndent3">
    <w:name w:val="Body Text Indent 3"/>
    <w:basedOn w:val="Normal"/>
    <w:rsid w:val="00764557"/>
    <w:pPr>
      <w:spacing w:after="120"/>
      <w:ind w:left="283"/>
    </w:pPr>
    <w:rPr>
      <w:sz w:val="16"/>
      <w:szCs w:val="16"/>
    </w:rPr>
  </w:style>
  <w:style w:type="character" w:styleId="Hyperlink">
    <w:name w:val="Hyperlink"/>
    <w:uiPriority w:val="99"/>
    <w:unhideWhenUsed/>
    <w:rsid w:val="00D76004"/>
    <w:rPr>
      <w:color w:val="0000FF"/>
      <w:u w:val="single"/>
    </w:rPr>
  </w:style>
  <w:style w:type="paragraph" w:styleId="ListParagraph">
    <w:name w:val="List Paragraph"/>
    <w:basedOn w:val="Normal"/>
    <w:uiPriority w:val="34"/>
    <w:qFormat/>
    <w:rsid w:val="009245DA"/>
    <w:pPr>
      <w:ind w:left="720"/>
    </w:pPr>
  </w:style>
  <w:style w:type="paragraph" w:styleId="NoSpacing">
    <w:name w:val="No Spacing"/>
    <w:uiPriority w:val="1"/>
    <w:qFormat/>
    <w:rsid w:val="00111801"/>
    <w:rPr>
      <w:sz w:val="24"/>
      <w:szCs w:val="24"/>
    </w:rPr>
  </w:style>
  <w:style w:type="paragraph" w:customStyle="1" w:styleId="CH">
    <w:name w:val="CH"/>
    <w:aliases w:val="Contents Head"/>
    <w:basedOn w:val="Normal"/>
    <w:next w:val="Normal"/>
    <w:rsid w:val="00325416"/>
    <w:pPr>
      <w:tabs>
        <w:tab w:val="left" w:pos="600"/>
      </w:tabs>
      <w:suppressAutoHyphens/>
      <w:spacing w:before="100" w:line="480" w:lineRule="exact"/>
    </w:pPr>
    <w:rPr>
      <w:rFonts w:ascii="Arial" w:hAnsi="Arial"/>
      <w:snapToGrid w:val="0"/>
      <w:color w:val="008080"/>
      <w:kern w:val="28"/>
      <w:sz w:val="62"/>
      <w:szCs w:val="20"/>
      <w:lang w:eastAsia="en-GB"/>
    </w:rPr>
  </w:style>
  <w:style w:type="paragraph" w:styleId="PlainText">
    <w:name w:val="Plain Text"/>
    <w:basedOn w:val="Normal"/>
    <w:link w:val="PlainTextChar"/>
    <w:uiPriority w:val="99"/>
    <w:unhideWhenUsed/>
    <w:rsid w:val="009C1D3F"/>
    <w:rPr>
      <w:rFonts w:ascii="Arial" w:eastAsia="Calibri" w:hAnsi="Arial"/>
      <w:sz w:val="20"/>
      <w:szCs w:val="21"/>
      <w:lang w:val="x-none" w:eastAsia="x-none"/>
    </w:rPr>
  </w:style>
  <w:style w:type="character" w:customStyle="1" w:styleId="PlainTextChar">
    <w:name w:val="Plain Text Char"/>
    <w:link w:val="PlainText"/>
    <w:uiPriority w:val="99"/>
    <w:rsid w:val="009C1D3F"/>
    <w:rPr>
      <w:rFonts w:ascii="Arial" w:eastAsia="Calibri" w:hAnsi="Arial"/>
      <w:szCs w:val="21"/>
    </w:rPr>
  </w:style>
  <w:style w:type="paragraph" w:customStyle="1" w:styleId="Default">
    <w:name w:val="Default"/>
    <w:rsid w:val="00717A83"/>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unhideWhenUsed/>
    <w:rsid w:val="00BC7574"/>
    <w:rPr>
      <w:sz w:val="20"/>
      <w:szCs w:val="20"/>
      <w:lang w:val="x-none"/>
    </w:rPr>
  </w:style>
  <w:style w:type="character" w:customStyle="1" w:styleId="FootnoteTextChar">
    <w:name w:val="Footnote Text Char"/>
    <w:link w:val="FootnoteText"/>
    <w:uiPriority w:val="99"/>
    <w:semiHidden/>
    <w:rsid w:val="00BC7574"/>
    <w:rPr>
      <w:lang w:eastAsia="en-US"/>
    </w:rPr>
  </w:style>
  <w:style w:type="character" w:styleId="FootnoteReference">
    <w:name w:val="footnote reference"/>
    <w:unhideWhenUsed/>
    <w:rsid w:val="00BC7574"/>
    <w:rPr>
      <w:vertAlign w:val="superscript"/>
    </w:rPr>
  </w:style>
  <w:style w:type="paragraph" w:styleId="NormalWeb">
    <w:name w:val="Normal (Web)"/>
    <w:basedOn w:val="Normal"/>
    <w:uiPriority w:val="99"/>
    <w:unhideWhenUsed/>
    <w:rsid w:val="00915C36"/>
    <w:pPr>
      <w:spacing w:after="135" w:line="270" w:lineRule="atLeast"/>
    </w:pPr>
    <w:rPr>
      <w:rFonts w:ascii="Arial" w:hAnsi="Arial" w:cs="Arial"/>
      <w:sz w:val="20"/>
      <w:szCs w:val="20"/>
      <w:lang w:eastAsia="en-GB"/>
    </w:rPr>
  </w:style>
  <w:style w:type="character" w:customStyle="1" w:styleId="HeaderChar">
    <w:name w:val="Header Char"/>
    <w:link w:val="Header"/>
    <w:uiPriority w:val="99"/>
    <w:rsid w:val="0051299B"/>
    <w:rPr>
      <w:sz w:val="24"/>
      <w:szCs w:val="24"/>
      <w:lang w:eastAsia="en-US"/>
    </w:rPr>
  </w:style>
  <w:style w:type="paragraph" w:customStyle="1" w:styleId="legp2paratext1">
    <w:name w:val="legp2paratext1"/>
    <w:basedOn w:val="Normal"/>
    <w:rsid w:val="0051299B"/>
    <w:pPr>
      <w:shd w:val="clear" w:color="auto" w:fill="FFFFFF"/>
      <w:spacing w:after="120" w:line="360" w:lineRule="atLeast"/>
      <w:ind w:firstLine="240"/>
      <w:jc w:val="both"/>
    </w:pPr>
    <w:rPr>
      <w:color w:val="494949"/>
      <w:sz w:val="19"/>
      <w:szCs w:val="19"/>
      <w:lang w:eastAsia="en-GB"/>
    </w:rPr>
  </w:style>
  <w:style w:type="character" w:customStyle="1" w:styleId="FooterChar">
    <w:name w:val="Footer Char"/>
    <w:link w:val="Footer"/>
    <w:uiPriority w:val="99"/>
    <w:rsid w:val="00365448"/>
    <w:rPr>
      <w:sz w:val="24"/>
      <w:szCs w:val="24"/>
      <w:lang w:eastAsia="en-US"/>
    </w:rPr>
  </w:style>
  <w:style w:type="character" w:customStyle="1" w:styleId="Heading3Char">
    <w:name w:val="Heading 3 Char"/>
    <w:uiPriority w:val="9"/>
    <w:semiHidden/>
    <w:rsid w:val="00EC6236"/>
    <w:rPr>
      <w:rFonts w:ascii="Cambria" w:eastAsia="Times New Roman" w:hAnsi="Cambria" w:cs="Times New Roman"/>
      <w:b/>
      <w:bCs/>
      <w:sz w:val="26"/>
      <w:szCs w:val="26"/>
      <w:lang w:eastAsia="en-US"/>
    </w:rPr>
  </w:style>
  <w:style w:type="character" w:customStyle="1" w:styleId="Heading3Char1">
    <w:name w:val="Heading 3 Char1"/>
    <w:link w:val="Heading3"/>
    <w:locked/>
    <w:rsid w:val="00EC6236"/>
    <w:rPr>
      <w:rFonts w:ascii="Arial" w:hAnsi="Arial" w:cs="Arial"/>
      <w:b/>
      <w:sz w:val="24"/>
      <w:szCs w:val="24"/>
    </w:rPr>
  </w:style>
  <w:style w:type="character" w:customStyle="1" w:styleId="Heading4Char">
    <w:name w:val="Heading 4 Char"/>
    <w:link w:val="Heading4"/>
    <w:uiPriority w:val="9"/>
    <w:semiHidden/>
    <w:rsid w:val="00EC6236"/>
    <w:rPr>
      <w:rFonts w:ascii="Calibri" w:eastAsia="Times New Roman" w:hAnsi="Calibri" w:cs="Times New Roman"/>
      <w:b/>
      <w:bCs/>
      <w:sz w:val="28"/>
      <w:szCs w:val="28"/>
      <w:lang w:eastAsia="en-US"/>
    </w:rPr>
  </w:style>
  <w:style w:type="character" w:styleId="CommentReference">
    <w:name w:val="annotation reference"/>
    <w:uiPriority w:val="99"/>
    <w:semiHidden/>
    <w:unhideWhenUsed/>
    <w:rsid w:val="009348B6"/>
    <w:rPr>
      <w:sz w:val="16"/>
      <w:szCs w:val="16"/>
    </w:rPr>
  </w:style>
  <w:style w:type="paragraph" w:styleId="CommentText">
    <w:name w:val="annotation text"/>
    <w:basedOn w:val="Normal"/>
    <w:link w:val="CommentTextChar"/>
    <w:uiPriority w:val="99"/>
    <w:unhideWhenUsed/>
    <w:rsid w:val="009348B6"/>
    <w:rPr>
      <w:sz w:val="20"/>
      <w:szCs w:val="20"/>
    </w:rPr>
  </w:style>
  <w:style w:type="character" w:customStyle="1" w:styleId="CommentTextChar">
    <w:name w:val="Comment Text Char"/>
    <w:link w:val="CommentText"/>
    <w:uiPriority w:val="99"/>
    <w:rsid w:val="009348B6"/>
    <w:rPr>
      <w:lang w:eastAsia="en-US"/>
    </w:rPr>
  </w:style>
  <w:style w:type="paragraph" w:styleId="CommentSubject">
    <w:name w:val="annotation subject"/>
    <w:basedOn w:val="CommentText"/>
    <w:next w:val="CommentText"/>
    <w:link w:val="CommentSubjectChar"/>
    <w:uiPriority w:val="99"/>
    <w:semiHidden/>
    <w:unhideWhenUsed/>
    <w:rsid w:val="009348B6"/>
    <w:rPr>
      <w:b/>
      <w:bCs/>
    </w:rPr>
  </w:style>
  <w:style w:type="character" w:customStyle="1" w:styleId="CommentSubjectChar">
    <w:name w:val="Comment Subject Char"/>
    <w:link w:val="CommentSubject"/>
    <w:uiPriority w:val="99"/>
    <w:semiHidden/>
    <w:rsid w:val="009348B6"/>
    <w:rPr>
      <w:b/>
      <w:bCs/>
      <w:lang w:eastAsia="en-US"/>
    </w:rPr>
  </w:style>
  <w:style w:type="character" w:styleId="UnresolvedMention">
    <w:name w:val="Unresolved Mention"/>
    <w:uiPriority w:val="99"/>
    <w:unhideWhenUsed/>
    <w:rsid w:val="006833F2"/>
    <w:rPr>
      <w:color w:val="605E5C"/>
      <w:shd w:val="clear" w:color="auto" w:fill="E1DFDD"/>
    </w:rPr>
  </w:style>
  <w:style w:type="character" w:styleId="Mention">
    <w:name w:val="Mention"/>
    <w:uiPriority w:val="99"/>
    <w:unhideWhenUsed/>
    <w:rsid w:val="006833F2"/>
    <w:rPr>
      <w:color w:val="2B579A"/>
      <w:shd w:val="clear" w:color="auto" w:fill="E1DFDD"/>
    </w:rPr>
  </w:style>
  <w:style w:type="paragraph" w:styleId="Revision">
    <w:name w:val="Revision"/>
    <w:hidden/>
    <w:uiPriority w:val="99"/>
    <w:semiHidden/>
    <w:rsid w:val="0047591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096">
      <w:bodyDiv w:val="1"/>
      <w:marLeft w:val="0"/>
      <w:marRight w:val="0"/>
      <w:marTop w:val="0"/>
      <w:marBottom w:val="0"/>
      <w:divBdr>
        <w:top w:val="none" w:sz="0" w:space="0" w:color="auto"/>
        <w:left w:val="none" w:sz="0" w:space="0" w:color="auto"/>
        <w:bottom w:val="none" w:sz="0" w:space="0" w:color="auto"/>
        <w:right w:val="none" w:sz="0" w:space="0" w:color="auto"/>
      </w:divBdr>
    </w:div>
    <w:div w:id="60031071">
      <w:bodyDiv w:val="1"/>
      <w:marLeft w:val="0"/>
      <w:marRight w:val="0"/>
      <w:marTop w:val="0"/>
      <w:marBottom w:val="0"/>
      <w:divBdr>
        <w:top w:val="none" w:sz="0" w:space="0" w:color="auto"/>
        <w:left w:val="none" w:sz="0" w:space="0" w:color="auto"/>
        <w:bottom w:val="none" w:sz="0" w:space="0" w:color="auto"/>
        <w:right w:val="none" w:sz="0" w:space="0" w:color="auto"/>
      </w:divBdr>
      <w:divsChild>
        <w:div w:id="957183287">
          <w:marLeft w:val="288"/>
          <w:marRight w:val="0"/>
          <w:marTop w:val="0"/>
          <w:marBottom w:val="60"/>
          <w:divBdr>
            <w:top w:val="none" w:sz="0" w:space="0" w:color="auto"/>
            <w:left w:val="none" w:sz="0" w:space="0" w:color="auto"/>
            <w:bottom w:val="none" w:sz="0" w:space="0" w:color="auto"/>
            <w:right w:val="none" w:sz="0" w:space="0" w:color="auto"/>
          </w:divBdr>
        </w:div>
        <w:div w:id="1242712629">
          <w:marLeft w:val="288"/>
          <w:marRight w:val="0"/>
          <w:marTop w:val="0"/>
          <w:marBottom w:val="60"/>
          <w:divBdr>
            <w:top w:val="none" w:sz="0" w:space="0" w:color="auto"/>
            <w:left w:val="none" w:sz="0" w:space="0" w:color="auto"/>
            <w:bottom w:val="none" w:sz="0" w:space="0" w:color="auto"/>
            <w:right w:val="none" w:sz="0" w:space="0" w:color="auto"/>
          </w:divBdr>
        </w:div>
        <w:div w:id="1258052209">
          <w:marLeft w:val="288"/>
          <w:marRight w:val="0"/>
          <w:marTop w:val="0"/>
          <w:marBottom w:val="60"/>
          <w:divBdr>
            <w:top w:val="none" w:sz="0" w:space="0" w:color="auto"/>
            <w:left w:val="none" w:sz="0" w:space="0" w:color="auto"/>
            <w:bottom w:val="none" w:sz="0" w:space="0" w:color="auto"/>
            <w:right w:val="none" w:sz="0" w:space="0" w:color="auto"/>
          </w:divBdr>
        </w:div>
        <w:div w:id="1974284997">
          <w:marLeft w:val="288"/>
          <w:marRight w:val="0"/>
          <w:marTop w:val="0"/>
          <w:marBottom w:val="60"/>
          <w:divBdr>
            <w:top w:val="none" w:sz="0" w:space="0" w:color="auto"/>
            <w:left w:val="none" w:sz="0" w:space="0" w:color="auto"/>
            <w:bottom w:val="none" w:sz="0" w:space="0" w:color="auto"/>
            <w:right w:val="none" w:sz="0" w:space="0" w:color="auto"/>
          </w:divBdr>
        </w:div>
      </w:divsChild>
    </w:div>
    <w:div w:id="87964207">
      <w:bodyDiv w:val="1"/>
      <w:marLeft w:val="0"/>
      <w:marRight w:val="0"/>
      <w:marTop w:val="0"/>
      <w:marBottom w:val="0"/>
      <w:divBdr>
        <w:top w:val="none" w:sz="0" w:space="0" w:color="auto"/>
        <w:left w:val="none" w:sz="0" w:space="0" w:color="auto"/>
        <w:bottom w:val="none" w:sz="0" w:space="0" w:color="auto"/>
        <w:right w:val="none" w:sz="0" w:space="0" w:color="auto"/>
      </w:divBdr>
    </w:div>
    <w:div w:id="96947334">
      <w:bodyDiv w:val="1"/>
      <w:marLeft w:val="0"/>
      <w:marRight w:val="0"/>
      <w:marTop w:val="0"/>
      <w:marBottom w:val="0"/>
      <w:divBdr>
        <w:top w:val="none" w:sz="0" w:space="0" w:color="auto"/>
        <w:left w:val="none" w:sz="0" w:space="0" w:color="auto"/>
        <w:bottom w:val="none" w:sz="0" w:space="0" w:color="auto"/>
        <w:right w:val="none" w:sz="0" w:space="0" w:color="auto"/>
      </w:divBdr>
    </w:div>
    <w:div w:id="107311801">
      <w:bodyDiv w:val="1"/>
      <w:marLeft w:val="0"/>
      <w:marRight w:val="0"/>
      <w:marTop w:val="0"/>
      <w:marBottom w:val="0"/>
      <w:divBdr>
        <w:top w:val="none" w:sz="0" w:space="0" w:color="auto"/>
        <w:left w:val="none" w:sz="0" w:space="0" w:color="auto"/>
        <w:bottom w:val="none" w:sz="0" w:space="0" w:color="auto"/>
        <w:right w:val="none" w:sz="0" w:space="0" w:color="auto"/>
      </w:divBdr>
    </w:div>
    <w:div w:id="109715205">
      <w:bodyDiv w:val="1"/>
      <w:marLeft w:val="0"/>
      <w:marRight w:val="0"/>
      <w:marTop w:val="0"/>
      <w:marBottom w:val="0"/>
      <w:divBdr>
        <w:top w:val="none" w:sz="0" w:space="0" w:color="auto"/>
        <w:left w:val="none" w:sz="0" w:space="0" w:color="auto"/>
        <w:bottom w:val="none" w:sz="0" w:space="0" w:color="auto"/>
        <w:right w:val="none" w:sz="0" w:space="0" w:color="auto"/>
      </w:divBdr>
    </w:div>
    <w:div w:id="157309679">
      <w:bodyDiv w:val="1"/>
      <w:marLeft w:val="0"/>
      <w:marRight w:val="0"/>
      <w:marTop w:val="0"/>
      <w:marBottom w:val="0"/>
      <w:divBdr>
        <w:top w:val="none" w:sz="0" w:space="0" w:color="auto"/>
        <w:left w:val="none" w:sz="0" w:space="0" w:color="auto"/>
        <w:bottom w:val="none" w:sz="0" w:space="0" w:color="auto"/>
        <w:right w:val="none" w:sz="0" w:space="0" w:color="auto"/>
      </w:divBdr>
    </w:div>
    <w:div w:id="162666048">
      <w:bodyDiv w:val="1"/>
      <w:marLeft w:val="0"/>
      <w:marRight w:val="0"/>
      <w:marTop w:val="0"/>
      <w:marBottom w:val="0"/>
      <w:divBdr>
        <w:top w:val="none" w:sz="0" w:space="0" w:color="auto"/>
        <w:left w:val="none" w:sz="0" w:space="0" w:color="auto"/>
        <w:bottom w:val="none" w:sz="0" w:space="0" w:color="auto"/>
        <w:right w:val="none" w:sz="0" w:space="0" w:color="auto"/>
      </w:divBdr>
    </w:div>
    <w:div w:id="179975628">
      <w:bodyDiv w:val="1"/>
      <w:marLeft w:val="0"/>
      <w:marRight w:val="0"/>
      <w:marTop w:val="0"/>
      <w:marBottom w:val="0"/>
      <w:divBdr>
        <w:top w:val="none" w:sz="0" w:space="0" w:color="auto"/>
        <w:left w:val="none" w:sz="0" w:space="0" w:color="auto"/>
        <w:bottom w:val="none" w:sz="0" w:space="0" w:color="auto"/>
        <w:right w:val="none" w:sz="0" w:space="0" w:color="auto"/>
      </w:divBdr>
    </w:div>
    <w:div w:id="180437716">
      <w:bodyDiv w:val="1"/>
      <w:marLeft w:val="0"/>
      <w:marRight w:val="0"/>
      <w:marTop w:val="0"/>
      <w:marBottom w:val="0"/>
      <w:divBdr>
        <w:top w:val="none" w:sz="0" w:space="0" w:color="auto"/>
        <w:left w:val="none" w:sz="0" w:space="0" w:color="auto"/>
        <w:bottom w:val="none" w:sz="0" w:space="0" w:color="auto"/>
        <w:right w:val="none" w:sz="0" w:space="0" w:color="auto"/>
      </w:divBdr>
    </w:div>
    <w:div w:id="209734244">
      <w:bodyDiv w:val="1"/>
      <w:marLeft w:val="0"/>
      <w:marRight w:val="0"/>
      <w:marTop w:val="0"/>
      <w:marBottom w:val="0"/>
      <w:divBdr>
        <w:top w:val="none" w:sz="0" w:space="0" w:color="auto"/>
        <w:left w:val="none" w:sz="0" w:space="0" w:color="auto"/>
        <w:bottom w:val="none" w:sz="0" w:space="0" w:color="auto"/>
        <w:right w:val="none" w:sz="0" w:space="0" w:color="auto"/>
      </w:divBdr>
    </w:div>
    <w:div w:id="286132177">
      <w:bodyDiv w:val="1"/>
      <w:marLeft w:val="0"/>
      <w:marRight w:val="0"/>
      <w:marTop w:val="0"/>
      <w:marBottom w:val="0"/>
      <w:divBdr>
        <w:top w:val="none" w:sz="0" w:space="0" w:color="auto"/>
        <w:left w:val="none" w:sz="0" w:space="0" w:color="auto"/>
        <w:bottom w:val="none" w:sz="0" w:space="0" w:color="auto"/>
        <w:right w:val="none" w:sz="0" w:space="0" w:color="auto"/>
      </w:divBdr>
    </w:div>
    <w:div w:id="291715814">
      <w:bodyDiv w:val="1"/>
      <w:marLeft w:val="0"/>
      <w:marRight w:val="0"/>
      <w:marTop w:val="0"/>
      <w:marBottom w:val="0"/>
      <w:divBdr>
        <w:top w:val="none" w:sz="0" w:space="0" w:color="auto"/>
        <w:left w:val="none" w:sz="0" w:space="0" w:color="auto"/>
        <w:bottom w:val="none" w:sz="0" w:space="0" w:color="auto"/>
        <w:right w:val="none" w:sz="0" w:space="0" w:color="auto"/>
      </w:divBdr>
    </w:div>
    <w:div w:id="301665201">
      <w:bodyDiv w:val="1"/>
      <w:marLeft w:val="0"/>
      <w:marRight w:val="0"/>
      <w:marTop w:val="0"/>
      <w:marBottom w:val="0"/>
      <w:divBdr>
        <w:top w:val="none" w:sz="0" w:space="0" w:color="auto"/>
        <w:left w:val="none" w:sz="0" w:space="0" w:color="auto"/>
        <w:bottom w:val="none" w:sz="0" w:space="0" w:color="auto"/>
        <w:right w:val="none" w:sz="0" w:space="0" w:color="auto"/>
      </w:divBdr>
    </w:div>
    <w:div w:id="333194592">
      <w:bodyDiv w:val="1"/>
      <w:marLeft w:val="0"/>
      <w:marRight w:val="0"/>
      <w:marTop w:val="0"/>
      <w:marBottom w:val="0"/>
      <w:divBdr>
        <w:top w:val="none" w:sz="0" w:space="0" w:color="auto"/>
        <w:left w:val="none" w:sz="0" w:space="0" w:color="auto"/>
        <w:bottom w:val="none" w:sz="0" w:space="0" w:color="auto"/>
        <w:right w:val="none" w:sz="0" w:space="0" w:color="auto"/>
      </w:divBdr>
    </w:div>
    <w:div w:id="375474690">
      <w:bodyDiv w:val="1"/>
      <w:marLeft w:val="0"/>
      <w:marRight w:val="0"/>
      <w:marTop w:val="0"/>
      <w:marBottom w:val="0"/>
      <w:divBdr>
        <w:top w:val="none" w:sz="0" w:space="0" w:color="auto"/>
        <w:left w:val="none" w:sz="0" w:space="0" w:color="auto"/>
        <w:bottom w:val="none" w:sz="0" w:space="0" w:color="auto"/>
        <w:right w:val="none" w:sz="0" w:space="0" w:color="auto"/>
      </w:divBdr>
    </w:div>
    <w:div w:id="390813978">
      <w:bodyDiv w:val="1"/>
      <w:marLeft w:val="0"/>
      <w:marRight w:val="0"/>
      <w:marTop w:val="0"/>
      <w:marBottom w:val="0"/>
      <w:divBdr>
        <w:top w:val="none" w:sz="0" w:space="0" w:color="auto"/>
        <w:left w:val="none" w:sz="0" w:space="0" w:color="auto"/>
        <w:bottom w:val="none" w:sz="0" w:space="0" w:color="auto"/>
        <w:right w:val="none" w:sz="0" w:space="0" w:color="auto"/>
      </w:divBdr>
    </w:div>
    <w:div w:id="523401895">
      <w:bodyDiv w:val="1"/>
      <w:marLeft w:val="0"/>
      <w:marRight w:val="0"/>
      <w:marTop w:val="0"/>
      <w:marBottom w:val="0"/>
      <w:divBdr>
        <w:top w:val="none" w:sz="0" w:space="0" w:color="auto"/>
        <w:left w:val="none" w:sz="0" w:space="0" w:color="auto"/>
        <w:bottom w:val="none" w:sz="0" w:space="0" w:color="auto"/>
        <w:right w:val="none" w:sz="0" w:space="0" w:color="auto"/>
      </w:divBdr>
    </w:div>
    <w:div w:id="662243014">
      <w:bodyDiv w:val="1"/>
      <w:marLeft w:val="0"/>
      <w:marRight w:val="0"/>
      <w:marTop w:val="0"/>
      <w:marBottom w:val="0"/>
      <w:divBdr>
        <w:top w:val="none" w:sz="0" w:space="0" w:color="auto"/>
        <w:left w:val="none" w:sz="0" w:space="0" w:color="auto"/>
        <w:bottom w:val="none" w:sz="0" w:space="0" w:color="auto"/>
        <w:right w:val="none" w:sz="0" w:space="0" w:color="auto"/>
      </w:divBdr>
    </w:div>
    <w:div w:id="692615328">
      <w:bodyDiv w:val="1"/>
      <w:marLeft w:val="0"/>
      <w:marRight w:val="0"/>
      <w:marTop w:val="0"/>
      <w:marBottom w:val="0"/>
      <w:divBdr>
        <w:top w:val="none" w:sz="0" w:space="0" w:color="auto"/>
        <w:left w:val="none" w:sz="0" w:space="0" w:color="auto"/>
        <w:bottom w:val="none" w:sz="0" w:space="0" w:color="auto"/>
        <w:right w:val="none" w:sz="0" w:space="0" w:color="auto"/>
      </w:divBdr>
    </w:div>
    <w:div w:id="708189170">
      <w:bodyDiv w:val="1"/>
      <w:marLeft w:val="0"/>
      <w:marRight w:val="0"/>
      <w:marTop w:val="0"/>
      <w:marBottom w:val="0"/>
      <w:divBdr>
        <w:top w:val="none" w:sz="0" w:space="0" w:color="auto"/>
        <w:left w:val="none" w:sz="0" w:space="0" w:color="auto"/>
        <w:bottom w:val="none" w:sz="0" w:space="0" w:color="auto"/>
        <w:right w:val="none" w:sz="0" w:space="0" w:color="auto"/>
      </w:divBdr>
    </w:div>
    <w:div w:id="708838088">
      <w:bodyDiv w:val="1"/>
      <w:marLeft w:val="0"/>
      <w:marRight w:val="0"/>
      <w:marTop w:val="0"/>
      <w:marBottom w:val="0"/>
      <w:divBdr>
        <w:top w:val="none" w:sz="0" w:space="0" w:color="auto"/>
        <w:left w:val="none" w:sz="0" w:space="0" w:color="auto"/>
        <w:bottom w:val="none" w:sz="0" w:space="0" w:color="auto"/>
        <w:right w:val="none" w:sz="0" w:space="0" w:color="auto"/>
      </w:divBdr>
    </w:div>
    <w:div w:id="714621525">
      <w:bodyDiv w:val="1"/>
      <w:marLeft w:val="0"/>
      <w:marRight w:val="0"/>
      <w:marTop w:val="0"/>
      <w:marBottom w:val="0"/>
      <w:divBdr>
        <w:top w:val="none" w:sz="0" w:space="0" w:color="auto"/>
        <w:left w:val="none" w:sz="0" w:space="0" w:color="auto"/>
        <w:bottom w:val="none" w:sz="0" w:space="0" w:color="auto"/>
        <w:right w:val="none" w:sz="0" w:space="0" w:color="auto"/>
      </w:divBdr>
    </w:div>
    <w:div w:id="724909786">
      <w:bodyDiv w:val="1"/>
      <w:marLeft w:val="0"/>
      <w:marRight w:val="0"/>
      <w:marTop w:val="0"/>
      <w:marBottom w:val="0"/>
      <w:divBdr>
        <w:top w:val="none" w:sz="0" w:space="0" w:color="auto"/>
        <w:left w:val="none" w:sz="0" w:space="0" w:color="auto"/>
        <w:bottom w:val="none" w:sz="0" w:space="0" w:color="auto"/>
        <w:right w:val="none" w:sz="0" w:space="0" w:color="auto"/>
      </w:divBdr>
    </w:div>
    <w:div w:id="731850010">
      <w:bodyDiv w:val="1"/>
      <w:marLeft w:val="0"/>
      <w:marRight w:val="0"/>
      <w:marTop w:val="0"/>
      <w:marBottom w:val="0"/>
      <w:divBdr>
        <w:top w:val="none" w:sz="0" w:space="0" w:color="auto"/>
        <w:left w:val="none" w:sz="0" w:space="0" w:color="auto"/>
        <w:bottom w:val="none" w:sz="0" w:space="0" w:color="auto"/>
        <w:right w:val="none" w:sz="0" w:space="0" w:color="auto"/>
      </w:divBdr>
      <w:divsChild>
        <w:div w:id="272245698">
          <w:marLeft w:val="288"/>
          <w:marRight w:val="0"/>
          <w:marTop w:val="0"/>
          <w:marBottom w:val="60"/>
          <w:divBdr>
            <w:top w:val="none" w:sz="0" w:space="0" w:color="auto"/>
            <w:left w:val="none" w:sz="0" w:space="0" w:color="auto"/>
            <w:bottom w:val="none" w:sz="0" w:space="0" w:color="auto"/>
            <w:right w:val="none" w:sz="0" w:space="0" w:color="auto"/>
          </w:divBdr>
        </w:div>
        <w:div w:id="1392464662">
          <w:marLeft w:val="288"/>
          <w:marRight w:val="0"/>
          <w:marTop w:val="0"/>
          <w:marBottom w:val="60"/>
          <w:divBdr>
            <w:top w:val="none" w:sz="0" w:space="0" w:color="auto"/>
            <w:left w:val="none" w:sz="0" w:space="0" w:color="auto"/>
            <w:bottom w:val="none" w:sz="0" w:space="0" w:color="auto"/>
            <w:right w:val="none" w:sz="0" w:space="0" w:color="auto"/>
          </w:divBdr>
        </w:div>
        <w:div w:id="1566139687">
          <w:marLeft w:val="288"/>
          <w:marRight w:val="0"/>
          <w:marTop w:val="0"/>
          <w:marBottom w:val="60"/>
          <w:divBdr>
            <w:top w:val="none" w:sz="0" w:space="0" w:color="auto"/>
            <w:left w:val="none" w:sz="0" w:space="0" w:color="auto"/>
            <w:bottom w:val="none" w:sz="0" w:space="0" w:color="auto"/>
            <w:right w:val="none" w:sz="0" w:space="0" w:color="auto"/>
          </w:divBdr>
        </w:div>
        <w:div w:id="1584143084">
          <w:marLeft w:val="288"/>
          <w:marRight w:val="0"/>
          <w:marTop w:val="0"/>
          <w:marBottom w:val="60"/>
          <w:divBdr>
            <w:top w:val="none" w:sz="0" w:space="0" w:color="auto"/>
            <w:left w:val="none" w:sz="0" w:space="0" w:color="auto"/>
            <w:bottom w:val="none" w:sz="0" w:space="0" w:color="auto"/>
            <w:right w:val="none" w:sz="0" w:space="0" w:color="auto"/>
          </w:divBdr>
        </w:div>
      </w:divsChild>
    </w:div>
    <w:div w:id="765349956">
      <w:bodyDiv w:val="1"/>
      <w:marLeft w:val="0"/>
      <w:marRight w:val="0"/>
      <w:marTop w:val="0"/>
      <w:marBottom w:val="0"/>
      <w:divBdr>
        <w:top w:val="none" w:sz="0" w:space="0" w:color="auto"/>
        <w:left w:val="none" w:sz="0" w:space="0" w:color="auto"/>
        <w:bottom w:val="none" w:sz="0" w:space="0" w:color="auto"/>
        <w:right w:val="none" w:sz="0" w:space="0" w:color="auto"/>
      </w:divBdr>
    </w:div>
    <w:div w:id="808278995">
      <w:bodyDiv w:val="1"/>
      <w:marLeft w:val="0"/>
      <w:marRight w:val="0"/>
      <w:marTop w:val="0"/>
      <w:marBottom w:val="0"/>
      <w:divBdr>
        <w:top w:val="none" w:sz="0" w:space="0" w:color="auto"/>
        <w:left w:val="none" w:sz="0" w:space="0" w:color="auto"/>
        <w:bottom w:val="none" w:sz="0" w:space="0" w:color="auto"/>
        <w:right w:val="none" w:sz="0" w:space="0" w:color="auto"/>
      </w:divBdr>
    </w:div>
    <w:div w:id="816455236">
      <w:bodyDiv w:val="1"/>
      <w:marLeft w:val="0"/>
      <w:marRight w:val="0"/>
      <w:marTop w:val="0"/>
      <w:marBottom w:val="0"/>
      <w:divBdr>
        <w:top w:val="none" w:sz="0" w:space="0" w:color="auto"/>
        <w:left w:val="none" w:sz="0" w:space="0" w:color="auto"/>
        <w:bottom w:val="none" w:sz="0" w:space="0" w:color="auto"/>
        <w:right w:val="none" w:sz="0" w:space="0" w:color="auto"/>
      </w:divBdr>
    </w:div>
    <w:div w:id="831220767">
      <w:bodyDiv w:val="1"/>
      <w:marLeft w:val="0"/>
      <w:marRight w:val="0"/>
      <w:marTop w:val="0"/>
      <w:marBottom w:val="0"/>
      <w:divBdr>
        <w:top w:val="none" w:sz="0" w:space="0" w:color="auto"/>
        <w:left w:val="none" w:sz="0" w:space="0" w:color="auto"/>
        <w:bottom w:val="none" w:sz="0" w:space="0" w:color="auto"/>
        <w:right w:val="none" w:sz="0" w:space="0" w:color="auto"/>
      </w:divBdr>
    </w:div>
    <w:div w:id="890726948">
      <w:bodyDiv w:val="1"/>
      <w:marLeft w:val="0"/>
      <w:marRight w:val="0"/>
      <w:marTop w:val="0"/>
      <w:marBottom w:val="0"/>
      <w:divBdr>
        <w:top w:val="none" w:sz="0" w:space="0" w:color="auto"/>
        <w:left w:val="none" w:sz="0" w:space="0" w:color="auto"/>
        <w:bottom w:val="none" w:sz="0" w:space="0" w:color="auto"/>
        <w:right w:val="none" w:sz="0" w:space="0" w:color="auto"/>
      </w:divBdr>
      <w:divsChild>
        <w:div w:id="736051770">
          <w:marLeft w:val="288"/>
          <w:marRight w:val="0"/>
          <w:marTop w:val="0"/>
          <w:marBottom w:val="80"/>
          <w:divBdr>
            <w:top w:val="none" w:sz="0" w:space="0" w:color="auto"/>
            <w:left w:val="none" w:sz="0" w:space="0" w:color="auto"/>
            <w:bottom w:val="none" w:sz="0" w:space="0" w:color="auto"/>
            <w:right w:val="none" w:sz="0" w:space="0" w:color="auto"/>
          </w:divBdr>
        </w:div>
        <w:div w:id="1198810942">
          <w:marLeft w:val="288"/>
          <w:marRight w:val="0"/>
          <w:marTop w:val="0"/>
          <w:marBottom w:val="80"/>
          <w:divBdr>
            <w:top w:val="none" w:sz="0" w:space="0" w:color="auto"/>
            <w:left w:val="none" w:sz="0" w:space="0" w:color="auto"/>
            <w:bottom w:val="none" w:sz="0" w:space="0" w:color="auto"/>
            <w:right w:val="none" w:sz="0" w:space="0" w:color="auto"/>
          </w:divBdr>
        </w:div>
        <w:div w:id="1615015784">
          <w:marLeft w:val="288"/>
          <w:marRight w:val="0"/>
          <w:marTop w:val="0"/>
          <w:marBottom w:val="80"/>
          <w:divBdr>
            <w:top w:val="none" w:sz="0" w:space="0" w:color="auto"/>
            <w:left w:val="none" w:sz="0" w:space="0" w:color="auto"/>
            <w:bottom w:val="none" w:sz="0" w:space="0" w:color="auto"/>
            <w:right w:val="none" w:sz="0" w:space="0" w:color="auto"/>
          </w:divBdr>
        </w:div>
        <w:div w:id="1946308332">
          <w:marLeft w:val="288"/>
          <w:marRight w:val="0"/>
          <w:marTop w:val="0"/>
          <w:marBottom w:val="80"/>
          <w:divBdr>
            <w:top w:val="none" w:sz="0" w:space="0" w:color="auto"/>
            <w:left w:val="none" w:sz="0" w:space="0" w:color="auto"/>
            <w:bottom w:val="none" w:sz="0" w:space="0" w:color="auto"/>
            <w:right w:val="none" w:sz="0" w:space="0" w:color="auto"/>
          </w:divBdr>
        </w:div>
      </w:divsChild>
    </w:div>
    <w:div w:id="893394377">
      <w:bodyDiv w:val="1"/>
      <w:marLeft w:val="0"/>
      <w:marRight w:val="0"/>
      <w:marTop w:val="0"/>
      <w:marBottom w:val="0"/>
      <w:divBdr>
        <w:top w:val="none" w:sz="0" w:space="0" w:color="auto"/>
        <w:left w:val="none" w:sz="0" w:space="0" w:color="auto"/>
        <w:bottom w:val="none" w:sz="0" w:space="0" w:color="auto"/>
        <w:right w:val="none" w:sz="0" w:space="0" w:color="auto"/>
      </w:divBdr>
    </w:div>
    <w:div w:id="957226904">
      <w:bodyDiv w:val="1"/>
      <w:marLeft w:val="0"/>
      <w:marRight w:val="0"/>
      <w:marTop w:val="0"/>
      <w:marBottom w:val="0"/>
      <w:divBdr>
        <w:top w:val="none" w:sz="0" w:space="0" w:color="auto"/>
        <w:left w:val="none" w:sz="0" w:space="0" w:color="auto"/>
        <w:bottom w:val="none" w:sz="0" w:space="0" w:color="auto"/>
        <w:right w:val="none" w:sz="0" w:space="0" w:color="auto"/>
      </w:divBdr>
    </w:div>
    <w:div w:id="958029722">
      <w:bodyDiv w:val="1"/>
      <w:marLeft w:val="0"/>
      <w:marRight w:val="0"/>
      <w:marTop w:val="0"/>
      <w:marBottom w:val="0"/>
      <w:divBdr>
        <w:top w:val="none" w:sz="0" w:space="0" w:color="auto"/>
        <w:left w:val="none" w:sz="0" w:space="0" w:color="auto"/>
        <w:bottom w:val="none" w:sz="0" w:space="0" w:color="auto"/>
        <w:right w:val="none" w:sz="0" w:space="0" w:color="auto"/>
      </w:divBdr>
    </w:div>
    <w:div w:id="964237486">
      <w:bodyDiv w:val="1"/>
      <w:marLeft w:val="0"/>
      <w:marRight w:val="0"/>
      <w:marTop w:val="0"/>
      <w:marBottom w:val="0"/>
      <w:divBdr>
        <w:top w:val="none" w:sz="0" w:space="0" w:color="auto"/>
        <w:left w:val="none" w:sz="0" w:space="0" w:color="auto"/>
        <w:bottom w:val="none" w:sz="0" w:space="0" w:color="auto"/>
        <w:right w:val="none" w:sz="0" w:space="0" w:color="auto"/>
      </w:divBdr>
      <w:divsChild>
        <w:div w:id="797144457">
          <w:marLeft w:val="274"/>
          <w:marRight w:val="0"/>
          <w:marTop w:val="0"/>
          <w:marBottom w:val="120"/>
          <w:divBdr>
            <w:top w:val="none" w:sz="0" w:space="0" w:color="auto"/>
            <w:left w:val="none" w:sz="0" w:space="0" w:color="auto"/>
            <w:bottom w:val="none" w:sz="0" w:space="0" w:color="auto"/>
            <w:right w:val="none" w:sz="0" w:space="0" w:color="auto"/>
          </w:divBdr>
        </w:div>
      </w:divsChild>
    </w:div>
    <w:div w:id="978613677">
      <w:bodyDiv w:val="1"/>
      <w:marLeft w:val="0"/>
      <w:marRight w:val="0"/>
      <w:marTop w:val="0"/>
      <w:marBottom w:val="0"/>
      <w:divBdr>
        <w:top w:val="none" w:sz="0" w:space="0" w:color="auto"/>
        <w:left w:val="none" w:sz="0" w:space="0" w:color="auto"/>
        <w:bottom w:val="none" w:sz="0" w:space="0" w:color="auto"/>
        <w:right w:val="none" w:sz="0" w:space="0" w:color="auto"/>
      </w:divBdr>
    </w:div>
    <w:div w:id="1004356046">
      <w:bodyDiv w:val="1"/>
      <w:marLeft w:val="0"/>
      <w:marRight w:val="0"/>
      <w:marTop w:val="0"/>
      <w:marBottom w:val="0"/>
      <w:divBdr>
        <w:top w:val="none" w:sz="0" w:space="0" w:color="auto"/>
        <w:left w:val="none" w:sz="0" w:space="0" w:color="auto"/>
        <w:bottom w:val="none" w:sz="0" w:space="0" w:color="auto"/>
        <w:right w:val="none" w:sz="0" w:space="0" w:color="auto"/>
      </w:divBdr>
    </w:div>
    <w:div w:id="1025405821">
      <w:bodyDiv w:val="1"/>
      <w:marLeft w:val="0"/>
      <w:marRight w:val="0"/>
      <w:marTop w:val="0"/>
      <w:marBottom w:val="0"/>
      <w:divBdr>
        <w:top w:val="none" w:sz="0" w:space="0" w:color="auto"/>
        <w:left w:val="none" w:sz="0" w:space="0" w:color="auto"/>
        <w:bottom w:val="none" w:sz="0" w:space="0" w:color="auto"/>
        <w:right w:val="none" w:sz="0" w:space="0" w:color="auto"/>
      </w:divBdr>
    </w:div>
    <w:div w:id="1047753860">
      <w:bodyDiv w:val="1"/>
      <w:marLeft w:val="0"/>
      <w:marRight w:val="0"/>
      <w:marTop w:val="0"/>
      <w:marBottom w:val="0"/>
      <w:divBdr>
        <w:top w:val="none" w:sz="0" w:space="0" w:color="auto"/>
        <w:left w:val="none" w:sz="0" w:space="0" w:color="auto"/>
        <w:bottom w:val="none" w:sz="0" w:space="0" w:color="auto"/>
        <w:right w:val="none" w:sz="0" w:space="0" w:color="auto"/>
      </w:divBdr>
      <w:divsChild>
        <w:div w:id="97331109">
          <w:marLeft w:val="288"/>
          <w:marRight w:val="0"/>
          <w:marTop w:val="0"/>
          <w:marBottom w:val="60"/>
          <w:divBdr>
            <w:top w:val="none" w:sz="0" w:space="0" w:color="auto"/>
            <w:left w:val="none" w:sz="0" w:space="0" w:color="auto"/>
            <w:bottom w:val="none" w:sz="0" w:space="0" w:color="auto"/>
            <w:right w:val="none" w:sz="0" w:space="0" w:color="auto"/>
          </w:divBdr>
        </w:div>
        <w:div w:id="162084476">
          <w:marLeft w:val="288"/>
          <w:marRight w:val="0"/>
          <w:marTop w:val="0"/>
          <w:marBottom w:val="60"/>
          <w:divBdr>
            <w:top w:val="none" w:sz="0" w:space="0" w:color="auto"/>
            <w:left w:val="none" w:sz="0" w:space="0" w:color="auto"/>
            <w:bottom w:val="none" w:sz="0" w:space="0" w:color="auto"/>
            <w:right w:val="none" w:sz="0" w:space="0" w:color="auto"/>
          </w:divBdr>
        </w:div>
        <w:div w:id="1403405624">
          <w:marLeft w:val="288"/>
          <w:marRight w:val="0"/>
          <w:marTop w:val="0"/>
          <w:marBottom w:val="60"/>
          <w:divBdr>
            <w:top w:val="none" w:sz="0" w:space="0" w:color="auto"/>
            <w:left w:val="none" w:sz="0" w:space="0" w:color="auto"/>
            <w:bottom w:val="none" w:sz="0" w:space="0" w:color="auto"/>
            <w:right w:val="none" w:sz="0" w:space="0" w:color="auto"/>
          </w:divBdr>
        </w:div>
        <w:div w:id="1823428697">
          <w:marLeft w:val="288"/>
          <w:marRight w:val="0"/>
          <w:marTop w:val="0"/>
          <w:marBottom w:val="60"/>
          <w:divBdr>
            <w:top w:val="none" w:sz="0" w:space="0" w:color="auto"/>
            <w:left w:val="none" w:sz="0" w:space="0" w:color="auto"/>
            <w:bottom w:val="none" w:sz="0" w:space="0" w:color="auto"/>
            <w:right w:val="none" w:sz="0" w:space="0" w:color="auto"/>
          </w:divBdr>
        </w:div>
      </w:divsChild>
    </w:div>
    <w:div w:id="1063021725">
      <w:bodyDiv w:val="1"/>
      <w:marLeft w:val="0"/>
      <w:marRight w:val="0"/>
      <w:marTop w:val="0"/>
      <w:marBottom w:val="0"/>
      <w:divBdr>
        <w:top w:val="none" w:sz="0" w:space="0" w:color="auto"/>
        <w:left w:val="none" w:sz="0" w:space="0" w:color="auto"/>
        <w:bottom w:val="none" w:sz="0" w:space="0" w:color="auto"/>
        <w:right w:val="none" w:sz="0" w:space="0" w:color="auto"/>
      </w:divBdr>
    </w:div>
    <w:div w:id="1080492981">
      <w:bodyDiv w:val="1"/>
      <w:marLeft w:val="0"/>
      <w:marRight w:val="0"/>
      <w:marTop w:val="0"/>
      <w:marBottom w:val="0"/>
      <w:divBdr>
        <w:top w:val="none" w:sz="0" w:space="0" w:color="auto"/>
        <w:left w:val="none" w:sz="0" w:space="0" w:color="auto"/>
        <w:bottom w:val="none" w:sz="0" w:space="0" w:color="auto"/>
        <w:right w:val="none" w:sz="0" w:space="0" w:color="auto"/>
      </w:divBdr>
    </w:div>
    <w:div w:id="1138717093">
      <w:bodyDiv w:val="1"/>
      <w:marLeft w:val="0"/>
      <w:marRight w:val="0"/>
      <w:marTop w:val="0"/>
      <w:marBottom w:val="0"/>
      <w:divBdr>
        <w:top w:val="none" w:sz="0" w:space="0" w:color="auto"/>
        <w:left w:val="none" w:sz="0" w:space="0" w:color="auto"/>
        <w:bottom w:val="none" w:sz="0" w:space="0" w:color="auto"/>
        <w:right w:val="none" w:sz="0" w:space="0" w:color="auto"/>
      </w:divBdr>
      <w:divsChild>
        <w:div w:id="314074037">
          <w:marLeft w:val="288"/>
          <w:marRight w:val="0"/>
          <w:marTop w:val="0"/>
          <w:marBottom w:val="60"/>
          <w:divBdr>
            <w:top w:val="none" w:sz="0" w:space="0" w:color="auto"/>
            <w:left w:val="none" w:sz="0" w:space="0" w:color="auto"/>
            <w:bottom w:val="none" w:sz="0" w:space="0" w:color="auto"/>
            <w:right w:val="none" w:sz="0" w:space="0" w:color="auto"/>
          </w:divBdr>
        </w:div>
        <w:div w:id="1303928651">
          <w:marLeft w:val="288"/>
          <w:marRight w:val="0"/>
          <w:marTop w:val="0"/>
          <w:marBottom w:val="60"/>
          <w:divBdr>
            <w:top w:val="none" w:sz="0" w:space="0" w:color="auto"/>
            <w:left w:val="none" w:sz="0" w:space="0" w:color="auto"/>
            <w:bottom w:val="none" w:sz="0" w:space="0" w:color="auto"/>
            <w:right w:val="none" w:sz="0" w:space="0" w:color="auto"/>
          </w:divBdr>
        </w:div>
        <w:div w:id="1507671465">
          <w:marLeft w:val="288"/>
          <w:marRight w:val="0"/>
          <w:marTop w:val="0"/>
          <w:marBottom w:val="60"/>
          <w:divBdr>
            <w:top w:val="none" w:sz="0" w:space="0" w:color="auto"/>
            <w:left w:val="none" w:sz="0" w:space="0" w:color="auto"/>
            <w:bottom w:val="none" w:sz="0" w:space="0" w:color="auto"/>
            <w:right w:val="none" w:sz="0" w:space="0" w:color="auto"/>
          </w:divBdr>
        </w:div>
        <w:div w:id="1591347780">
          <w:marLeft w:val="288"/>
          <w:marRight w:val="0"/>
          <w:marTop w:val="0"/>
          <w:marBottom w:val="60"/>
          <w:divBdr>
            <w:top w:val="none" w:sz="0" w:space="0" w:color="auto"/>
            <w:left w:val="none" w:sz="0" w:space="0" w:color="auto"/>
            <w:bottom w:val="none" w:sz="0" w:space="0" w:color="auto"/>
            <w:right w:val="none" w:sz="0" w:space="0" w:color="auto"/>
          </w:divBdr>
        </w:div>
      </w:divsChild>
    </w:div>
    <w:div w:id="1187215870">
      <w:bodyDiv w:val="1"/>
      <w:marLeft w:val="0"/>
      <w:marRight w:val="0"/>
      <w:marTop w:val="0"/>
      <w:marBottom w:val="0"/>
      <w:divBdr>
        <w:top w:val="none" w:sz="0" w:space="0" w:color="auto"/>
        <w:left w:val="none" w:sz="0" w:space="0" w:color="auto"/>
        <w:bottom w:val="none" w:sz="0" w:space="0" w:color="auto"/>
        <w:right w:val="none" w:sz="0" w:space="0" w:color="auto"/>
      </w:divBdr>
    </w:div>
    <w:div w:id="1188643665">
      <w:bodyDiv w:val="1"/>
      <w:marLeft w:val="0"/>
      <w:marRight w:val="0"/>
      <w:marTop w:val="0"/>
      <w:marBottom w:val="0"/>
      <w:divBdr>
        <w:top w:val="none" w:sz="0" w:space="0" w:color="auto"/>
        <w:left w:val="none" w:sz="0" w:space="0" w:color="auto"/>
        <w:bottom w:val="none" w:sz="0" w:space="0" w:color="auto"/>
        <w:right w:val="none" w:sz="0" w:space="0" w:color="auto"/>
      </w:divBdr>
      <w:divsChild>
        <w:div w:id="1947424569">
          <w:marLeft w:val="0"/>
          <w:marRight w:val="0"/>
          <w:marTop w:val="0"/>
          <w:marBottom w:val="0"/>
          <w:divBdr>
            <w:top w:val="none" w:sz="0" w:space="0" w:color="auto"/>
            <w:left w:val="none" w:sz="0" w:space="0" w:color="auto"/>
            <w:bottom w:val="none" w:sz="0" w:space="0" w:color="auto"/>
            <w:right w:val="none" w:sz="0" w:space="0" w:color="auto"/>
          </w:divBdr>
        </w:div>
      </w:divsChild>
    </w:div>
    <w:div w:id="1258367424">
      <w:bodyDiv w:val="1"/>
      <w:marLeft w:val="0"/>
      <w:marRight w:val="0"/>
      <w:marTop w:val="0"/>
      <w:marBottom w:val="0"/>
      <w:divBdr>
        <w:top w:val="none" w:sz="0" w:space="0" w:color="auto"/>
        <w:left w:val="none" w:sz="0" w:space="0" w:color="auto"/>
        <w:bottom w:val="none" w:sz="0" w:space="0" w:color="auto"/>
        <w:right w:val="none" w:sz="0" w:space="0" w:color="auto"/>
      </w:divBdr>
    </w:div>
    <w:div w:id="1266570682">
      <w:bodyDiv w:val="1"/>
      <w:marLeft w:val="0"/>
      <w:marRight w:val="0"/>
      <w:marTop w:val="0"/>
      <w:marBottom w:val="0"/>
      <w:divBdr>
        <w:top w:val="none" w:sz="0" w:space="0" w:color="auto"/>
        <w:left w:val="none" w:sz="0" w:space="0" w:color="auto"/>
        <w:bottom w:val="none" w:sz="0" w:space="0" w:color="auto"/>
        <w:right w:val="none" w:sz="0" w:space="0" w:color="auto"/>
      </w:divBdr>
    </w:div>
    <w:div w:id="1294099704">
      <w:bodyDiv w:val="1"/>
      <w:marLeft w:val="0"/>
      <w:marRight w:val="0"/>
      <w:marTop w:val="0"/>
      <w:marBottom w:val="0"/>
      <w:divBdr>
        <w:top w:val="none" w:sz="0" w:space="0" w:color="auto"/>
        <w:left w:val="none" w:sz="0" w:space="0" w:color="auto"/>
        <w:bottom w:val="none" w:sz="0" w:space="0" w:color="auto"/>
        <w:right w:val="none" w:sz="0" w:space="0" w:color="auto"/>
      </w:divBdr>
    </w:div>
    <w:div w:id="1301421713">
      <w:bodyDiv w:val="1"/>
      <w:marLeft w:val="0"/>
      <w:marRight w:val="0"/>
      <w:marTop w:val="0"/>
      <w:marBottom w:val="0"/>
      <w:divBdr>
        <w:top w:val="none" w:sz="0" w:space="0" w:color="auto"/>
        <w:left w:val="none" w:sz="0" w:space="0" w:color="auto"/>
        <w:bottom w:val="none" w:sz="0" w:space="0" w:color="auto"/>
        <w:right w:val="none" w:sz="0" w:space="0" w:color="auto"/>
      </w:divBdr>
    </w:div>
    <w:div w:id="1320384854">
      <w:bodyDiv w:val="1"/>
      <w:marLeft w:val="0"/>
      <w:marRight w:val="0"/>
      <w:marTop w:val="0"/>
      <w:marBottom w:val="0"/>
      <w:divBdr>
        <w:top w:val="none" w:sz="0" w:space="0" w:color="auto"/>
        <w:left w:val="none" w:sz="0" w:space="0" w:color="auto"/>
        <w:bottom w:val="none" w:sz="0" w:space="0" w:color="auto"/>
        <w:right w:val="none" w:sz="0" w:space="0" w:color="auto"/>
      </w:divBdr>
    </w:div>
    <w:div w:id="1327123922">
      <w:bodyDiv w:val="1"/>
      <w:marLeft w:val="0"/>
      <w:marRight w:val="0"/>
      <w:marTop w:val="0"/>
      <w:marBottom w:val="0"/>
      <w:divBdr>
        <w:top w:val="none" w:sz="0" w:space="0" w:color="auto"/>
        <w:left w:val="none" w:sz="0" w:space="0" w:color="auto"/>
        <w:bottom w:val="none" w:sz="0" w:space="0" w:color="auto"/>
        <w:right w:val="none" w:sz="0" w:space="0" w:color="auto"/>
      </w:divBdr>
    </w:div>
    <w:div w:id="1366976935">
      <w:bodyDiv w:val="1"/>
      <w:marLeft w:val="0"/>
      <w:marRight w:val="0"/>
      <w:marTop w:val="0"/>
      <w:marBottom w:val="0"/>
      <w:divBdr>
        <w:top w:val="none" w:sz="0" w:space="0" w:color="auto"/>
        <w:left w:val="none" w:sz="0" w:space="0" w:color="auto"/>
        <w:bottom w:val="none" w:sz="0" w:space="0" w:color="auto"/>
        <w:right w:val="none" w:sz="0" w:space="0" w:color="auto"/>
      </w:divBdr>
    </w:div>
    <w:div w:id="1370564854">
      <w:bodyDiv w:val="1"/>
      <w:marLeft w:val="0"/>
      <w:marRight w:val="0"/>
      <w:marTop w:val="0"/>
      <w:marBottom w:val="0"/>
      <w:divBdr>
        <w:top w:val="none" w:sz="0" w:space="0" w:color="auto"/>
        <w:left w:val="none" w:sz="0" w:space="0" w:color="auto"/>
        <w:bottom w:val="none" w:sz="0" w:space="0" w:color="auto"/>
        <w:right w:val="none" w:sz="0" w:space="0" w:color="auto"/>
      </w:divBdr>
    </w:div>
    <w:div w:id="1375811867">
      <w:bodyDiv w:val="1"/>
      <w:marLeft w:val="0"/>
      <w:marRight w:val="0"/>
      <w:marTop w:val="0"/>
      <w:marBottom w:val="0"/>
      <w:divBdr>
        <w:top w:val="none" w:sz="0" w:space="0" w:color="auto"/>
        <w:left w:val="none" w:sz="0" w:space="0" w:color="auto"/>
        <w:bottom w:val="none" w:sz="0" w:space="0" w:color="auto"/>
        <w:right w:val="none" w:sz="0" w:space="0" w:color="auto"/>
      </w:divBdr>
    </w:div>
    <w:div w:id="1386180433">
      <w:bodyDiv w:val="1"/>
      <w:marLeft w:val="0"/>
      <w:marRight w:val="0"/>
      <w:marTop w:val="0"/>
      <w:marBottom w:val="0"/>
      <w:divBdr>
        <w:top w:val="none" w:sz="0" w:space="0" w:color="auto"/>
        <w:left w:val="none" w:sz="0" w:space="0" w:color="auto"/>
        <w:bottom w:val="none" w:sz="0" w:space="0" w:color="auto"/>
        <w:right w:val="none" w:sz="0" w:space="0" w:color="auto"/>
      </w:divBdr>
    </w:div>
    <w:div w:id="1400205698">
      <w:bodyDiv w:val="1"/>
      <w:marLeft w:val="0"/>
      <w:marRight w:val="0"/>
      <w:marTop w:val="0"/>
      <w:marBottom w:val="0"/>
      <w:divBdr>
        <w:top w:val="none" w:sz="0" w:space="0" w:color="auto"/>
        <w:left w:val="none" w:sz="0" w:space="0" w:color="auto"/>
        <w:bottom w:val="none" w:sz="0" w:space="0" w:color="auto"/>
        <w:right w:val="none" w:sz="0" w:space="0" w:color="auto"/>
      </w:divBdr>
      <w:divsChild>
        <w:div w:id="1782915703">
          <w:marLeft w:val="274"/>
          <w:marRight w:val="0"/>
          <w:marTop w:val="0"/>
          <w:marBottom w:val="120"/>
          <w:divBdr>
            <w:top w:val="none" w:sz="0" w:space="0" w:color="auto"/>
            <w:left w:val="none" w:sz="0" w:space="0" w:color="auto"/>
            <w:bottom w:val="none" w:sz="0" w:space="0" w:color="auto"/>
            <w:right w:val="none" w:sz="0" w:space="0" w:color="auto"/>
          </w:divBdr>
        </w:div>
      </w:divsChild>
    </w:div>
    <w:div w:id="1419862578">
      <w:bodyDiv w:val="1"/>
      <w:marLeft w:val="0"/>
      <w:marRight w:val="0"/>
      <w:marTop w:val="0"/>
      <w:marBottom w:val="0"/>
      <w:divBdr>
        <w:top w:val="none" w:sz="0" w:space="0" w:color="auto"/>
        <w:left w:val="none" w:sz="0" w:space="0" w:color="auto"/>
        <w:bottom w:val="none" w:sz="0" w:space="0" w:color="auto"/>
        <w:right w:val="none" w:sz="0" w:space="0" w:color="auto"/>
      </w:divBdr>
    </w:div>
    <w:div w:id="1472675360">
      <w:bodyDiv w:val="1"/>
      <w:marLeft w:val="0"/>
      <w:marRight w:val="0"/>
      <w:marTop w:val="0"/>
      <w:marBottom w:val="0"/>
      <w:divBdr>
        <w:top w:val="none" w:sz="0" w:space="0" w:color="auto"/>
        <w:left w:val="none" w:sz="0" w:space="0" w:color="auto"/>
        <w:bottom w:val="none" w:sz="0" w:space="0" w:color="auto"/>
        <w:right w:val="none" w:sz="0" w:space="0" w:color="auto"/>
      </w:divBdr>
    </w:div>
    <w:div w:id="1504666685">
      <w:bodyDiv w:val="1"/>
      <w:marLeft w:val="0"/>
      <w:marRight w:val="0"/>
      <w:marTop w:val="0"/>
      <w:marBottom w:val="0"/>
      <w:divBdr>
        <w:top w:val="none" w:sz="0" w:space="0" w:color="auto"/>
        <w:left w:val="none" w:sz="0" w:space="0" w:color="auto"/>
        <w:bottom w:val="none" w:sz="0" w:space="0" w:color="auto"/>
        <w:right w:val="none" w:sz="0" w:space="0" w:color="auto"/>
      </w:divBdr>
    </w:div>
    <w:div w:id="1540703436">
      <w:bodyDiv w:val="1"/>
      <w:marLeft w:val="0"/>
      <w:marRight w:val="0"/>
      <w:marTop w:val="0"/>
      <w:marBottom w:val="0"/>
      <w:divBdr>
        <w:top w:val="none" w:sz="0" w:space="0" w:color="auto"/>
        <w:left w:val="none" w:sz="0" w:space="0" w:color="auto"/>
        <w:bottom w:val="none" w:sz="0" w:space="0" w:color="auto"/>
        <w:right w:val="none" w:sz="0" w:space="0" w:color="auto"/>
      </w:divBdr>
    </w:div>
    <w:div w:id="1543591785">
      <w:bodyDiv w:val="1"/>
      <w:marLeft w:val="0"/>
      <w:marRight w:val="0"/>
      <w:marTop w:val="0"/>
      <w:marBottom w:val="0"/>
      <w:divBdr>
        <w:top w:val="none" w:sz="0" w:space="0" w:color="auto"/>
        <w:left w:val="none" w:sz="0" w:space="0" w:color="auto"/>
        <w:bottom w:val="none" w:sz="0" w:space="0" w:color="auto"/>
        <w:right w:val="none" w:sz="0" w:space="0" w:color="auto"/>
      </w:divBdr>
    </w:div>
    <w:div w:id="1570572710">
      <w:bodyDiv w:val="1"/>
      <w:marLeft w:val="0"/>
      <w:marRight w:val="0"/>
      <w:marTop w:val="0"/>
      <w:marBottom w:val="0"/>
      <w:divBdr>
        <w:top w:val="none" w:sz="0" w:space="0" w:color="auto"/>
        <w:left w:val="none" w:sz="0" w:space="0" w:color="auto"/>
        <w:bottom w:val="none" w:sz="0" w:space="0" w:color="auto"/>
        <w:right w:val="none" w:sz="0" w:space="0" w:color="auto"/>
      </w:divBdr>
    </w:div>
    <w:div w:id="1589389297">
      <w:bodyDiv w:val="1"/>
      <w:marLeft w:val="0"/>
      <w:marRight w:val="0"/>
      <w:marTop w:val="0"/>
      <w:marBottom w:val="0"/>
      <w:divBdr>
        <w:top w:val="none" w:sz="0" w:space="0" w:color="auto"/>
        <w:left w:val="none" w:sz="0" w:space="0" w:color="auto"/>
        <w:bottom w:val="none" w:sz="0" w:space="0" w:color="auto"/>
        <w:right w:val="none" w:sz="0" w:space="0" w:color="auto"/>
      </w:divBdr>
    </w:div>
    <w:div w:id="1591964339">
      <w:bodyDiv w:val="1"/>
      <w:marLeft w:val="0"/>
      <w:marRight w:val="0"/>
      <w:marTop w:val="0"/>
      <w:marBottom w:val="0"/>
      <w:divBdr>
        <w:top w:val="none" w:sz="0" w:space="0" w:color="auto"/>
        <w:left w:val="none" w:sz="0" w:space="0" w:color="auto"/>
        <w:bottom w:val="none" w:sz="0" w:space="0" w:color="auto"/>
        <w:right w:val="none" w:sz="0" w:space="0" w:color="auto"/>
      </w:divBdr>
      <w:divsChild>
        <w:div w:id="886379861">
          <w:marLeft w:val="0"/>
          <w:marRight w:val="0"/>
          <w:marTop w:val="0"/>
          <w:marBottom w:val="0"/>
          <w:divBdr>
            <w:top w:val="none" w:sz="0" w:space="0" w:color="auto"/>
            <w:left w:val="none" w:sz="0" w:space="0" w:color="auto"/>
            <w:bottom w:val="none" w:sz="0" w:space="0" w:color="auto"/>
            <w:right w:val="none" w:sz="0" w:space="0" w:color="auto"/>
          </w:divBdr>
          <w:divsChild>
            <w:div w:id="1498185468">
              <w:marLeft w:val="0"/>
              <w:marRight w:val="0"/>
              <w:marTop w:val="0"/>
              <w:marBottom w:val="0"/>
              <w:divBdr>
                <w:top w:val="none" w:sz="0" w:space="0" w:color="auto"/>
                <w:left w:val="none" w:sz="0" w:space="0" w:color="auto"/>
                <w:bottom w:val="none" w:sz="0" w:space="0" w:color="auto"/>
                <w:right w:val="none" w:sz="0" w:space="0" w:color="auto"/>
              </w:divBdr>
              <w:divsChild>
                <w:div w:id="380252105">
                  <w:marLeft w:val="0"/>
                  <w:marRight w:val="0"/>
                  <w:marTop w:val="0"/>
                  <w:marBottom w:val="0"/>
                  <w:divBdr>
                    <w:top w:val="none" w:sz="0" w:space="0" w:color="auto"/>
                    <w:left w:val="none" w:sz="0" w:space="0" w:color="auto"/>
                    <w:bottom w:val="none" w:sz="0" w:space="0" w:color="auto"/>
                    <w:right w:val="none" w:sz="0" w:space="0" w:color="auto"/>
                  </w:divBdr>
                  <w:divsChild>
                    <w:div w:id="184637890">
                      <w:marLeft w:val="0"/>
                      <w:marRight w:val="-2921"/>
                      <w:marTop w:val="0"/>
                      <w:marBottom w:val="0"/>
                      <w:divBdr>
                        <w:top w:val="none" w:sz="0" w:space="0" w:color="auto"/>
                        <w:left w:val="none" w:sz="0" w:space="0" w:color="auto"/>
                        <w:bottom w:val="none" w:sz="0" w:space="0" w:color="auto"/>
                        <w:right w:val="none" w:sz="0" w:space="0" w:color="auto"/>
                      </w:divBdr>
                      <w:divsChild>
                        <w:div w:id="777453628">
                          <w:marLeft w:val="2459"/>
                          <w:marRight w:val="2921"/>
                          <w:marTop w:val="0"/>
                          <w:marBottom w:val="0"/>
                          <w:divBdr>
                            <w:top w:val="none" w:sz="0" w:space="0" w:color="auto"/>
                            <w:left w:val="none" w:sz="0" w:space="0" w:color="auto"/>
                            <w:bottom w:val="none" w:sz="0" w:space="0" w:color="auto"/>
                            <w:right w:val="none" w:sz="0" w:space="0" w:color="auto"/>
                          </w:divBdr>
                          <w:divsChild>
                            <w:div w:id="808715365">
                              <w:marLeft w:val="272"/>
                              <w:marRight w:val="272"/>
                              <w:marTop w:val="272"/>
                              <w:marBottom w:val="272"/>
                              <w:divBdr>
                                <w:top w:val="none" w:sz="0" w:space="0" w:color="auto"/>
                                <w:left w:val="none" w:sz="0" w:space="0" w:color="auto"/>
                                <w:bottom w:val="dotted" w:sz="6" w:space="14" w:color="003366"/>
                                <w:right w:val="none" w:sz="0" w:space="0" w:color="auto"/>
                              </w:divBdr>
                              <w:divsChild>
                                <w:div w:id="149464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5896827">
      <w:bodyDiv w:val="1"/>
      <w:marLeft w:val="0"/>
      <w:marRight w:val="0"/>
      <w:marTop w:val="0"/>
      <w:marBottom w:val="0"/>
      <w:divBdr>
        <w:top w:val="none" w:sz="0" w:space="0" w:color="auto"/>
        <w:left w:val="none" w:sz="0" w:space="0" w:color="auto"/>
        <w:bottom w:val="none" w:sz="0" w:space="0" w:color="auto"/>
        <w:right w:val="none" w:sz="0" w:space="0" w:color="auto"/>
      </w:divBdr>
      <w:divsChild>
        <w:div w:id="1139109741">
          <w:marLeft w:val="288"/>
          <w:marRight w:val="0"/>
          <w:marTop w:val="0"/>
          <w:marBottom w:val="60"/>
          <w:divBdr>
            <w:top w:val="none" w:sz="0" w:space="0" w:color="auto"/>
            <w:left w:val="none" w:sz="0" w:space="0" w:color="auto"/>
            <w:bottom w:val="none" w:sz="0" w:space="0" w:color="auto"/>
            <w:right w:val="none" w:sz="0" w:space="0" w:color="auto"/>
          </w:divBdr>
        </w:div>
        <w:div w:id="1645311264">
          <w:marLeft w:val="288"/>
          <w:marRight w:val="0"/>
          <w:marTop w:val="0"/>
          <w:marBottom w:val="60"/>
          <w:divBdr>
            <w:top w:val="none" w:sz="0" w:space="0" w:color="auto"/>
            <w:left w:val="none" w:sz="0" w:space="0" w:color="auto"/>
            <w:bottom w:val="none" w:sz="0" w:space="0" w:color="auto"/>
            <w:right w:val="none" w:sz="0" w:space="0" w:color="auto"/>
          </w:divBdr>
        </w:div>
        <w:div w:id="1803107664">
          <w:marLeft w:val="288"/>
          <w:marRight w:val="0"/>
          <w:marTop w:val="0"/>
          <w:marBottom w:val="60"/>
          <w:divBdr>
            <w:top w:val="none" w:sz="0" w:space="0" w:color="auto"/>
            <w:left w:val="none" w:sz="0" w:space="0" w:color="auto"/>
            <w:bottom w:val="none" w:sz="0" w:space="0" w:color="auto"/>
            <w:right w:val="none" w:sz="0" w:space="0" w:color="auto"/>
          </w:divBdr>
        </w:div>
      </w:divsChild>
    </w:div>
    <w:div w:id="1661348366">
      <w:bodyDiv w:val="1"/>
      <w:marLeft w:val="0"/>
      <w:marRight w:val="0"/>
      <w:marTop w:val="0"/>
      <w:marBottom w:val="0"/>
      <w:divBdr>
        <w:top w:val="none" w:sz="0" w:space="0" w:color="auto"/>
        <w:left w:val="none" w:sz="0" w:space="0" w:color="auto"/>
        <w:bottom w:val="none" w:sz="0" w:space="0" w:color="auto"/>
        <w:right w:val="none" w:sz="0" w:space="0" w:color="auto"/>
      </w:divBdr>
    </w:div>
    <w:div w:id="1711102525">
      <w:bodyDiv w:val="1"/>
      <w:marLeft w:val="0"/>
      <w:marRight w:val="0"/>
      <w:marTop w:val="0"/>
      <w:marBottom w:val="0"/>
      <w:divBdr>
        <w:top w:val="none" w:sz="0" w:space="0" w:color="auto"/>
        <w:left w:val="none" w:sz="0" w:space="0" w:color="auto"/>
        <w:bottom w:val="none" w:sz="0" w:space="0" w:color="auto"/>
        <w:right w:val="none" w:sz="0" w:space="0" w:color="auto"/>
      </w:divBdr>
    </w:div>
    <w:div w:id="1713967425">
      <w:bodyDiv w:val="1"/>
      <w:marLeft w:val="0"/>
      <w:marRight w:val="0"/>
      <w:marTop w:val="0"/>
      <w:marBottom w:val="0"/>
      <w:divBdr>
        <w:top w:val="none" w:sz="0" w:space="0" w:color="auto"/>
        <w:left w:val="none" w:sz="0" w:space="0" w:color="auto"/>
        <w:bottom w:val="none" w:sz="0" w:space="0" w:color="auto"/>
        <w:right w:val="none" w:sz="0" w:space="0" w:color="auto"/>
      </w:divBdr>
    </w:div>
    <w:div w:id="1752044566">
      <w:bodyDiv w:val="1"/>
      <w:marLeft w:val="0"/>
      <w:marRight w:val="0"/>
      <w:marTop w:val="0"/>
      <w:marBottom w:val="0"/>
      <w:divBdr>
        <w:top w:val="none" w:sz="0" w:space="0" w:color="auto"/>
        <w:left w:val="none" w:sz="0" w:space="0" w:color="auto"/>
        <w:bottom w:val="none" w:sz="0" w:space="0" w:color="auto"/>
        <w:right w:val="none" w:sz="0" w:space="0" w:color="auto"/>
      </w:divBdr>
    </w:div>
    <w:div w:id="1763183723">
      <w:bodyDiv w:val="1"/>
      <w:marLeft w:val="0"/>
      <w:marRight w:val="0"/>
      <w:marTop w:val="0"/>
      <w:marBottom w:val="0"/>
      <w:divBdr>
        <w:top w:val="none" w:sz="0" w:space="0" w:color="auto"/>
        <w:left w:val="none" w:sz="0" w:space="0" w:color="auto"/>
        <w:bottom w:val="none" w:sz="0" w:space="0" w:color="auto"/>
        <w:right w:val="none" w:sz="0" w:space="0" w:color="auto"/>
      </w:divBdr>
    </w:div>
    <w:div w:id="1788505383">
      <w:bodyDiv w:val="1"/>
      <w:marLeft w:val="0"/>
      <w:marRight w:val="0"/>
      <w:marTop w:val="0"/>
      <w:marBottom w:val="0"/>
      <w:divBdr>
        <w:top w:val="none" w:sz="0" w:space="0" w:color="auto"/>
        <w:left w:val="none" w:sz="0" w:space="0" w:color="auto"/>
        <w:bottom w:val="none" w:sz="0" w:space="0" w:color="auto"/>
        <w:right w:val="none" w:sz="0" w:space="0" w:color="auto"/>
      </w:divBdr>
    </w:div>
    <w:div w:id="1848444255">
      <w:bodyDiv w:val="1"/>
      <w:marLeft w:val="0"/>
      <w:marRight w:val="0"/>
      <w:marTop w:val="0"/>
      <w:marBottom w:val="0"/>
      <w:divBdr>
        <w:top w:val="none" w:sz="0" w:space="0" w:color="auto"/>
        <w:left w:val="none" w:sz="0" w:space="0" w:color="auto"/>
        <w:bottom w:val="none" w:sz="0" w:space="0" w:color="auto"/>
        <w:right w:val="none" w:sz="0" w:space="0" w:color="auto"/>
      </w:divBdr>
    </w:div>
    <w:div w:id="1883251481">
      <w:bodyDiv w:val="1"/>
      <w:marLeft w:val="0"/>
      <w:marRight w:val="0"/>
      <w:marTop w:val="0"/>
      <w:marBottom w:val="0"/>
      <w:divBdr>
        <w:top w:val="none" w:sz="0" w:space="0" w:color="auto"/>
        <w:left w:val="none" w:sz="0" w:space="0" w:color="auto"/>
        <w:bottom w:val="none" w:sz="0" w:space="0" w:color="auto"/>
        <w:right w:val="none" w:sz="0" w:space="0" w:color="auto"/>
      </w:divBdr>
    </w:div>
    <w:div w:id="1898396344">
      <w:bodyDiv w:val="1"/>
      <w:marLeft w:val="0"/>
      <w:marRight w:val="0"/>
      <w:marTop w:val="0"/>
      <w:marBottom w:val="0"/>
      <w:divBdr>
        <w:top w:val="none" w:sz="0" w:space="0" w:color="auto"/>
        <w:left w:val="none" w:sz="0" w:space="0" w:color="auto"/>
        <w:bottom w:val="none" w:sz="0" w:space="0" w:color="auto"/>
        <w:right w:val="none" w:sz="0" w:space="0" w:color="auto"/>
      </w:divBdr>
    </w:div>
    <w:div w:id="1938905085">
      <w:bodyDiv w:val="1"/>
      <w:marLeft w:val="0"/>
      <w:marRight w:val="0"/>
      <w:marTop w:val="0"/>
      <w:marBottom w:val="0"/>
      <w:divBdr>
        <w:top w:val="none" w:sz="0" w:space="0" w:color="auto"/>
        <w:left w:val="none" w:sz="0" w:space="0" w:color="auto"/>
        <w:bottom w:val="none" w:sz="0" w:space="0" w:color="auto"/>
        <w:right w:val="none" w:sz="0" w:space="0" w:color="auto"/>
      </w:divBdr>
      <w:divsChild>
        <w:div w:id="741879467">
          <w:marLeft w:val="288"/>
          <w:marRight w:val="0"/>
          <w:marTop w:val="0"/>
          <w:marBottom w:val="120"/>
          <w:divBdr>
            <w:top w:val="none" w:sz="0" w:space="0" w:color="auto"/>
            <w:left w:val="none" w:sz="0" w:space="0" w:color="auto"/>
            <w:bottom w:val="none" w:sz="0" w:space="0" w:color="auto"/>
            <w:right w:val="none" w:sz="0" w:space="0" w:color="auto"/>
          </w:divBdr>
        </w:div>
        <w:div w:id="2096003474">
          <w:marLeft w:val="288"/>
          <w:marRight w:val="0"/>
          <w:marTop w:val="0"/>
          <w:marBottom w:val="120"/>
          <w:divBdr>
            <w:top w:val="none" w:sz="0" w:space="0" w:color="auto"/>
            <w:left w:val="none" w:sz="0" w:space="0" w:color="auto"/>
            <w:bottom w:val="none" w:sz="0" w:space="0" w:color="auto"/>
            <w:right w:val="none" w:sz="0" w:space="0" w:color="auto"/>
          </w:divBdr>
        </w:div>
      </w:divsChild>
    </w:div>
    <w:div w:id="1939827276">
      <w:bodyDiv w:val="1"/>
      <w:marLeft w:val="0"/>
      <w:marRight w:val="0"/>
      <w:marTop w:val="0"/>
      <w:marBottom w:val="0"/>
      <w:divBdr>
        <w:top w:val="none" w:sz="0" w:space="0" w:color="auto"/>
        <w:left w:val="none" w:sz="0" w:space="0" w:color="auto"/>
        <w:bottom w:val="none" w:sz="0" w:space="0" w:color="auto"/>
        <w:right w:val="none" w:sz="0" w:space="0" w:color="auto"/>
      </w:divBdr>
    </w:div>
    <w:div w:id="1957524002">
      <w:bodyDiv w:val="1"/>
      <w:marLeft w:val="0"/>
      <w:marRight w:val="0"/>
      <w:marTop w:val="0"/>
      <w:marBottom w:val="0"/>
      <w:divBdr>
        <w:top w:val="none" w:sz="0" w:space="0" w:color="auto"/>
        <w:left w:val="none" w:sz="0" w:space="0" w:color="auto"/>
        <w:bottom w:val="none" w:sz="0" w:space="0" w:color="auto"/>
        <w:right w:val="none" w:sz="0" w:space="0" w:color="auto"/>
      </w:divBdr>
    </w:div>
    <w:div w:id="1981110173">
      <w:bodyDiv w:val="1"/>
      <w:marLeft w:val="0"/>
      <w:marRight w:val="0"/>
      <w:marTop w:val="0"/>
      <w:marBottom w:val="0"/>
      <w:divBdr>
        <w:top w:val="none" w:sz="0" w:space="0" w:color="auto"/>
        <w:left w:val="none" w:sz="0" w:space="0" w:color="auto"/>
        <w:bottom w:val="none" w:sz="0" w:space="0" w:color="auto"/>
        <w:right w:val="none" w:sz="0" w:space="0" w:color="auto"/>
      </w:divBdr>
    </w:div>
    <w:div w:id="2003073235">
      <w:bodyDiv w:val="1"/>
      <w:marLeft w:val="0"/>
      <w:marRight w:val="0"/>
      <w:marTop w:val="0"/>
      <w:marBottom w:val="0"/>
      <w:divBdr>
        <w:top w:val="none" w:sz="0" w:space="0" w:color="auto"/>
        <w:left w:val="none" w:sz="0" w:space="0" w:color="auto"/>
        <w:bottom w:val="none" w:sz="0" w:space="0" w:color="auto"/>
        <w:right w:val="none" w:sz="0" w:space="0" w:color="auto"/>
      </w:divBdr>
    </w:div>
    <w:div w:id="2014721129">
      <w:bodyDiv w:val="1"/>
      <w:marLeft w:val="0"/>
      <w:marRight w:val="0"/>
      <w:marTop w:val="0"/>
      <w:marBottom w:val="0"/>
      <w:divBdr>
        <w:top w:val="none" w:sz="0" w:space="0" w:color="auto"/>
        <w:left w:val="none" w:sz="0" w:space="0" w:color="auto"/>
        <w:bottom w:val="none" w:sz="0" w:space="0" w:color="auto"/>
        <w:right w:val="none" w:sz="0" w:space="0" w:color="auto"/>
      </w:divBdr>
    </w:div>
    <w:div w:id="2024823815">
      <w:bodyDiv w:val="1"/>
      <w:marLeft w:val="0"/>
      <w:marRight w:val="0"/>
      <w:marTop w:val="0"/>
      <w:marBottom w:val="0"/>
      <w:divBdr>
        <w:top w:val="none" w:sz="0" w:space="0" w:color="auto"/>
        <w:left w:val="none" w:sz="0" w:space="0" w:color="auto"/>
        <w:bottom w:val="none" w:sz="0" w:space="0" w:color="auto"/>
        <w:right w:val="none" w:sz="0" w:space="0" w:color="auto"/>
      </w:divBdr>
    </w:div>
    <w:div w:id="2130198554">
      <w:bodyDiv w:val="1"/>
      <w:marLeft w:val="0"/>
      <w:marRight w:val="0"/>
      <w:marTop w:val="0"/>
      <w:marBottom w:val="0"/>
      <w:divBdr>
        <w:top w:val="none" w:sz="0" w:space="0" w:color="auto"/>
        <w:left w:val="none" w:sz="0" w:space="0" w:color="auto"/>
        <w:bottom w:val="none" w:sz="0" w:space="0" w:color="auto"/>
        <w:right w:val="none" w:sz="0" w:space="0" w:color="auto"/>
      </w:divBdr>
    </w:div>
    <w:div w:id="2130732768">
      <w:bodyDiv w:val="1"/>
      <w:marLeft w:val="0"/>
      <w:marRight w:val="0"/>
      <w:marTop w:val="0"/>
      <w:marBottom w:val="0"/>
      <w:divBdr>
        <w:top w:val="none" w:sz="0" w:space="0" w:color="auto"/>
        <w:left w:val="none" w:sz="0" w:space="0" w:color="auto"/>
        <w:bottom w:val="none" w:sz="0" w:space="0" w:color="auto"/>
        <w:right w:val="none" w:sz="0" w:space="0" w:color="auto"/>
      </w:divBdr>
    </w:div>
    <w:div w:id="2141218107">
      <w:bodyDiv w:val="1"/>
      <w:marLeft w:val="0"/>
      <w:marRight w:val="0"/>
      <w:marTop w:val="0"/>
      <w:marBottom w:val="0"/>
      <w:divBdr>
        <w:top w:val="none" w:sz="0" w:space="0" w:color="auto"/>
        <w:left w:val="none" w:sz="0" w:space="0" w:color="auto"/>
        <w:bottom w:val="none" w:sz="0" w:space="0" w:color="auto"/>
        <w:right w:val="none" w:sz="0" w:space="0" w:color="auto"/>
      </w:divBdr>
      <w:divsChild>
        <w:div w:id="1264453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E518A2BABE02B42A1B0FB381D2CCEFB" ma:contentTypeVersion="18" ma:contentTypeDescription="Create a new document." ma:contentTypeScope="" ma:versionID="d0b2399a9f9f8eeac4b8e6d3c4bfd7df">
  <xsd:schema xmlns:xsd="http://www.w3.org/2001/XMLSchema" xmlns:xs="http://www.w3.org/2001/XMLSchema" xmlns:p="http://schemas.microsoft.com/office/2006/metadata/properties" xmlns:ns1="http://schemas.microsoft.com/sharepoint/v3" xmlns:ns2="3984f645-d69f-47d2-aedd-e9f0d847f650" xmlns:ns3="31d5ae73-6880-414d-9d1f-db506a1d8d4f" targetNamespace="http://schemas.microsoft.com/office/2006/metadata/properties" ma:root="true" ma:fieldsID="8500d3d556474c65b870843efc8aa69e" ns1:_="" ns2:_="" ns3:_="">
    <xsd:import namespace="http://schemas.microsoft.com/sharepoint/v3"/>
    <xsd:import namespace="3984f645-d69f-47d2-aedd-e9f0d847f650"/>
    <xsd:import namespace="31d5ae73-6880-414d-9d1f-db506a1d8d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84f645-d69f-47d2-aedd-e9f0d847f6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5ae73-6880-414d-9d1f-db506a1d8d4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1d5ae73-6880-414d-9d1f-db506a1d8d4f">
      <UserInfo>
        <DisplayName>Lowe, Andrew</DisplayName>
        <AccountId>21</AccountId>
        <AccountType/>
      </UserInfo>
      <UserInfo>
        <DisplayName>Venables, Vicky</DisplayName>
        <AccountId>61</AccountId>
        <AccountType/>
      </UserInfo>
      <UserInfo>
        <DisplayName>O'Rourke, Daniel</DisplayName>
        <AccountId>279</AccountId>
        <AccountType/>
      </UserInfo>
      <UserInfo>
        <DisplayName>Boutflower, Andrew</DisplayName>
        <AccountId>16</AccountId>
        <AccountType/>
      </UserInfo>
    </SharedWithUsers>
    <_ip_UnifiedCompliancePolicyUIAction xmlns="http://schemas.microsoft.com/sharepoint/v3" xsi:nil="true"/>
    <_ip_UnifiedCompliancePolicyProperties xmlns="http://schemas.microsoft.com/sharepoint/v3" xsi:nil="true"/>
    <lcf76f155ced4ddcb4097134ff3c332f xmlns="3984f645-d69f-47d2-aedd-e9f0d847f650">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0D038551-C66E-4780-A482-DBFA4C4A79FA}">
  <ds:schemaRefs>
    <ds:schemaRef ds:uri="http://schemas.microsoft.com/sharepoint/v3/contenttype/forms"/>
  </ds:schemaRefs>
</ds:datastoreItem>
</file>

<file path=customXml/itemProps2.xml><?xml version="1.0" encoding="utf-8"?>
<ds:datastoreItem xmlns:ds="http://schemas.openxmlformats.org/officeDocument/2006/customXml" ds:itemID="{5070FC62-458E-446E-948D-E9CB5941E0FF}">
  <ds:schemaRefs>
    <ds:schemaRef ds:uri="http://schemas.openxmlformats.org/officeDocument/2006/bibliography"/>
  </ds:schemaRefs>
</ds:datastoreItem>
</file>

<file path=customXml/itemProps3.xml><?xml version="1.0" encoding="utf-8"?>
<ds:datastoreItem xmlns:ds="http://schemas.openxmlformats.org/officeDocument/2006/customXml" ds:itemID="{CE5DE182-506E-4365-9222-DE6778EF3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84f645-d69f-47d2-aedd-e9f0d847f650"/>
    <ds:schemaRef ds:uri="31d5ae73-6880-414d-9d1f-db506a1d8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43D0F6-0706-4320-BA4B-58DE38ACF5DD}">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31d5ae73-6880-414d-9d1f-db506a1d8d4f"/>
    <ds:schemaRef ds:uri="http://schemas.microsoft.com/office/2006/documentManagement/types"/>
    <ds:schemaRef ds:uri="http://schemas.microsoft.com/office/2006/metadata/properties"/>
    <ds:schemaRef ds:uri="http://purl.org/dc/elements/1.1/"/>
    <ds:schemaRef ds:uri="3984f645-d69f-47d2-aedd-e9f0d847f650"/>
    <ds:schemaRef ds:uri="http://www.w3.org/XML/1998/namespace"/>
  </ds:schemaRefs>
</ds:datastoreItem>
</file>

<file path=customXml/itemProps5.xml><?xml version="1.0" encoding="utf-8"?>
<ds:datastoreItem xmlns:ds="http://schemas.openxmlformats.org/officeDocument/2006/customXml" ds:itemID="{AFF97CFB-AC44-45B2-A07A-FCF24D81B3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3846</Words>
  <Characters>21924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PCC Treasury Management Outturn Report 201718</vt:lpstr>
    </vt:vector>
  </TitlesOfParts>
  <Company>HP</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PCC Treasury Management Outturn Report 201718</dc:title>
  <dc:subject/>
  <dc:creator>Phiroza Katrak</dc:creator>
  <cp:keywords/>
  <cp:lastModifiedBy>O'Rourke, Daniel</cp:lastModifiedBy>
  <cp:revision>2</cp:revision>
  <cp:lastPrinted>2022-09-12T15:59:00Z</cp:lastPrinted>
  <dcterms:created xsi:type="dcterms:W3CDTF">2023-09-12T13:38:00Z</dcterms:created>
  <dcterms:modified xsi:type="dcterms:W3CDTF">2023-09-12T13:38:00Z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Farley, Gemma</vt:lpwstr>
  </property>
  <property fmtid="{D5CDD505-2E9C-101B-9397-08002B2CF9AE}" pid="3" name="display_urn:schemas-microsoft-com:office:office#Author">
    <vt:lpwstr>Farley, Gemma</vt:lpwstr>
  </property>
  <property fmtid="{D5CDD505-2E9C-101B-9397-08002B2CF9AE}" pid="4" name="Order">
    <vt:lpwstr>100.000000000000</vt:lpwstr>
  </property>
  <property fmtid="{D5CDD505-2E9C-101B-9397-08002B2CF9AE}" pid="5" name="ContentTypeId">
    <vt:lpwstr>0x010100DE518A2BABE02B42A1B0FB381D2CCEFB</vt:lpwstr>
  </property>
  <property fmtid="{D5CDD505-2E9C-101B-9397-08002B2CF9AE}" pid="6" name="Finance Investments and Pensions Fund">
    <vt:lpwstr>953;#Monitoring|d09bc0a6-4bb4-4848-9100-0cd854a83453</vt:lpwstr>
  </property>
  <property fmtid="{D5CDD505-2E9C-101B-9397-08002B2CF9AE}" pid="7" name="Document Type">
    <vt:lpwstr>6;#Report|34ea6f59-a1ac-4819-8503-2c5e12c8b726</vt:lpwstr>
  </property>
  <property fmtid="{D5CDD505-2E9C-101B-9397-08002B2CF9AE}" pid="8" name="Financial Year">
    <vt:lpwstr>726;#2017/2018|e1f27230-72ab-4a31-8726-d4cc90d57044</vt:lpwstr>
  </property>
  <property fmtid="{D5CDD505-2E9C-101B-9397-08002B2CF9AE}" pid="9" name="hf6b0bb3ec8741ff8f08cbde0b83b05e">
    <vt:lpwstr/>
  </property>
  <property fmtid="{D5CDD505-2E9C-101B-9397-08002B2CF9AE}" pid="10" name="m042a3c79a104f899bf2333213dedc3f">
    <vt:lpwstr/>
  </property>
  <property fmtid="{D5CDD505-2E9C-101B-9397-08002B2CF9AE}" pid="11" name="Systems (Finance)">
    <vt:lpwstr/>
  </property>
  <property fmtid="{D5CDD505-2E9C-101B-9397-08002B2CF9AE}" pid="12" name="h3c57ee0d733459794e5e77fcc72213d">
    <vt:lpwstr/>
  </property>
  <property fmtid="{D5CDD505-2E9C-101B-9397-08002B2CF9AE}" pid="13" name="j7731e1084b144ad8034d596a228c916">
    <vt:lpwstr/>
  </property>
  <property fmtid="{D5CDD505-2E9C-101B-9397-08002B2CF9AE}" pid="14" name="me72eb8e3be349208f9b2fcfad1928d1">
    <vt:lpwstr/>
  </property>
  <property fmtid="{D5CDD505-2E9C-101B-9397-08002B2CF9AE}" pid="15" name="c08708c1c0b249979edebef252a2fc86">
    <vt:lpwstr/>
  </property>
  <property fmtid="{D5CDD505-2E9C-101B-9397-08002B2CF9AE}" pid="16" name="b86249fded154c1ead0fbd5fedc80039">
    <vt:lpwstr/>
  </property>
  <property fmtid="{D5CDD505-2E9C-101B-9397-08002B2CF9AE}" pid="17" name="Education Financial Services">
    <vt:lpwstr/>
  </property>
  <property fmtid="{D5CDD505-2E9C-101B-9397-08002B2CF9AE}" pid="18" name="bd93d7c1e8624dab9f74edfdbb03615a">
    <vt:lpwstr/>
  </property>
  <property fmtid="{D5CDD505-2E9C-101B-9397-08002B2CF9AE}" pid="19" name="Library Location">
    <vt:lpwstr/>
  </property>
  <property fmtid="{D5CDD505-2E9C-101B-9397-08002B2CF9AE}" pid="20" name="Order to Cash - Accounts Receivable">
    <vt:lpwstr/>
  </property>
  <property fmtid="{D5CDD505-2E9C-101B-9397-08002B2CF9AE}" pid="21" name="Order to Cash - Banking and Control">
    <vt:lpwstr/>
  </property>
  <property fmtid="{D5CDD505-2E9C-101B-9397-08002B2CF9AE}" pid="22" name="Policies and Procedures (Finance)">
    <vt:lpwstr/>
  </property>
  <property fmtid="{D5CDD505-2E9C-101B-9397-08002B2CF9AE}" pid="23" name="lfef263e21e64358a4207c6019732fcd">
    <vt:lpwstr/>
  </property>
  <property fmtid="{D5CDD505-2E9C-101B-9397-08002B2CF9AE}" pid="24" name="ma366bab1acb4913ac9aef0ffab2c0d6">
    <vt:lpwstr/>
  </property>
  <property fmtid="{D5CDD505-2E9C-101B-9397-08002B2CF9AE}" pid="25" name="c7a9373b158a4f25bed816b79f4caa39">
    <vt:lpwstr/>
  </property>
  <property fmtid="{D5CDD505-2E9C-101B-9397-08002B2CF9AE}" pid="26" name="fe085c1eab5e4f4aa569b2f74f4bdacb">
    <vt:lpwstr/>
  </property>
  <property fmtid="{D5CDD505-2E9C-101B-9397-08002B2CF9AE}" pid="27" name="Tax and VAT (Finance)">
    <vt:lpwstr/>
  </property>
  <property fmtid="{D5CDD505-2E9C-101B-9397-08002B2CF9AE}" pid="28" name="Schools">
    <vt:lpwstr/>
  </property>
  <property fmtid="{D5CDD505-2E9C-101B-9397-08002B2CF9AE}" pid="29" name="Budget Preparation (Finance)">
    <vt:lpwstr/>
  </property>
  <property fmtid="{D5CDD505-2E9C-101B-9397-08002B2CF9AE}" pid="30" name="IBC Business Processes">
    <vt:lpwstr/>
  </property>
  <property fmtid="{D5CDD505-2E9C-101B-9397-08002B2CF9AE}" pid="31" name="aff368d56a7a41abac3dff9221a796c7">
    <vt:lpwstr/>
  </property>
  <property fmtid="{D5CDD505-2E9C-101B-9397-08002B2CF9AE}" pid="32" name="g5eed81a661a428094921165885b32ac">
    <vt:lpwstr/>
  </property>
  <property fmtid="{D5CDD505-2E9C-101B-9397-08002B2CF9AE}" pid="33" name="Customer (Finance)">
    <vt:lpwstr/>
  </property>
  <property fmtid="{D5CDD505-2E9C-101B-9397-08002B2CF9AE}" pid="34" name="Budget Monitoring (Finance)">
    <vt:lpwstr/>
  </property>
  <property fmtid="{D5CDD505-2E9C-101B-9397-08002B2CF9AE}" pid="35" name="Final Accounts (Finance)">
    <vt:lpwstr/>
  </property>
  <property fmtid="{D5CDD505-2E9C-101B-9397-08002B2CF9AE}" pid="36" name="Calendar Year">
    <vt:lpwstr/>
  </property>
  <property fmtid="{D5CDD505-2E9C-101B-9397-08002B2CF9AE}" pid="37" name="Groups and Meetings (Finance)">
    <vt:lpwstr/>
  </property>
  <property fmtid="{D5CDD505-2E9C-101B-9397-08002B2CF9AE}" pid="38" name="p90e31759909486091d47177bed7da9a">
    <vt:lpwstr/>
  </property>
  <property fmtid="{D5CDD505-2E9C-101B-9397-08002B2CF9AE}" pid="39" name="cf18ccb67a8c47b4a12d68c41e3eb221">
    <vt:lpwstr/>
  </property>
  <property fmtid="{D5CDD505-2E9C-101B-9397-08002B2CF9AE}" pid="40" name="Purchase to Pay">
    <vt:lpwstr/>
  </property>
  <property fmtid="{D5CDD505-2E9C-101B-9397-08002B2CF9AE}" pid="41" name="SAP Master Data Management">
    <vt:lpwstr/>
  </property>
  <property fmtid="{D5CDD505-2E9C-101B-9397-08002B2CF9AE}" pid="42" name="acb6aedd868e448598333099d9979513">
    <vt:lpwstr/>
  </property>
  <property fmtid="{D5CDD505-2E9C-101B-9397-08002B2CF9AE}" pid="43" name="Financial Analysis">
    <vt:lpwstr/>
  </property>
  <property fmtid="{D5CDD505-2E9C-101B-9397-08002B2CF9AE}" pid="44" name="_dlc_ExpireDate">
    <vt:lpwstr>2020-07-16T14:06:18Z</vt:lpwstr>
  </property>
  <property fmtid="{D5CDD505-2E9C-101B-9397-08002B2CF9AE}" pid="4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46" name="_dlc_policyId">
    <vt:lpwstr>0x0101004E1B537BC2B2AD43A5AF5311D732D3AA|1208973698</vt:lpwstr>
  </property>
  <property fmtid="{D5CDD505-2E9C-101B-9397-08002B2CF9AE}" pid="47" name="eeadced8a35a499eaa6ae428604d987c">
    <vt:lpwstr>2017/2018|e1f27230-72ab-4a31-8726-d4cc90d57044</vt:lpwstr>
  </property>
  <property fmtid="{D5CDD505-2E9C-101B-9397-08002B2CF9AE}" pid="48" name="xd_ProgID">
    <vt:lpwstr/>
  </property>
  <property fmtid="{D5CDD505-2E9C-101B-9397-08002B2CF9AE}" pid="49" name="ComplianceAssetId">
    <vt:lpwstr/>
  </property>
  <property fmtid="{D5CDD505-2E9C-101B-9397-08002B2CF9AE}" pid="50" name="Item ID">
    <vt:lpwstr>A1001001A18D05B60817I42491</vt:lpwstr>
  </property>
  <property fmtid="{D5CDD505-2E9C-101B-9397-08002B2CF9AE}" pid="51" name="TemplateUrl">
    <vt:lpwstr/>
  </property>
  <property fmtid="{D5CDD505-2E9C-101B-9397-08002B2CF9AE}" pid="52" name="Active Document">
    <vt:bool>true</vt:bool>
  </property>
  <property fmtid="{D5CDD505-2E9C-101B-9397-08002B2CF9AE}" pid="53" name="hc3a5e09668742aa96af821d37d4cad5">
    <vt:lpwstr>Monitoring|d09bc0a6-4bb4-4848-9100-0cd854a83453</vt:lpwstr>
  </property>
  <property fmtid="{D5CDD505-2E9C-101B-9397-08002B2CF9AE}" pid="54" name="hc632fe273cb498aa970207d30c3b1d8">
    <vt:lpwstr>Report|34ea6f59-a1ac-4819-8503-2c5e12c8b726</vt:lpwstr>
  </property>
  <property fmtid="{D5CDD505-2E9C-101B-9397-08002B2CF9AE}" pid="55" name="xd_Signature">
    <vt:bool>false</vt:bool>
  </property>
  <property fmtid="{D5CDD505-2E9C-101B-9397-08002B2CF9AE}" pid="56" name="TaxCatchAll">
    <vt:lpwstr>6;#Report|34ea6f59-a1ac-4819-8503-2c5e12c8b726</vt:lpwstr>
  </property>
  <property fmtid="{D5CDD505-2E9C-101B-9397-08002B2CF9AE}" pid="57" name="MediaServiceImageTags">
    <vt:lpwstr/>
  </property>
</Properties>
</file>