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A8192" w14:textId="7FEF7904" w:rsidR="0051299B" w:rsidRPr="0024206A" w:rsidRDefault="00B83A56" w:rsidP="00B83A56">
      <w:pPr>
        <w:pStyle w:val="Heading1"/>
      </w:pPr>
      <w:bookmarkStart w:id="0" w:name="_GoBack"/>
      <w:bookmarkEnd w:id="0"/>
      <w:r w:rsidRPr="0024206A">
        <w:t xml:space="preserve">Police and </w:t>
      </w:r>
      <w:r>
        <w:t>C</w:t>
      </w:r>
      <w:r w:rsidRPr="0024206A">
        <w:t xml:space="preserve">rime </w:t>
      </w:r>
      <w:r>
        <w:t>C</w:t>
      </w:r>
      <w:r w:rsidRPr="0024206A">
        <w:t>ommissioner for Hampshire and Hampshire</w:t>
      </w:r>
      <w:r>
        <w:t xml:space="preserve"> C</w:t>
      </w:r>
      <w:r w:rsidR="0073632B">
        <w:t>onstabul</w:t>
      </w:r>
      <w:r w:rsidR="001B4496">
        <w:t>ary</w:t>
      </w:r>
    </w:p>
    <w:p w14:paraId="0AF98633" w14:textId="7CFD5B00" w:rsidR="0051299B" w:rsidRPr="0024206A" w:rsidRDefault="00B83A56" w:rsidP="00B83A56">
      <w:pPr>
        <w:pStyle w:val="Heading2"/>
      </w:pPr>
      <w:r w:rsidRPr="0024206A">
        <w:t xml:space="preserve">Joint Audit Committee </w:t>
      </w:r>
      <w:r w:rsidR="0051299B" w:rsidRPr="0024206A">
        <w:t>– 2</w:t>
      </w:r>
      <w:r w:rsidR="0024206A" w:rsidRPr="0024206A">
        <w:t>8</w:t>
      </w:r>
      <w:r w:rsidR="0051299B" w:rsidRPr="0024206A">
        <w:t xml:space="preserve"> </w:t>
      </w:r>
      <w:r w:rsidR="0024206A" w:rsidRPr="0024206A">
        <w:t>Ju</w:t>
      </w:r>
      <w:r w:rsidR="00906708">
        <w:t>ne</w:t>
      </w:r>
      <w:r w:rsidR="00065027" w:rsidRPr="0024206A">
        <w:t xml:space="preserve"> 20</w:t>
      </w:r>
      <w:r w:rsidR="00E86F2C" w:rsidRPr="0024206A">
        <w:t>2</w:t>
      </w:r>
      <w:r w:rsidR="0024206A" w:rsidRPr="0024206A">
        <w:t>1</w:t>
      </w:r>
    </w:p>
    <w:p w14:paraId="219E02EF" w14:textId="29B839FC" w:rsidR="0051299B" w:rsidRPr="0024206A" w:rsidRDefault="0051299B" w:rsidP="0051299B">
      <w:pPr>
        <w:pStyle w:val="ListParagraph"/>
        <w:spacing w:after="200" w:line="276" w:lineRule="auto"/>
        <w:ind w:left="0"/>
        <w:rPr>
          <w:rFonts w:ascii="Arial" w:hAnsi="Arial" w:cs="Arial"/>
          <w:i/>
        </w:rPr>
      </w:pPr>
      <w:r w:rsidRPr="0024206A">
        <w:rPr>
          <w:rFonts w:ascii="Arial" w:eastAsia="Calibri" w:hAnsi="Arial" w:cs="Arial"/>
          <w:i/>
        </w:rPr>
        <w:t>Annual Treasury Outturn Report 20</w:t>
      </w:r>
      <w:r w:rsidR="001546C7" w:rsidRPr="0024206A">
        <w:rPr>
          <w:rFonts w:ascii="Arial" w:eastAsia="Calibri" w:hAnsi="Arial" w:cs="Arial"/>
          <w:i/>
        </w:rPr>
        <w:t>20</w:t>
      </w:r>
      <w:r w:rsidR="0024206A" w:rsidRPr="0024206A">
        <w:rPr>
          <w:rFonts w:ascii="Arial" w:eastAsia="Calibri" w:hAnsi="Arial" w:cs="Arial"/>
          <w:i/>
        </w:rPr>
        <w:t>/21</w:t>
      </w:r>
    </w:p>
    <w:p w14:paraId="45E34B56" w14:textId="2F48BEC7" w:rsidR="0051299B" w:rsidRPr="0024206A" w:rsidRDefault="00B83A56" w:rsidP="00B83A56">
      <w:pPr>
        <w:pStyle w:val="Heading4"/>
      </w:pPr>
      <w:r w:rsidRPr="0024206A">
        <w:t xml:space="preserve">Report </w:t>
      </w:r>
      <w:r>
        <w:t>o</w:t>
      </w:r>
      <w:r w:rsidRPr="0024206A">
        <w:t xml:space="preserve">f </w:t>
      </w:r>
      <w:r>
        <w:t>t</w:t>
      </w:r>
      <w:r w:rsidRPr="0024206A">
        <w:t xml:space="preserve">he Chief Finance Officer </w:t>
      </w:r>
      <w:r>
        <w:t>o</w:t>
      </w:r>
      <w:r w:rsidRPr="0024206A">
        <w:t xml:space="preserve">f </w:t>
      </w:r>
      <w:r>
        <w:t>t</w:t>
      </w:r>
      <w:r w:rsidRPr="0024206A">
        <w:t xml:space="preserve">he Office </w:t>
      </w:r>
      <w:r>
        <w:t>o</w:t>
      </w:r>
      <w:r w:rsidRPr="0024206A">
        <w:t xml:space="preserve">f </w:t>
      </w:r>
      <w:r>
        <w:t>t</w:t>
      </w:r>
      <w:r w:rsidRPr="0024206A">
        <w:t xml:space="preserve">he Police </w:t>
      </w:r>
      <w:r>
        <w:t>a</w:t>
      </w:r>
      <w:r w:rsidRPr="0024206A">
        <w:t>nd Crime Commissioner</w:t>
      </w:r>
    </w:p>
    <w:p w14:paraId="3BCE0B24" w14:textId="77777777" w:rsidR="0051299B" w:rsidRPr="003A3579" w:rsidRDefault="0051299B" w:rsidP="00B83A56">
      <w:pPr>
        <w:pStyle w:val="Heading5"/>
      </w:pPr>
      <w:r w:rsidRPr="003A3579">
        <w:t>Purpose</w:t>
      </w:r>
    </w:p>
    <w:p w14:paraId="6A8E494E" w14:textId="42165ABA" w:rsidR="0051299B" w:rsidRPr="003A3579" w:rsidRDefault="0051299B" w:rsidP="003C3808">
      <w:pPr>
        <w:pStyle w:val="ListParagraph"/>
        <w:numPr>
          <w:ilvl w:val="1"/>
          <w:numId w:val="2"/>
        </w:numPr>
        <w:spacing w:after="240"/>
        <w:ind w:left="720" w:hanging="720"/>
        <w:rPr>
          <w:rFonts w:ascii="Arial" w:hAnsi="Arial" w:cs="Arial"/>
        </w:rPr>
      </w:pPr>
      <w:r w:rsidRPr="003A3579">
        <w:rPr>
          <w:rFonts w:ascii="Arial" w:hAnsi="Arial" w:cs="Arial"/>
        </w:rPr>
        <w:t xml:space="preserve">The Office of the Police </w:t>
      </w:r>
      <w:r w:rsidR="00943EA5" w:rsidRPr="003A3579">
        <w:rPr>
          <w:rFonts w:ascii="Arial" w:hAnsi="Arial" w:cs="Arial"/>
        </w:rPr>
        <w:t>and</w:t>
      </w:r>
      <w:r w:rsidRPr="003A3579">
        <w:rPr>
          <w:rFonts w:ascii="Arial" w:hAnsi="Arial" w:cs="Arial"/>
        </w:rPr>
        <w:t xml:space="preserve"> Crime Commissioner for Hampshire (OPCC) </w:t>
      </w:r>
      <w:r w:rsidR="00377E7F" w:rsidRPr="003A3579">
        <w:rPr>
          <w:rFonts w:ascii="Arial" w:hAnsi="Arial" w:cs="Arial"/>
        </w:rPr>
        <w:t>has adopted the key recommendations of the Chartered Institute of Public Finance and Accountancy’s Treasury Management in the Public Services: Code of Practice (the CIPFA Code), last updated in 2017. The CIPFA Code requires the OPCC to approve a treasury management strategy before the start of the year and a semi-annual and annual treasury outturn report</w:t>
      </w:r>
      <w:r w:rsidR="00943EA5" w:rsidRPr="003A3579">
        <w:rPr>
          <w:rFonts w:ascii="Arial" w:hAnsi="Arial" w:cs="Arial"/>
        </w:rPr>
        <w:t xml:space="preserve">.  The purpose of this report is therefore </w:t>
      </w:r>
      <w:r w:rsidR="00D145F8" w:rsidRPr="003A3579">
        <w:rPr>
          <w:rFonts w:ascii="Arial" w:hAnsi="Arial" w:cs="Arial"/>
        </w:rPr>
        <w:t>to meet this obligation by providing an update on the performance of the treasury management function during 2020/21.</w:t>
      </w:r>
    </w:p>
    <w:p w14:paraId="6F9F1E62" w14:textId="77777777" w:rsidR="0051299B" w:rsidRPr="003A3579" w:rsidRDefault="0051299B" w:rsidP="00B83A56">
      <w:pPr>
        <w:pStyle w:val="Heading5"/>
      </w:pPr>
      <w:r w:rsidRPr="003A3579">
        <w:t>Recommendation</w:t>
      </w:r>
    </w:p>
    <w:p w14:paraId="7DC59F33" w14:textId="77777777" w:rsidR="00EE395D" w:rsidRPr="00EE395D" w:rsidRDefault="00EE395D" w:rsidP="00EE395D">
      <w:pPr>
        <w:pStyle w:val="ListParagraph"/>
        <w:numPr>
          <w:ilvl w:val="0"/>
          <w:numId w:val="2"/>
        </w:numPr>
        <w:spacing w:after="240"/>
        <w:rPr>
          <w:rFonts w:ascii="Arial" w:hAnsi="Arial" w:cs="Arial"/>
          <w:vanish/>
        </w:rPr>
      </w:pPr>
    </w:p>
    <w:p w14:paraId="465D88C4" w14:textId="4AAD849F" w:rsidR="0051299B" w:rsidRPr="003A3579" w:rsidRDefault="0051299B" w:rsidP="00EE395D">
      <w:pPr>
        <w:pStyle w:val="ListParagraph"/>
        <w:numPr>
          <w:ilvl w:val="1"/>
          <w:numId w:val="2"/>
        </w:numPr>
        <w:spacing w:after="240"/>
        <w:ind w:left="709" w:hanging="709"/>
        <w:rPr>
          <w:rFonts w:ascii="Arial" w:hAnsi="Arial" w:cs="Arial"/>
        </w:rPr>
      </w:pPr>
      <w:r w:rsidRPr="003A3579">
        <w:rPr>
          <w:rFonts w:ascii="Arial" w:hAnsi="Arial" w:cs="Arial"/>
        </w:rPr>
        <w:t>It is recommended that the Joint Audit Committee considers the report and makes observations as appropriate.</w:t>
      </w:r>
    </w:p>
    <w:p w14:paraId="0D54A817" w14:textId="517778D2" w:rsidR="0051299B" w:rsidRPr="00A2040A" w:rsidRDefault="00F51C52" w:rsidP="00B83A56">
      <w:pPr>
        <w:pStyle w:val="Heading5"/>
      </w:pPr>
      <w:r w:rsidRPr="00A2040A">
        <w:t>Executive Summary</w:t>
      </w:r>
    </w:p>
    <w:p w14:paraId="79019CB5" w14:textId="77777777" w:rsidR="00EE395D" w:rsidRPr="00EE395D" w:rsidRDefault="00EE395D" w:rsidP="00EE395D">
      <w:pPr>
        <w:pStyle w:val="ListParagraph"/>
        <w:numPr>
          <w:ilvl w:val="0"/>
          <w:numId w:val="2"/>
        </w:numPr>
        <w:spacing w:after="240"/>
        <w:rPr>
          <w:rFonts w:ascii="Arial" w:hAnsi="Arial" w:cs="Arial"/>
          <w:vanish/>
        </w:rPr>
      </w:pPr>
    </w:p>
    <w:p w14:paraId="03C12884" w14:textId="4E89013F" w:rsidR="00065027" w:rsidRPr="00A2040A" w:rsidRDefault="005F1C03" w:rsidP="00EE395D">
      <w:pPr>
        <w:pStyle w:val="ListParagraph"/>
        <w:numPr>
          <w:ilvl w:val="1"/>
          <w:numId w:val="2"/>
        </w:numPr>
        <w:spacing w:after="240"/>
        <w:ind w:left="709" w:hanging="709"/>
        <w:rPr>
          <w:rFonts w:ascii="Arial" w:hAnsi="Arial" w:cs="Arial"/>
        </w:rPr>
      </w:pPr>
      <w:r w:rsidRPr="00A2040A">
        <w:rPr>
          <w:rFonts w:ascii="Arial" w:hAnsi="Arial" w:cs="Arial"/>
        </w:rPr>
        <w:t>Th</w:t>
      </w:r>
      <w:r w:rsidR="00F51C52" w:rsidRPr="00A2040A">
        <w:rPr>
          <w:rFonts w:ascii="Arial" w:hAnsi="Arial" w:cs="Arial"/>
        </w:rPr>
        <w:t>e</w:t>
      </w:r>
      <w:r w:rsidRPr="00A2040A">
        <w:rPr>
          <w:rFonts w:ascii="Arial" w:hAnsi="Arial" w:cs="Arial"/>
        </w:rPr>
        <w:t xml:space="preserve"> report fulfils the OPCC’s legal obligation</w:t>
      </w:r>
      <w:r w:rsidR="00377E7F" w:rsidRPr="00A2040A">
        <w:rPr>
          <w:rFonts w:ascii="Arial" w:hAnsi="Arial" w:cs="Arial"/>
        </w:rPr>
        <w:t xml:space="preserve"> under the Local Government Act 2003</w:t>
      </w:r>
      <w:r w:rsidRPr="00A2040A">
        <w:rPr>
          <w:rFonts w:ascii="Arial" w:hAnsi="Arial" w:cs="Arial"/>
        </w:rPr>
        <w:t xml:space="preserve"> to have regard to the CIPFA Code</w:t>
      </w:r>
      <w:r w:rsidR="00F51C52" w:rsidRPr="00A2040A">
        <w:rPr>
          <w:rFonts w:ascii="Arial" w:hAnsi="Arial" w:cs="Arial"/>
        </w:rPr>
        <w:t xml:space="preserve"> and provides an update </w:t>
      </w:r>
      <w:r w:rsidR="00C9405F" w:rsidRPr="00A2040A">
        <w:rPr>
          <w:rFonts w:ascii="Arial" w:hAnsi="Arial" w:cs="Arial"/>
        </w:rPr>
        <w:t>on the performance of the treasury management function during 2020</w:t>
      </w:r>
      <w:r w:rsidR="00A2040A" w:rsidRPr="00A2040A">
        <w:rPr>
          <w:rFonts w:ascii="Arial" w:hAnsi="Arial" w:cs="Arial"/>
        </w:rPr>
        <w:t>/21</w:t>
      </w:r>
      <w:r w:rsidRPr="00A2040A">
        <w:rPr>
          <w:rFonts w:ascii="Arial" w:hAnsi="Arial" w:cs="Arial"/>
        </w:rPr>
        <w:t>.</w:t>
      </w:r>
    </w:p>
    <w:p w14:paraId="776996C6" w14:textId="19FE59A3" w:rsidR="00EC6236" w:rsidRPr="001D0F8E" w:rsidRDefault="00EC6236" w:rsidP="001D0F8E">
      <w:pPr>
        <w:pStyle w:val="ListParagraph"/>
        <w:numPr>
          <w:ilvl w:val="1"/>
          <w:numId w:val="2"/>
        </w:numPr>
        <w:spacing w:after="240"/>
        <w:ind w:left="720" w:hanging="720"/>
        <w:outlineLvl w:val="0"/>
        <w:rPr>
          <w:rFonts w:ascii="Arial" w:eastAsia="Calibri" w:hAnsi="Arial" w:cs="Arial"/>
        </w:rPr>
      </w:pPr>
      <w:r w:rsidRPr="00413F43">
        <w:rPr>
          <w:rFonts w:ascii="Arial" w:hAnsi="Arial" w:cs="Arial"/>
        </w:rPr>
        <w:t>The OPCC’s treasury management strategy</w:t>
      </w:r>
      <w:r w:rsidR="00E21BE2" w:rsidRPr="00413F43">
        <w:rPr>
          <w:rFonts w:ascii="Arial" w:hAnsi="Arial" w:cs="Arial"/>
        </w:rPr>
        <w:t xml:space="preserve"> was most recently updated and approved by the Police and Crime Commissioner (PCC) for Hampshire in </w:t>
      </w:r>
      <w:r w:rsidR="00CE14BA" w:rsidRPr="00413F43">
        <w:rPr>
          <w:rFonts w:ascii="Arial" w:hAnsi="Arial" w:cs="Arial"/>
        </w:rPr>
        <w:t>March</w:t>
      </w:r>
      <w:r w:rsidR="00E21BE2" w:rsidRPr="00413F43">
        <w:rPr>
          <w:rFonts w:ascii="Arial" w:hAnsi="Arial" w:cs="Arial"/>
        </w:rPr>
        <w:t xml:space="preserve"> 202</w:t>
      </w:r>
      <w:r w:rsidR="00CE14BA" w:rsidRPr="00413F43">
        <w:rPr>
          <w:rFonts w:ascii="Arial" w:hAnsi="Arial" w:cs="Arial"/>
        </w:rPr>
        <w:t>1</w:t>
      </w:r>
      <w:r w:rsidR="00317DA6" w:rsidRPr="00413F43">
        <w:rPr>
          <w:rFonts w:ascii="Arial" w:hAnsi="Arial" w:cs="Arial"/>
        </w:rPr>
        <w:t xml:space="preserve">. </w:t>
      </w:r>
      <w:r w:rsidRPr="00413F43">
        <w:rPr>
          <w:rFonts w:ascii="Arial" w:hAnsi="Arial" w:cs="Arial"/>
        </w:rPr>
        <w:t xml:space="preserve"> The OPCC has borrowed and invested sums of money and is therefore exposed to financial risks including the loss of invested funds and the revenue effect of changing interest rates.  The successful identification, monitoring and control of risk are therefore central to the OPCC’s treasury management strategy.</w:t>
      </w:r>
    </w:p>
    <w:p w14:paraId="2D264A5E" w14:textId="0B05C52A" w:rsidR="0051299B" w:rsidRPr="007042FB" w:rsidRDefault="0051299B" w:rsidP="001D0F8E">
      <w:pPr>
        <w:pStyle w:val="ListParagraph"/>
        <w:numPr>
          <w:ilvl w:val="1"/>
          <w:numId w:val="2"/>
        </w:numPr>
        <w:spacing w:after="240"/>
        <w:ind w:left="720" w:hanging="720"/>
        <w:outlineLvl w:val="0"/>
        <w:rPr>
          <w:rFonts w:ascii="Arial" w:eastAsia="Calibri" w:hAnsi="Arial" w:cs="Arial"/>
        </w:rPr>
      </w:pPr>
      <w:r w:rsidRPr="00413F43">
        <w:rPr>
          <w:rFonts w:ascii="Arial" w:hAnsi="Arial" w:cs="Arial"/>
        </w:rPr>
        <w:t>Treasury management in the context of this report is defined as:</w:t>
      </w:r>
      <w:r w:rsidR="00413F43" w:rsidRPr="00413F43">
        <w:rPr>
          <w:rFonts w:ascii="Arial" w:hAnsi="Arial" w:cs="Arial"/>
        </w:rPr>
        <w:t xml:space="preserve"> </w:t>
      </w:r>
      <w:r w:rsidRPr="00413F43">
        <w:rPr>
          <w:rFonts w:ascii="Arial" w:eastAsia="Calibri" w:hAnsi="Arial" w:cs="Arial"/>
        </w:rPr>
        <w:t xml:space="preserve">“The management of the organisation’s investments and cash flows, its banking, money market and capital market transactions; the effective control of the risks associated with those activities; and the pursuit of optimum performance </w:t>
      </w:r>
      <w:r w:rsidRPr="007042FB">
        <w:rPr>
          <w:rFonts w:ascii="Arial" w:eastAsia="Calibri" w:hAnsi="Arial" w:cs="Arial"/>
        </w:rPr>
        <w:t>consistent with those risks.”</w:t>
      </w:r>
    </w:p>
    <w:p w14:paraId="30FFB165" w14:textId="0B68F43C" w:rsidR="0051299B" w:rsidRPr="007042FB" w:rsidRDefault="0051299B" w:rsidP="003C3808">
      <w:pPr>
        <w:pStyle w:val="ListParagraph"/>
        <w:numPr>
          <w:ilvl w:val="1"/>
          <w:numId w:val="2"/>
        </w:numPr>
        <w:spacing w:after="240"/>
        <w:ind w:left="720" w:hanging="720"/>
        <w:rPr>
          <w:rFonts w:ascii="Arial" w:hAnsi="Arial" w:cs="Arial"/>
        </w:rPr>
      </w:pPr>
      <w:r w:rsidRPr="007042FB">
        <w:rPr>
          <w:rFonts w:ascii="Arial" w:hAnsi="Arial" w:cs="Arial"/>
        </w:rPr>
        <w:t>This annual report sets out the performance of the treasury management function during 20</w:t>
      </w:r>
      <w:r w:rsidR="00011951" w:rsidRPr="007042FB">
        <w:rPr>
          <w:rFonts w:ascii="Arial" w:hAnsi="Arial" w:cs="Arial"/>
        </w:rPr>
        <w:t>20</w:t>
      </w:r>
      <w:r w:rsidR="007042FB" w:rsidRPr="007042FB">
        <w:rPr>
          <w:rFonts w:ascii="Arial" w:hAnsi="Arial" w:cs="Arial"/>
        </w:rPr>
        <w:t>/21</w:t>
      </w:r>
      <w:r w:rsidRPr="007042FB">
        <w:rPr>
          <w:rFonts w:ascii="Arial" w:hAnsi="Arial" w:cs="Arial"/>
        </w:rPr>
        <w:t>, to include the effects of the decisions taken and the transactions executed in the past year.</w:t>
      </w:r>
    </w:p>
    <w:p w14:paraId="5C4540D6" w14:textId="6A232472" w:rsidR="0051299B" w:rsidRPr="00804E4F" w:rsidRDefault="0051299B" w:rsidP="003C3808">
      <w:pPr>
        <w:pStyle w:val="ListParagraph"/>
        <w:numPr>
          <w:ilvl w:val="1"/>
          <w:numId w:val="2"/>
        </w:numPr>
        <w:spacing w:after="240"/>
        <w:ind w:left="720" w:hanging="720"/>
        <w:rPr>
          <w:rFonts w:ascii="Arial" w:hAnsi="Arial" w:cs="Arial"/>
        </w:rPr>
      </w:pPr>
      <w:r w:rsidRPr="00804E4F">
        <w:rPr>
          <w:rFonts w:ascii="Arial" w:hAnsi="Arial" w:cs="Arial"/>
        </w:rPr>
        <w:lastRenderedPageBreak/>
        <w:t>Overall responsibility for treasury management remains with the OPCC.  No treasury management activity is without risk</w:t>
      </w:r>
      <w:r w:rsidR="00377E7F" w:rsidRPr="00804E4F">
        <w:rPr>
          <w:rFonts w:ascii="Arial" w:hAnsi="Arial" w:cs="Arial"/>
        </w:rPr>
        <w:t xml:space="preserve"> and </w:t>
      </w:r>
      <w:r w:rsidRPr="00804E4F">
        <w:rPr>
          <w:rFonts w:ascii="Arial" w:hAnsi="Arial" w:cs="Arial"/>
        </w:rPr>
        <w:t xml:space="preserve">the effective identification and management of risk are </w:t>
      </w:r>
      <w:r w:rsidR="00377E7F" w:rsidRPr="00804E4F">
        <w:rPr>
          <w:rFonts w:ascii="Arial" w:hAnsi="Arial" w:cs="Arial"/>
        </w:rPr>
        <w:t xml:space="preserve">therefore </w:t>
      </w:r>
      <w:r w:rsidRPr="00804E4F">
        <w:rPr>
          <w:rFonts w:ascii="Arial" w:hAnsi="Arial" w:cs="Arial"/>
        </w:rPr>
        <w:t>integral to the OPCC’s treasury management objectives.</w:t>
      </w:r>
    </w:p>
    <w:p w14:paraId="67D54714" w14:textId="4A07E886" w:rsidR="0051299B" w:rsidRPr="00804E4F" w:rsidRDefault="0051299B" w:rsidP="003C3808">
      <w:pPr>
        <w:pStyle w:val="ListParagraph"/>
        <w:numPr>
          <w:ilvl w:val="1"/>
          <w:numId w:val="2"/>
        </w:numPr>
        <w:spacing w:after="240"/>
        <w:ind w:left="720" w:hanging="720"/>
        <w:rPr>
          <w:rFonts w:ascii="Arial" w:hAnsi="Arial" w:cs="Arial"/>
        </w:rPr>
      </w:pPr>
      <w:r w:rsidRPr="00804E4F">
        <w:rPr>
          <w:rFonts w:ascii="Arial" w:hAnsi="Arial" w:cs="Arial"/>
        </w:rPr>
        <w:t>All treasury activity has complied with the OPCC’s Treasury Management Strategy and Investment Strategy for 20</w:t>
      </w:r>
      <w:r w:rsidR="005D4882" w:rsidRPr="00804E4F">
        <w:rPr>
          <w:rFonts w:ascii="Arial" w:hAnsi="Arial" w:cs="Arial"/>
        </w:rPr>
        <w:t>20</w:t>
      </w:r>
      <w:r w:rsidR="00804E4F" w:rsidRPr="00804E4F">
        <w:rPr>
          <w:rFonts w:ascii="Arial" w:hAnsi="Arial" w:cs="Arial"/>
        </w:rPr>
        <w:t>/21</w:t>
      </w:r>
      <w:r w:rsidRPr="00804E4F">
        <w:rPr>
          <w:rFonts w:ascii="Arial" w:hAnsi="Arial" w:cs="Arial"/>
        </w:rPr>
        <w:t>, and all relevant statute, guidance and accounting standards.  In addition</w:t>
      </w:r>
      <w:r w:rsidR="00377E7F" w:rsidRPr="00804E4F">
        <w:rPr>
          <w:rFonts w:ascii="Arial" w:hAnsi="Arial" w:cs="Arial"/>
        </w:rPr>
        <w:t>, support in undertaking treasury management activities has been provided by</w:t>
      </w:r>
      <w:r w:rsidRPr="00804E4F">
        <w:rPr>
          <w:rFonts w:ascii="Arial" w:hAnsi="Arial" w:cs="Arial"/>
        </w:rPr>
        <w:t xml:space="preserve"> the OPCC’s treasury advisers, </w:t>
      </w:r>
      <w:proofErr w:type="spellStart"/>
      <w:r w:rsidRPr="00804E4F">
        <w:rPr>
          <w:rFonts w:ascii="Arial" w:hAnsi="Arial" w:cs="Arial"/>
        </w:rPr>
        <w:t>Arlingclose</w:t>
      </w:r>
      <w:proofErr w:type="spellEnd"/>
      <w:r w:rsidR="00377E7F" w:rsidRPr="00804E4F">
        <w:rPr>
          <w:rFonts w:ascii="Arial" w:hAnsi="Arial" w:cs="Arial"/>
        </w:rPr>
        <w:t xml:space="preserve">. </w:t>
      </w:r>
    </w:p>
    <w:p w14:paraId="7ED92704" w14:textId="002E985A" w:rsidR="00377E7F" w:rsidRPr="007C72DA" w:rsidRDefault="00377E7F" w:rsidP="003C3808">
      <w:pPr>
        <w:pStyle w:val="ListParagraph"/>
        <w:numPr>
          <w:ilvl w:val="1"/>
          <w:numId w:val="2"/>
        </w:numPr>
        <w:spacing w:after="240"/>
        <w:ind w:left="720" w:hanging="720"/>
        <w:rPr>
          <w:rFonts w:ascii="Arial" w:hAnsi="Arial" w:cs="Arial"/>
        </w:rPr>
      </w:pPr>
      <w:r w:rsidRPr="007C72DA">
        <w:rPr>
          <w:rFonts w:ascii="Arial" w:hAnsi="Arial" w:cs="Arial"/>
        </w:rPr>
        <w:t xml:space="preserve">The 2017 Prudential Code includes the requirement to produce and have approved a Capital Strategy, a summary document covering capital expenditure and financing, treasury management and non-treasury investments. The OPCC’s </w:t>
      </w:r>
      <w:r w:rsidR="001A04A9" w:rsidRPr="007C72DA">
        <w:rPr>
          <w:rFonts w:ascii="Arial" w:hAnsi="Arial" w:cs="Arial"/>
        </w:rPr>
        <w:t>most recent</w:t>
      </w:r>
      <w:r w:rsidRPr="007C72DA">
        <w:rPr>
          <w:rFonts w:ascii="Arial" w:hAnsi="Arial" w:cs="Arial"/>
        </w:rPr>
        <w:t xml:space="preserve"> Capital and Investment Strategy, complying with CIPFA’s requirement, was approved by the PCC </w:t>
      </w:r>
      <w:r w:rsidR="005C4922" w:rsidRPr="007C72DA">
        <w:rPr>
          <w:rFonts w:ascii="Arial" w:hAnsi="Arial" w:cs="Arial"/>
        </w:rPr>
        <w:t>i</w:t>
      </w:r>
      <w:r w:rsidR="0023548B" w:rsidRPr="007C72DA">
        <w:rPr>
          <w:rFonts w:ascii="Arial" w:hAnsi="Arial" w:cs="Arial"/>
        </w:rPr>
        <w:t>n February 20</w:t>
      </w:r>
      <w:r w:rsidR="00140D97" w:rsidRPr="007C72DA">
        <w:rPr>
          <w:rFonts w:ascii="Arial" w:hAnsi="Arial" w:cs="Arial"/>
        </w:rPr>
        <w:t>2</w:t>
      </w:r>
      <w:r w:rsidR="005C4922" w:rsidRPr="007C72DA">
        <w:rPr>
          <w:rFonts w:ascii="Arial" w:hAnsi="Arial" w:cs="Arial"/>
        </w:rPr>
        <w:t>1</w:t>
      </w:r>
      <w:r w:rsidR="0023548B" w:rsidRPr="007C72DA">
        <w:rPr>
          <w:rFonts w:ascii="Arial" w:hAnsi="Arial" w:cs="Arial"/>
        </w:rPr>
        <w:t>.</w:t>
      </w:r>
    </w:p>
    <w:p w14:paraId="7C14B556" w14:textId="4928D646" w:rsidR="005A60B2" w:rsidRPr="00057C64" w:rsidRDefault="002F648B" w:rsidP="00EE395D">
      <w:pPr>
        <w:pStyle w:val="Heading5"/>
      </w:pPr>
      <w:r w:rsidRPr="00057C64">
        <w:t>External Context</w:t>
      </w:r>
    </w:p>
    <w:p w14:paraId="78EBE223" w14:textId="77777777" w:rsidR="00EE395D" w:rsidRPr="00EE395D" w:rsidRDefault="00EE395D" w:rsidP="00EE395D">
      <w:pPr>
        <w:pStyle w:val="ListParagraph"/>
        <w:numPr>
          <w:ilvl w:val="0"/>
          <w:numId w:val="2"/>
        </w:numPr>
        <w:spacing w:after="240"/>
        <w:rPr>
          <w:rFonts w:ascii="Arial" w:hAnsi="Arial" w:cs="Arial"/>
          <w:vanish/>
        </w:rPr>
      </w:pPr>
    </w:p>
    <w:p w14:paraId="417D93BC" w14:textId="652FE187" w:rsidR="0051299B" w:rsidRPr="00057C64" w:rsidRDefault="0051299B" w:rsidP="00EE395D">
      <w:pPr>
        <w:pStyle w:val="ListParagraph"/>
        <w:numPr>
          <w:ilvl w:val="1"/>
          <w:numId w:val="2"/>
        </w:numPr>
        <w:spacing w:after="240"/>
        <w:ind w:left="709" w:hanging="709"/>
        <w:rPr>
          <w:rFonts w:ascii="Arial" w:hAnsi="Arial" w:cs="Arial"/>
        </w:rPr>
      </w:pPr>
      <w:r w:rsidRPr="00057C64">
        <w:rPr>
          <w:rFonts w:ascii="Arial" w:hAnsi="Arial" w:cs="Arial"/>
        </w:rPr>
        <w:t>The following sections outline the key economic themes against which investment and borrowing decisions were made in 20</w:t>
      </w:r>
      <w:r w:rsidR="00C22337" w:rsidRPr="00057C64">
        <w:rPr>
          <w:rFonts w:ascii="Arial" w:hAnsi="Arial" w:cs="Arial"/>
        </w:rPr>
        <w:t>20</w:t>
      </w:r>
      <w:r w:rsidR="00057C64" w:rsidRPr="00057C64">
        <w:rPr>
          <w:rFonts w:ascii="Arial" w:hAnsi="Arial" w:cs="Arial"/>
        </w:rPr>
        <w:t>/21</w:t>
      </w:r>
      <w:r w:rsidRPr="00057C64">
        <w:rPr>
          <w:rFonts w:ascii="Arial" w:hAnsi="Arial" w:cs="Arial"/>
        </w:rPr>
        <w:t>.</w:t>
      </w:r>
    </w:p>
    <w:p w14:paraId="099977EE" w14:textId="4E9C545B" w:rsidR="0051299B" w:rsidRPr="00057C64" w:rsidRDefault="00E56FFB" w:rsidP="00EE395D">
      <w:pPr>
        <w:pStyle w:val="Heading6"/>
        <w:rPr>
          <w:b w:val="0"/>
        </w:rPr>
      </w:pPr>
      <w:r w:rsidRPr="00057C64">
        <w:t>Economic</w:t>
      </w:r>
      <w:r w:rsidR="008F53DF" w:rsidRPr="00057C64">
        <w:t xml:space="preserve"> commentary</w:t>
      </w:r>
    </w:p>
    <w:p w14:paraId="4B87C2B0" w14:textId="77777777" w:rsidR="00247751" w:rsidRPr="00247751" w:rsidRDefault="00247751" w:rsidP="00247751">
      <w:pPr>
        <w:pStyle w:val="ListParagraph"/>
        <w:numPr>
          <w:ilvl w:val="1"/>
          <w:numId w:val="2"/>
        </w:numPr>
        <w:spacing w:after="240"/>
        <w:ind w:left="720" w:hanging="720"/>
        <w:rPr>
          <w:rFonts w:ascii="Arial" w:hAnsi="Arial" w:cs="Arial"/>
        </w:rPr>
      </w:pPr>
      <w:r w:rsidRPr="00247751">
        <w:rPr>
          <w:rFonts w:ascii="Arial" w:hAnsi="Arial" w:cs="Arial"/>
        </w:rPr>
        <w:t>The coronavirus pandemic dominated 2020/21, resulting in significant levels of government borrowing and expenditure to support the economy, with the UK also agreeing a Brexit trade deal within the period.</w:t>
      </w:r>
    </w:p>
    <w:p w14:paraId="3244BFD7" w14:textId="77777777" w:rsidR="00247751" w:rsidRPr="00247751" w:rsidRDefault="00247751" w:rsidP="00247751">
      <w:pPr>
        <w:pStyle w:val="ListParagraph"/>
        <w:numPr>
          <w:ilvl w:val="1"/>
          <w:numId w:val="2"/>
        </w:numPr>
        <w:spacing w:after="240"/>
        <w:ind w:left="720" w:hanging="720"/>
        <w:rPr>
          <w:rFonts w:ascii="Arial" w:hAnsi="Arial" w:cs="Arial"/>
        </w:rPr>
      </w:pPr>
      <w:r w:rsidRPr="00247751">
        <w:rPr>
          <w:rFonts w:ascii="Arial" w:hAnsi="Arial" w:cs="Arial"/>
        </w:rPr>
        <w:t>The Bank of England (BoE) held Bank Rate at 0.1% throughout the year and extended its Quantitative Easing programme by £150bn to £895bn in November 2020. The Bank expects Gross Domestic Product (GDP) to remain low in the near-term but believes that the easing of restrictions is likely to lead to a strong recovery in growth later in 2021, with inflation forecast to increase in the near-term. The economic outlook has improved but downside risks remain, such as a further increase in unemployment when the furlough scheme ends.</w:t>
      </w:r>
    </w:p>
    <w:p w14:paraId="12807625" w14:textId="77777777" w:rsidR="00247751" w:rsidRPr="00247751" w:rsidRDefault="00247751" w:rsidP="00247751">
      <w:pPr>
        <w:pStyle w:val="ListParagraph"/>
        <w:numPr>
          <w:ilvl w:val="1"/>
          <w:numId w:val="2"/>
        </w:numPr>
        <w:spacing w:after="240"/>
        <w:ind w:left="720" w:hanging="720"/>
        <w:rPr>
          <w:rFonts w:ascii="Arial" w:hAnsi="Arial" w:cs="Arial"/>
        </w:rPr>
      </w:pPr>
      <w:r w:rsidRPr="00247751">
        <w:rPr>
          <w:rFonts w:ascii="Arial" w:hAnsi="Arial" w:cs="Arial"/>
        </w:rPr>
        <w:t xml:space="preserve">Inflation remained low during 2020/21, with the annual headline rate of UK Consumer Price Inflation (CPI) rising to 0.7% year-on-year in March 2021, below expectations and below the BoE’s 2% target. Unemployment was higher for the three months to March 2021 than for the same period the previous year, while periods of GDP contractions and growth over the year largely mirrored the tightening and easing of restrictions, creating some significant quarterly swings. </w:t>
      </w:r>
    </w:p>
    <w:p w14:paraId="69D8A268" w14:textId="7A2FEEF4" w:rsidR="00F31ED9" w:rsidRPr="005A2B74" w:rsidRDefault="00377E7F" w:rsidP="00EE395D">
      <w:pPr>
        <w:pStyle w:val="Heading6"/>
      </w:pPr>
      <w:r w:rsidRPr="005A2B74">
        <w:t>Financial markets</w:t>
      </w:r>
    </w:p>
    <w:p w14:paraId="5FD1572B" w14:textId="77777777" w:rsidR="004528EE" w:rsidRPr="004528EE" w:rsidRDefault="004528EE" w:rsidP="004528EE">
      <w:pPr>
        <w:pStyle w:val="ListParagraph"/>
        <w:numPr>
          <w:ilvl w:val="1"/>
          <w:numId w:val="2"/>
        </w:numPr>
        <w:spacing w:after="240"/>
        <w:ind w:left="720" w:hanging="720"/>
        <w:rPr>
          <w:rFonts w:ascii="Arial" w:hAnsi="Arial" w:cs="Arial"/>
        </w:rPr>
      </w:pPr>
      <w:r w:rsidRPr="004528EE">
        <w:rPr>
          <w:rFonts w:ascii="Arial" w:hAnsi="Arial" w:cs="Arial"/>
        </w:rPr>
        <w:t xml:space="preserve">Monetary and fiscal stimulus helped provide support for equity markets which rose over the period. In the UK, the FTSE indices performed reasonably well </w:t>
      </w:r>
      <w:r w:rsidRPr="004528EE">
        <w:rPr>
          <w:rFonts w:ascii="Arial" w:hAnsi="Arial" w:cs="Arial"/>
        </w:rPr>
        <w:lastRenderedPageBreak/>
        <w:t>during the period to November 2020 before being buoyed in December by both the vaccine approval and Brexit deal.</w:t>
      </w:r>
    </w:p>
    <w:p w14:paraId="5E64A24D" w14:textId="77777777" w:rsidR="004528EE" w:rsidRDefault="004528EE" w:rsidP="004528EE">
      <w:pPr>
        <w:pStyle w:val="ListParagraph"/>
        <w:numPr>
          <w:ilvl w:val="1"/>
          <w:numId w:val="2"/>
        </w:numPr>
        <w:spacing w:after="240"/>
        <w:ind w:left="720" w:hanging="720"/>
        <w:rPr>
          <w:rFonts w:ascii="Arial" w:hAnsi="Arial" w:cs="Arial"/>
        </w:rPr>
      </w:pPr>
      <w:r w:rsidRPr="004528EE">
        <w:rPr>
          <w:rFonts w:ascii="Arial" w:hAnsi="Arial" w:cs="Arial"/>
        </w:rPr>
        <w:t>Ultra-low interest rates prevailed throughout most of the period, with yields generally falling between April and December 2020. From early in 2021 the improved economic outlook due to the new various stimulus packages (particularly in the US), together with the approval and successful rollout of vaccines, caused government bonds to sell off sharply on the back of expected higher inflation and increased uncertainty, pushing yields higher more quickly than had been anticipated.</w:t>
      </w:r>
    </w:p>
    <w:p w14:paraId="4E0A3253" w14:textId="01060118" w:rsidR="00EC6236" w:rsidRPr="004528EE" w:rsidRDefault="00377E7F" w:rsidP="00EE395D">
      <w:pPr>
        <w:pStyle w:val="Heading6"/>
      </w:pPr>
      <w:r w:rsidRPr="004528EE">
        <w:t xml:space="preserve">Credit </w:t>
      </w:r>
      <w:r w:rsidR="007A1181" w:rsidRPr="004528EE">
        <w:t>review</w:t>
      </w:r>
    </w:p>
    <w:p w14:paraId="072DBA8E" w14:textId="77777777" w:rsidR="00870CD1" w:rsidRPr="00870CD1" w:rsidRDefault="00870CD1" w:rsidP="00870CD1">
      <w:pPr>
        <w:pStyle w:val="ListParagraph"/>
        <w:numPr>
          <w:ilvl w:val="1"/>
          <w:numId w:val="2"/>
        </w:numPr>
        <w:spacing w:after="240"/>
        <w:ind w:left="720" w:hanging="720"/>
        <w:rPr>
          <w:rFonts w:ascii="Arial" w:hAnsi="Arial" w:cs="Arial"/>
        </w:rPr>
      </w:pPr>
      <w:r w:rsidRPr="00870CD1">
        <w:rPr>
          <w:rFonts w:ascii="Arial" w:hAnsi="Arial" w:cs="Arial"/>
        </w:rPr>
        <w:t>After spiking in March 2020, credit default swap spreads subsequently declined to broadly pre-pandemic levels. Credit default swaps are used as an indicator of credit risk, where higher premiums indicate higher perceived risks.</w:t>
      </w:r>
    </w:p>
    <w:p w14:paraId="005A7F94" w14:textId="77777777" w:rsidR="00870CD1" w:rsidRPr="00870CD1" w:rsidRDefault="00870CD1" w:rsidP="00870CD1">
      <w:pPr>
        <w:pStyle w:val="ListParagraph"/>
        <w:numPr>
          <w:ilvl w:val="1"/>
          <w:numId w:val="2"/>
        </w:numPr>
        <w:spacing w:after="240"/>
        <w:ind w:left="720" w:hanging="720"/>
        <w:rPr>
          <w:rFonts w:ascii="Arial" w:hAnsi="Arial" w:cs="Arial"/>
        </w:rPr>
      </w:pPr>
      <w:r w:rsidRPr="00870CD1">
        <w:rPr>
          <w:rFonts w:ascii="Arial" w:hAnsi="Arial" w:cs="Arial"/>
        </w:rPr>
        <w:t xml:space="preserve">Moody’s downgraded the UK sovereign rating to Aa3 with a stable outlook during the period and this change had an impact on a number of other UK institutions, banks and local government. </w:t>
      </w:r>
    </w:p>
    <w:p w14:paraId="2ADD07C4" w14:textId="083DE199" w:rsidR="00870CD1" w:rsidRPr="00870CD1" w:rsidRDefault="00870CD1" w:rsidP="00870CD1">
      <w:pPr>
        <w:pStyle w:val="ListParagraph"/>
        <w:numPr>
          <w:ilvl w:val="1"/>
          <w:numId w:val="2"/>
        </w:numPr>
        <w:spacing w:after="240"/>
        <w:ind w:left="720" w:hanging="720"/>
        <w:rPr>
          <w:rFonts w:ascii="Arial" w:hAnsi="Arial" w:cs="Arial"/>
        </w:rPr>
      </w:pPr>
      <w:r w:rsidRPr="00870CD1">
        <w:rPr>
          <w:rFonts w:ascii="Arial" w:hAnsi="Arial" w:cs="Arial"/>
        </w:rPr>
        <w:t xml:space="preserve">The vaccine approval and subsequent rollout programme are both credit positive for the financial services sector in general, but there remains much uncertainty around the extent of the losses banks and building societies will suffer due to the pandemic and the effects of lockdowns and restrictions. This uncertainty means the </w:t>
      </w:r>
      <w:r w:rsidR="00367ADC">
        <w:rPr>
          <w:rFonts w:ascii="Arial" w:hAnsi="Arial" w:cs="Arial"/>
        </w:rPr>
        <w:t>OPCC</w:t>
      </w:r>
      <w:r w:rsidRPr="00870CD1">
        <w:rPr>
          <w:rFonts w:ascii="Arial" w:hAnsi="Arial" w:cs="Arial"/>
        </w:rPr>
        <w:t xml:space="preserve">’s treasury management advisors, </w:t>
      </w:r>
      <w:proofErr w:type="spellStart"/>
      <w:r w:rsidRPr="00870CD1">
        <w:rPr>
          <w:rFonts w:ascii="Arial" w:hAnsi="Arial" w:cs="Arial"/>
        </w:rPr>
        <w:t>Arlingclose</w:t>
      </w:r>
      <w:proofErr w:type="spellEnd"/>
      <w:r w:rsidRPr="00870CD1">
        <w:rPr>
          <w:rFonts w:ascii="Arial" w:hAnsi="Arial" w:cs="Arial"/>
        </w:rPr>
        <w:t>, continue to recommend maximum durations of 35 days for unsecured investments with banks and building societies on their list of recommended counterparties.</w:t>
      </w:r>
    </w:p>
    <w:p w14:paraId="1CEE9B4E" w14:textId="77777777" w:rsidR="00A042BB" w:rsidRPr="007C3D21" w:rsidRDefault="00A042BB" w:rsidP="00EE395D">
      <w:pPr>
        <w:pStyle w:val="Heading5"/>
      </w:pPr>
      <w:r w:rsidRPr="007C3D21">
        <w:t>Local Context</w:t>
      </w:r>
    </w:p>
    <w:p w14:paraId="0461875F" w14:textId="77777777" w:rsidR="00EE395D" w:rsidRPr="00EE395D" w:rsidRDefault="00EE395D" w:rsidP="00EE395D">
      <w:pPr>
        <w:pStyle w:val="ListParagraph"/>
        <w:numPr>
          <w:ilvl w:val="0"/>
          <w:numId w:val="2"/>
        </w:numPr>
        <w:spacing w:after="240"/>
        <w:rPr>
          <w:rFonts w:ascii="Arial" w:hAnsi="Arial" w:cs="Arial"/>
          <w:vanish/>
        </w:rPr>
      </w:pPr>
    </w:p>
    <w:p w14:paraId="08C8C15A" w14:textId="4B11C93A" w:rsidR="009A520B" w:rsidRPr="00935256" w:rsidRDefault="009A520B" w:rsidP="00EE395D">
      <w:pPr>
        <w:pStyle w:val="ListParagraph"/>
        <w:numPr>
          <w:ilvl w:val="1"/>
          <w:numId w:val="2"/>
        </w:numPr>
        <w:spacing w:after="240"/>
        <w:ind w:left="709" w:hanging="709"/>
        <w:rPr>
          <w:rFonts w:ascii="Arial" w:hAnsi="Arial" w:cs="Arial"/>
        </w:rPr>
      </w:pPr>
      <w:r w:rsidRPr="00935256">
        <w:rPr>
          <w:rFonts w:ascii="Arial" w:hAnsi="Arial" w:cs="Arial"/>
        </w:rPr>
        <w:t>At 31</w:t>
      </w:r>
      <w:r w:rsidR="00EC6236" w:rsidRPr="00935256">
        <w:rPr>
          <w:rFonts w:ascii="Arial" w:hAnsi="Arial" w:cs="Arial"/>
        </w:rPr>
        <w:t xml:space="preserve"> March </w:t>
      </w:r>
      <w:r w:rsidRPr="00935256">
        <w:rPr>
          <w:rFonts w:ascii="Arial" w:hAnsi="Arial" w:cs="Arial"/>
        </w:rPr>
        <w:t>20</w:t>
      </w:r>
      <w:r w:rsidR="00A9602D" w:rsidRPr="00935256">
        <w:rPr>
          <w:rFonts w:ascii="Arial" w:hAnsi="Arial" w:cs="Arial"/>
        </w:rPr>
        <w:t>2</w:t>
      </w:r>
      <w:r w:rsidR="007C3D21" w:rsidRPr="00935256">
        <w:rPr>
          <w:rFonts w:ascii="Arial" w:hAnsi="Arial" w:cs="Arial"/>
        </w:rPr>
        <w:t>1</w:t>
      </w:r>
      <w:r w:rsidRPr="00935256">
        <w:rPr>
          <w:rFonts w:ascii="Arial" w:hAnsi="Arial" w:cs="Arial"/>
        </w:rPr>
        <w:t xml:space="preserve"> t</w:t>
      </w:r>
      <w:r w:rsidR="00A042BB" w:rsidRPr="00935256">
        <w:rPr>
          <w:rFonts w:ascii="Arial" w:hAnsi="Arial" w:cs="Arial"/>
        </w:rPr>
        <w:t xml:space="preserve">he </w:t>
      </w:r>
      <w:r w:rsidR="00564BE3" w:rsidRPr="00935256">
        <w:rPr>
          <w:rFonts w:ascii="Arial" w:hAnsi="Arial" w:cs="Arial"/>
        </w:rPr>
        <w:t>OPCC</w:t>
      </w:r>
      <w:r w:rsidR="00A042BB" w:rsidRPr="00935256">
        <w:rPr>
          <w:rFonts w:ascii="Arial" w:hAnsi="Arial" w:cs="Arial"/>
        </w:rPr>
        <w:t xml:space="preserve">’s underlying need to borrow for capital purposes </w:t>
      </w:r>
      <w:r w:rsidR="00DD2792" w:rsidRPr="00935256">
        <w:rPr>
          <w:rFonts w:ascii="Arial" w:hAnsi="Arial" w:cs="Arial"/>
        </w:rPr>
        <w:t>was £5</w:t>
      </w:r>
      <w:r w:rsidR="00215730">
        <w:rPr>
          <w:rFonts w:ascii="Arial" w:hAnsi="Arial" w:cs="Arial"/>
        </w:rPr>
        <w:t>4.7</w:t>
      </w:r>
      <w:r w:rsidR="00DD2792" w:rsidRPr="00935256">
        <w:rPr>
          <w:rFonts w:ascii="Arial" w:hAnsi="Arial" w:cs="Arial"/>
        </w:rPr>
        <w:t xml:space="preserve">m </w:t>
      </w:r>
      <w:r w:rsidRPr="00935256">
        <w:rPr>
          <w:rFonts w:ascii="Arial" w:hAnsi="Arial" w:cs="Arial"/>
        </w:rPr>
        <w:t>as</w:t>
      </w:r>
      <w:r w:rsidR="00A042BB" w:rsidRPr="00935256">
        <w:rPr>
          <w:rFonts w:ascii="Arial" w:hAnsi="Arial" w:cs="Arial"/>
        </w:rPr>
        <w:t xml:space="preserve"> measured by the Capital Financing Requirement (CFR), while usable reserves and working capital</w:t>
      </w:r>
      <w:r w:rsidR="00DD2792" w:rsidRPr="00935256">
        <w:rPr>
          <w:rFonts w:ascii="Arial" w:hAnsi="Arial" w:cs="Arial"/>
        </w:rPr>
        <w:t>,</w:t>
      </w:r>
      <w:r w:rsidR="00A042BB" w:rsidRPr="00935256">
        <w:rPr>
          <w:rFonts w:ascii="Arial" w:hAnsi="Arial" w:cs="Arial"/>
        </w:rPr>
        <w:t xml:space="preserve"> </w:t>
      </w:r>
      <w:r w:rsidRPr="00935256">
        <w:rPr>
          <w:rFonts w:ascii="Arial" w:hAnsi="Arial" w:cs="Arial"/>
        </w:rPr>
        <w:t xml:space="preserve">which </w:t>
      </w:r>
      <w:r w:rsidR="00A042BB" w:rsidRPr="00935256">
        <w:rPr>
          <w:rFonts w:ascii="Arial" w:hAnsi="Arial" w:cs="Arial"/>
        </w:rPr>
        <w:t>are the underlying resources available for investment</w:t>
      </w:r>
      <w:r w:rsidR="00DD2792" w:rsidRPr="00935256">
        <w:rPr>
          <w:rFonts w:ascii="Arial" w:hAnsi="Arial" w:cs="Arial"/>
        </w:rPr>
        <w:t>,</w:t>
      </w:r>
      <w:r w:rsidRPr="00935256">
        <w:rPr>
          <w:rFonts w:ascii="Arial" w:hAnsi="Arial" w:cs="Arial"/>
        </w:rPr>
        <w:t xml:space="preserve"> </w:t>
      </w:r>
      <w:r w:rsidR="00F3179B" w:rsidRPr="00935256">
        <w:rPr>
          <w:rFonts w:ascii="Arial" w:hAnsi="Arial" w:cs="Arial"/>
        </w:rPr>
        <w:t>amounted to</w:t>
      </w:r>
      <w:r w:rsidRPr="00935256">
        <w:rPr>
          <w:rFonts w:ascii="Arial" w:hAnsi="Arial" w:cs="Arial"/>
        </w:rPr>
        <w:t xml:space="preserve"> £</w:t>
      </w:r>
      <w:r w:rsidR="007812BA" w:rsidRPr="00935256">
        <w:rPr>
          <w:rFonts w:ascii="Arial" w:hAnsi="Arial" w:cs="Arial"/>
        </w:rPr>
        <w:t>9</w:t>
      </w:r>
      <w:r w:rsidR="00215730">
        <w:rPr>
          <w:rFonts w:ascii="Arial" w:hAnsi="Arial" w:cs="Arial"/>
        </w:rPr>
        <w:t>7.5</w:t>
      </w:r>
      <w:r w:rsidR="0023548B" w:rsidRPr="00935256">
        <w:rPr>
          <w:rFonts w:ascii="Arial" w:hAnsi="Arial" w:cs="Arial"/>
        </w:rPr>
        <w:t>m</w:t>
      </w:r>
      <w:r w:rsidR="000D2479">
        <w:rPr>
          <w:rFonts w:ascii="Arial" w:hAnsi="Arial" w:cs="Arial"/>
        </w:rPr>
        <w:t xml:space="preserve"> (useable reserves £10</w:t>
      </w:r>
      <w:r w:rsidR="00215730">
        <w:rPr>
          <w:rFonts w:ascii="Arial" w:hAnsi="Arial" w:cs="Arial"/>
        </w:rPr>
        <w:t>1.38</w:t>
      </w:r>
      <w:r w:rsidR="000D2479">
        <w:rPr>
          <w:rFonts w:ascii="Arial" w:hAnsi="Arial" w:cs="Arial"/>
        </w:rPr>
        <w:t>m less working capital £3.8</w:t>
      </w:r>
      <w:r w:rsidR="00215730">
        <w:rPr>
          <w:rFonts w:ascii="Arial" w:hAnsi="Arial" w:cs="Arial"/>
        </w:rPr>
        <w:t>6</w:t>
      </w:r>
      <w:r w:rsidR="000D2479">
        <w:rPr>
          <w:rFonts w:ascii="Arial" w:hAnsi="Arial" w:cs="Arial"/>
        </w:rPr>
        <w:t>m)</w:t>
      </w:r>
      <w:r w:rsidR="00A042BB" w:rsidRPr="00935256">
        <w:rPr>
          <w:rFonts w:ascii="Arial" w:hAnsi="Arial" w:cs="Arial"/>
        </w:rPr>
        <w:t xml:space="preserve">.  </w:t>
      </w:r>
      <w:r w:rsidR="00EC6236" w:rsidRPr="00935256">
        <w:rPr>
          <w:rFonts w:ascii="Arial" w:hAnsi="Arial" w:cs="Arial"/>
        </w:rPr>
        <w:t>These factors are summarised in Table 1.</w:t>
      </w:r>
    </w:p>
    <w:tbl>
      <w:tblPr>
        <w:tblW w:w="0" w:type="auto"/>
        <w:tblInd w:w="817" w:type="dxa"/>
        <w:tblLayout w:type="fixed"/>
        <w:tblLook w:val="04A0" w:firstRow="1" w:lastRow="0" w:firstColumn="1" w:lastColumn="0" w:noHBand="0" w:noVBand="1"/>
        <w:tblCaption w:val="Table 1:  Balance sheet summary"/>
      </w:tblPr>
      <w:tblGrid>
        <w:gridCol w:w="3652"/>
        <w:gridCol w:w="1417"/>
        <w:gridCol w:w="1417"/>
        <w:gridCol w:w="1417"/>
      </w:tblGrid>
      <w:tr w:rsidR="001C6C1A" w:rsidRPr="0084531B" w14:paraId="10551DDA" w14:textId="77777777" w:rsidTr="00887B83">
        <w:tc>
          <w:tcPr>
            <w:tcW w:w="3652" w:type="dxa"/>
            <w:tcBorders>
              <w:top w:val="single" w:sz="4" w:space="0" w:color="auto"/>
              <w:left w:val="single" w:sz="4" w:space="0" w:color="auto"/>
              <w:bottom w:val="single" w:sz="4" w:space="0" w:color="auto"/>
              <w:right w:val="single" w:sz="4" w:space="0" w:color="auto"/>
            </w:tcBorders>
            <w:shd w:val="clear" w:color="auto" w:fill="auto"/>
          </w:tcPr>
          <w:p w14:paraId="6F1000FF" w14:textId="25531B18" w:rsidR="001C6C1A" w:rsidRPr="0084531B" w:rsidRDefault="007F4276" w:rsidP="001D0F8E">
            <w:pPr>
              <w:pStyle w:val="ListParagraph"/>
              <w:keepNext/>
              <w:ind w:left="0"/>
              <w:rPr>
                <w:rFonts w:ascii="Arial" w:hAnsi="Arial" w:cs="Arial"/>
                <w:b/>
                <w:bCs/>
              </w:rPr>
            </w:pPr>
            <w:r w:rsidRPr="0084531B">
              <w:rPr>
                <w:rFonts w:ascii="Arial" w:hAnsi="Arial" w:cs="Arial"/>
                <w:b/>
                <w:bCs/>
              </w:rPr>
              <w:t>Table 1:  Balance sheet summary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403303F" w14:textId="71B31405" w:rsidR="001C6C1A" w:rsidRPr="0084531B" w:rsidRDefault="001C6C1A" w:rsidP="001D0F8E">
            <w:pPr>
              <w:pStyle w:val="ListParagraph"/>
              <w:keepNext/>
              <w:ind w:left="0"/>
              <w:jc w:val="right"/>
              <w:rPr>
                <w:rFonts w:ascii="Arial" w:hAnsi="Arial" w:cs="Arial"/>
                <w:b/>
                <w:bCs/>
              </w:rPr>
            </w:pPr>
            <w:r w:rsidRPr="0084531B">
              <w:rPr>
                <w:rFonts w:ascii="Arial" w:hAnsi="Arial" w:cs="Arial"/>
                <w:b/>
                <w:bCs/>
              </w:rPr>
              <w:t>31/03/20</w:t>
            </w:r>
            <w:r w:rsidRPr="0084531B">
              <w:rPr>
                <w:rFonts w:ascii="Arial" w:hAnsi="Arial" w:cs="Arial"/>
                <w:b/>
                <w:bCs/>
              </w:rPr>
              <w:br/>
              <w:t>Balance</w:t>
            </w:r>
            <w:r w:rsidRPr="0084531B">
              <w:rPr>
                <w:rFonts w:ascii="Arial" w:hAnsi="Arial" w:cs="Arial"/>
                <w:b/>
                <w:bCs/>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95EB33C" w14:textId="71559067" w:rsidR="001C6C1A" w:rsidRPr="0084531B" w:rsidRDefault="001C6C1A" w:rsidP="001D0F8E">
            <w:pPr>
              <w:pStyle w:val="ListParagraph"/>
              <w:keepNext/>
              <w:ind w:left="0"/>
              <w:jc w:val="right"/>
              <w:rPr>
                <w:rFonts w:ascii="Arial" w:hAnsi="Arial" w:cs="Arial"/>
                <w:b/>
                <w:bCs/>
              </w:rPr>
            </w:pPr>
            <w:r w:rsidRPr="0084531B">
              <w:rPr>
                <w:rFonts w:ascii="Arial" w:hAnsi="Arial" w:cs="Arial"/>
                <w:b/>
                <w:bCs/>
              </w:rPr>
              <w:t>Movement</w:t>
            </w:r>
            <w:r w:rsidR="007F4276" w:rsidRPr="0084531B">
              <w:rPr>
                <w:rFonts w:ascii="Arial" w:hAnsi="Arial" w:cs="Arial"/>
                <w:b/>
                <w:bCs/>
              </w:rPr>
              <w:br/>
            </w:r>
            <w:r w:rsidRPr="0084531B">
              <w:rPr>
                <w:rFonts w:ascii="Arial" w:hAnsi="Arial" w:cs="Arial"/>
                <w:b/>
                <w:bCs/>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10ED02C" w14:textId="1334AE1C" w:rsidR="001C6C1A" w:rsidRPr="0084531B" w:rsidRDefault="001C6C1A" w:rsidP="001D0F8E">
            <w:pPr>
              <w:pStyle w:val="ListParagraph"/>
              <w:keepNext/>
              <w:ind w:left="0"/>
              <w:jc w:val="right"/>
              <w:rPr>
                <w:rFonts w:ascii="Arial" w:hAnsi="Arial" w:cs="Arial"/>
                <w:b/>
                <w:bCs/>
              </w:rPr>
            </w:pPr>
            <w:r w:rsidRPr="0084531B">
              <w:rPr>
                <w:rFonts w:ascii="Arial" w:hAnsi="Arial" w:cs="Arial"/>
                <w:b/>
                <w:bCs/>
              </w:rPr>
              <w:t>31/03/21</w:t>
            </w:r>
            <w:r w:rsidRPr="0084531B">
              <w:rPr>
                <w:rFonts w:ascii="Arial" w:hAnsi="Arial" w:cs="Arial"/>
                <w:b/>
                <w:bCs/>
              </w:rPr>
              <w:br/>
              <w:t>Balance</w:t>
            </w:r>
            <w:r w:rsidRPr="0084531B">
              <w:rPr>
                <w:rFonts w:ascii="Arial" w:hAnsi="Arial" w:cs="Arial"/>
                <w:b/>
                <w:bCs/>
              </w:rPr>
              <w:br/>
              <w:t>£m</w:t>
            </w:r>
          </w:p>
        </w:tc>
      </w:tr>
      <w:tr w:rsidR="001C6C1A" w:rsidRPr="0084531B" w14:paraId="7F3563D0" w14:textId="77777777" w:rsidTr="00887B83">
        <w:tc>
          <w:tcPr>
            <w:tcW w:w="3652" w:type="dxa"/>
            <w:tcBorders>
              <w:top w:val="single" w:sz="4" w:space="0" w:color="auto"/>
              <w:left w:val="single" w:sz="4" w:space="0" w:color="auto"/>
              <w:bottom w:val="single" w:sz="4" w:space="0" w:color="auto"/>
              <w:right w:val="single" w:sz="4" w:space="0" w:color="auto"/>
            </w:tcBorders>
            <w:shd w:val="clear" w:color="auto" w:fill="auto"/>
          </w:tcPr>
          <w:p w14:paraId="2C66DCF5" w14:textId="77777777" w:rsidR="001C6C1A" w:rsidRPr="0084531B" w:rsidRDefault="001C6C1A" w:rsidP="001C6C1A">
            <w:pPr>
              <w:pStyle w:val="ListParagraph"/>
              <w:ind w:left="0"/>
              <w:rPr>
                <w:rFonts w:ascii="Arial" w:hAnsi="Arial" w:cs="Arial"/>
              </w:rPr>
            </w:pPr>
            <w:r w:rsidRPr="0084531B">
              <w:rPr>
                <w:rFonts w:ascii="Arial" w:hAnsi="Arial" w:cs="Arial"/>
              </w:rPr>
              <w:t>CFR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3775A7" w14:textId="0AC67877" w:rsidR="001C6C1A" w:rsidRPr="0084531B" w:rsidRDefault="001C6C1A" w:rsidP="001C6C1A">
            <w:pPr>
              <w:pStyle w:val="ListParagraph"/>
              <w:ind w:left="0"/>
              <w:jc w:val="right"/>
              <w:rPr>
                <w:rFonts w:ascii="Arial" w:hAnsi="Arial" w:cs="Arial"/>
              </w:rPr>
            </w:pPr>
            <w:r w:rsidRPr="0084531B">
              <w:rPr>
                <w:rFonts w:ascii="Arial" w:hAnsi="Arial" w:cs="Arial"/>
              </w:rPr>
              <w:t>56.2</w:t>
            </w:r>
            <w:r w:rsidR="00420AE8" w:rsidRPr="0084531B">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A9488E" w14:textId="436A3BE7" w:rsidR="001C6C1A" w:rsidRPr="0084531B" w:rsidRDefault="00906708" w:rsidP="001C6C1A">
            <w:pPr>
              <w:pStyle w:val="ListParagraph"/>
              <w:ind w:left="0"/>
              <w:jc w:val="right"/>
              <w:rPr>
                <w:rFonts w:ascii="Arial" w:hAnsi="Arial" w:cs="Arial"/>
              </w:rPr>
            </w:pPr>
            <w:r>
              <w:rPr>
                <w:rFonts w:ascii="Arial" w:hAnsi="Arial" w:cs="Arial"/>
              </w:rPr>
              <w:t>(1.58)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5154F7" w14:textId="5D88F54B" w:rsidR="001C6C1A" w:rsidRPr="0084531B" w:rsidRDefault="00935256" w:rsidP="001C6C1A">
            <w:pPr>
              <w:pStyle w:val="ListParagraph"/>
              <w:ind w:left="0"/>
              <w:jc w:val="right"/>
              <w:rPr>
                <w:rFonts w:ascii="Arial" w:hAnsi="Arial" w:cs="Arial"/>
              </w:rPr>
            </w:pPr>
            <w:r w:rsidRPr="0084531B">
              <w:rPr>
                <w:rFonts w:ascii="Arial" w:hAnsi="Arial" w:cs="Arial"/>
              </w:rPr>
              <w:t>5</w:t>
            </w:r>
            <w:r w:rsidR="00906708">
              <w:rPr>
                <w:rFonts w:ascii="Arial" w:hAnsi="Arial" w:cs="Arial"/>
              </w:rPr>
              <w:t>4.67</w:t>
            </w:r>
          </w:p>
        </w:tc>
      </w:tr>
      <w:tr w:rsidR="001C6C1A" w:rsidRPr="0084531B" w14:paraId="34A6585D" w14:textId="77777777" w:rsidTr="00887B83">
        <w:tc>
          <w:tcPr>
            <w:tcW w:w="3652" w:type="dxa"/>
            <w:tcBorders>
              <w:top w:val="single" w:sz="4" w:space="0" w:color="auto"/>
              <w:left w:val="single" w:sz="4" w:space="0" w:color="auto"/>
              <w:bottom w:val="single" w:sz="4" w:space="0" w:color="auto"/>
              <w:right w:val="single" w:sz="4" w:space="0" w:color="auto"/>
            </w:tcBorders>
            <w:shd w:val="clear" w:color="auto" w:fill="auto"/>
          </w:tcPr>
          <w:p w14:paraId="3E432BD5" w14:textId="1C85A6CE" w:rsidR="001C6C1A" w:rsidRPr="0084531B" w:rsidRDefault="001C6C1A" w:rsidP="001C6C1A">
            <w:pPr>
              <w:pStyle w:val="ListParagraph"/>
              <w:ind w:left="0"/>
              <w:rPr>
                <w:rFonts w:ascii="Arial" w:hAnsi="Arial" w:cs="Arial"/>
              </w:rPr>
            </w:pPr>
            <w:r w:rsidRPr="0084531B">
              <w:rPr>
                <w:rFonts w:ascii="Arial" w:hAnsi="Arial" w:cs="Arial"/>
              </w:rPr>
              <w:t xml:space="preserve">External </w:t>
            </w:r>
            <w:r w:rsidR="00BA080F" w:rsidRPr="0084531B">
              <w:rPr>
                <w:rFonts w:ascii="Arial" w:hAnsi="Arial" w:cs="Arial"/>
              </w:rPr>
              <w:t>b</w:t>
            </w:r>
            <w:r w:rsidRPr="0084531B">
              <w:rPr>
                <w:rFonts w:ascii="Arial" w:hAnsi="Arial" w:cs="Arial"/>
              </w:rPr>
              <w:t>orrowing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55B3A" w14:textId="7809CFEB" w:rsidR="001C6C1A" w:rsidRPr="0084531B" w:rsidRDefault="001C6C1A" w:rsidP="001C6C1A">
            <w:pPr>
              <w:pStyle w:val="ListParagraph"/>
              <w:ind w:left="0"/>
              <w:jc w:val="right"/>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B99989" w14:textId="2E07B079" w:rsidR="001C6C1A" w:rsidRPr="0084531B" w:rsidRDefault="001C6C1A" w:rsidP="001C6C1A">
            <w:pPr>
              <w:pStyle w:val="ListParagraph"/>
              <w:ind w:left="0"/>
              <w:jc w:val="right"/>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43F1F6" w14:textId="3FA4BD87" w:rsidR="001C6C1A" w:rsidRPr="0084531B" w:rsidRDefault="001C6C1A" w:rsidP="001C6C1A">
            <w:pPr>
              <w:pStyle w:val="ListParagraph"/>
              <w:ind w:left="0"/>
              <w:jc w:val="right"/>
              <w:rPr>
                <w:rFonts w:ascii="Arial" w:hAnsi="Arial" w:cs="Arial"/>
              </w:rPr>
            </w:pPr>
          </w:p>
        </w:tc>
      </w:tr>
      <w:tr w:rsidR="001C6C1A" w:rsidRPr="0084531B" w14:paraId="120FB942" w14:textId="77777777" w:rsidTr="00887B83">
        <w:tc>
          <w:tcPr>
            <w:tcW w:w="3652" w:type="dxa"/>
            <w:tcBorders>
              <w:top w:val="single" w:sz="4" w:space="0" w:color="auto"/>
              <w:left w:val="single" w:sz="4" w:space="0" w:color="auto"/>
              <w:bottom w:val="single" w:sz="4" w:space="0" w:color="auto"/>
              <w:right w:val="single" w:sz="4" w:space="0" w:color="auto"/>
            </w:tcBorders>
            <w:shd w:val="clear" w:color="auto" w:fill="auto"/>
          </w:tcPr>
          <w:p w14:paraId="51832E1C" w14:textId="4D17EF47" w:rsidR="001C6C1A" w:rsidRPr="0084531B" w:rsidRDefault="001C6C1A" w:rsidP="001C6C1A">
            <w:pPr>
              <w:pStyle w:val="ListParagraph"/>
              <w:numPr>
                <w:ilvl w:val="0"/>
                <w:numId w:val="7"/>
              </w:numPr>
              <w:rPr>
                <w:rFonts w:ascii="Arial" w:hAnsi="Arial" w:cs="Arial"/>
              </w:rPr>
            </w:pPr>
            <w:r w:rsidRPr="0084531B">
              <w:rPr>
                <w:rFonts w:ascii="Arial" w:hAnsi="Arial" w:cs="Arial"/>
              </w:rPr>
              <w:t>Public Works Loan Board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8CD21F" w14:textId="7B0811F1" w:rsidR="001C6C1A" w:rsidRPr="0084531B" w:rsidRDefault="001C6C1A" w:rsidP="001C6C1A">
            <w:pPr>
              <w:pStyle w:val="ListParagraph"/>
              <w:ind w:left="0"/>
              <w:jc w:val="right"/>
              <w:rPr>
                <w:rFonts w:ascii="Arial" w:hAnsi="Arial" w:cs="Arial"/>
              </w:rPr>
            </w:pPr>
            <w:r w:rsidRPr="0084531B">
              <w:rPr>
                <w:rFonts w:ascii="Arial" w:hAnsi="Arial" w:cs="Arial"/>
              </w:rPr>
              <w:t>(30.</w:t>
            </w:r>
            <w:r w:rsidR="00420AE8" w:rsidRPr="0084531B">
              <w:rPr>
                <w:rFonts w:ascii="Arial" w:hAnsi="Arial" w:cs="Arial"/>
              </w:rPr>
              <w:t>4</w:t>
            </w:r>
            <w:r w:rsidRPr="0084531B">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65C2F5" w14:textId="04812431" w:rsidR="001C6C1A" w:rsidRPr="0084531B" w:rsidRDefault="001C6C1A" w:rsidP="001C6C1A">
            <w:pPr>
              <w:pStyle w:val="ListParagraph"/>
              <w:ind w:left="0"/>
              <w:jc w:val="right"/>
              <w:rPr>
                <w:rFonts w:ascii="Arial" w:hAnsi="Arial" w:cs="Arial"/>
              </w:rPr>
            </w:pPr>
            <w:r w:rsidRPr="0084531B">
              <w:rPr>
                <w:rFonts w:ascii="Arial" w:hAnsi="Arial" w:cs="Arial"/>
              </w:rPr>
              <w:t>0.5</w:t>
            </w:r>
            <w:r w:rsidR="00F24B89" w:rsidRPr="0084531B">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F506B9" w14:textId="1043F3FC" w:rsidR="001C6C1A" w:rsidRPr="0084531B" w:rsidRDefault="001C6C1A" w:rsidP="001C6C1A">
            <w:pPr>
              <w:pStyle w:val="ListParagraph"/>
              <w:ind w:left="0"/>
              <w:jc w:val="right"/>
              <w:rPr>
                <w:rFonts w:ascii="Arial" w:hAnsi="Arial" w:cs="Arial"/>
              </w:rPr>
            </w:pPr>
            <w:r w:rsidRPr="0084531B">
              <w:rPr>
                <w:rFonts w:ascii="Arial" w:hAnsi="Arial" w:cs="Arial"/>
              </w:rPr>
              <w:t>(</w:t>
            </w:r>
            <w:r w:rsidR="00420AE8" w:rsidRPr="0084531B">
              <w:rPr>
                <w:rFonts w:ascii="Arial" w:hAnsi="Arial" w:cs="Arial"/>
              </w:rPr>
              <w:t>29.95</w:t>
            </w:r>
            <w:r w:rsidRPr="0084531B">
              <w:rPr>
                <w:rFonts w:ascii="Arial" w:hAnsi="Arial" w:cs="Arial"/>
              </w:rPr>
              <w:t>)</w:t>
            </w:r>
          </w:p>
        </w:tc>
      </w:tr>
      <w:tr w:rsidR="001C6C1A" w:rsidRPr="0084531B" w14:paraId="395A288C" w14:textId="77777777" w:rsidTr="00887B83">
        <w:tc>
          <w:tcPr>
            <w:tcW w:w="3652" w:type="dxa"/>
            <w:tcBorders>
              <w:top w:val="single" w:sz="4" w:space="0" w:color="auto"/>
              <w:left w:val="single" w:sz="4" w:space="0" w:color="auto"/>
              <w:bottom w:val="single" w:sz="4" w:space="0" w:color="auto"/>
              <w:right w:val="single" w:sz="4" w:space="0" w:color="auto"/>
            </w:tcBorders>
            <w:shd w:val="clear" w:color="auto" w:fill="auto"/>
          </w:tcPr>
          <w:p w14:paraId="79C78EC1" w14:textId="3ED52AA3" w:rsidR="001C6C1A" w:rsidRPr="0084531B" w:rsidRDefault="001C6C1A" w:rsidP="001C6C1A">
            <w:pPr>
              <w:pStyle w:val="ListParagraph"/>
              <w:ind w:left="0"/>
              <w:rPr>
                <w:rFonts w:ascii="Arial" w:hAnsi="Arial" w:cs="Arial"/>
                <w:b/>
                <w:bCs/>
              </w:rPr>
            </w:pPr>
            <w:r w:rsidRPr="0084531B">
              <w:rPr>
                <w:rFonts w:ascii="Arial" w:hAnsi="Arial" w:cs="Arial"/>
                <w:b/>
                <w:bCs/>
              </w:rPr>
              <w:t xml:space="preserve">Internal </w:t>
            </w:r>
            <w:r w:rsidR="00BA080F" w:rsidRPr="0084531B">
              <w:rPr>
                <w:rFonts w:ascii="Arial" w:hAnsi="Arial" w:cs="Arial"/>
                <w:b/>
                <w:bCs/>
              </w:rPr>
              <w:t>b</w:t>
            </w:r>
            <w:r w:rsidRPr="0084531B">
              <w:rPr>
                <w:rFonts w:ascii="Arial" w:hAnsi="Arial" w:cs="Arial"/>
                <w:b/>
                <w:bCs/>
              </w:rPr>
              <w:t>orrowing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C79FF" w14:textId="7E5B6F22" w:rsidR="001C6C1A" w:rsidRPr="0084531B" w:rsidRDefault="001C6C1A" w:rsidP="001C6C1A">
            <w:pPr>
              <w:pStyle w:val="ListParagraph"/>
              <w:ind w:left="0"/>
              <w:jc w:val="right"/>
              <w:rPr>
                <w:rFonts w:ascii="Arial" w:hAnsi="Arial" w:cs="Arial"/>
                <w:b/>
                <w:bCs/>
              </w:rPr>
            </w:pPr>
            <w:r w:rsidRPr="0084531B">
              <w:rPr>
                <w:rFonts w:ascii="Arial" w:hAnsi="Arial" w:cs="Arial"/>
                <w:b/>
                <w:bCs/>
              </w:rPr>
              <w:t>25.</w:t>
            </w:r>
            <w:r w:rsidR="00420AE8" w:rsidRPr="0084531B">
              <w:rPr>
                <w:rFonts w:ascii="Arial" w:hAnsi="Arial" w:cs="Arial"/>
                <w:b/>
                <w:bCs/>
              </w:rPr>
              <w:t>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A11D75" w14:textId="6A37190F" w:rsidR="001C6C1A" w:rsidRPr="0084531B" w:rsidRDefault="00B85928" w:rsidP="001C6C1A">
            <w:pPr>
              <w:pStyle w:val="ListParagraph"/>
              <w:ind w:left="0"/>
              <w:jc w:val="right"/>
              <w:rPr>
                <w:rFonts w:ascii="Arial" w:hAnsi="Arial" w:cs="Arial"/>
                <w:b/>
                <w:bCs/>
              </w:rPr>
            </w:pPr>
            <w:r>
              <w:rPr>
                <w:rFonts w:ascii="Arial" w:hAnsi="Arial" w:cs="Arial"/>
                <w:b/>
                <w:bCs/>
              </w:rPr>
              <w:t>(1.08)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F3C1B0" w14:textId="5EC933FB" w:rsidR="001C6C1A" w:rsidRPr="0084531B" w:rsidRDefault="0084531B" w:rsidP="001C6C1A">
            <w:pPr>
              <w:pStyle w:val="ListParagraph"/>
              <w:ind w:left="0"/>
              <w:jc w:val="right"/>
              <w:rPr>
                <w:rFonts w:ascii="Arial" w:hAnsi="Arial" w:cs="Arial"/>
                <w:b/>
                <w:bCs/>
              </w:rPr>
            </w:pPr>
            <w:r w:rsidRPr="0084531B">
              <w:rPr>
                <w:rFonts w:ascii="Arial" w:hAnsi="Arial" w:cs="Arial"/>
                <w:b/>
                <w:bCs/>
              </w:rPr>
              <w:t>2</w:t>
            </w:r>
            <w:r w:rsidR="00B85928">
              <w:rPr>
                <w:rFonts w:ascii="Arial" w:hAnsi="Arial" w:cs="Arial"/>
                <w:b/>
                <w:bCs/>
              </w:rPr>
              <w:t>4.72</w:t>
            </w:r>
          </w:p>
        </w:tc>
      </w:tr>
      <w:tr w:rsidR="001C6C1A" w:rsidRPr="0084531B" w14:paraId="66B180C9" w14:textId="77777777" w:rsidTr="00887B83">
        <w:tc>
          <w:tcPr>
            <w:tcW w:w="3652" w:type="dxa"/>
            <w:tcBorders>
              <w:top w:val="single" w:sz="4" w:space="0" w:color="auto"/>
              <w:left w:val="single" w:sz="4" w:space="0" w:color="auto"/>
              <w:bottom w:val="single" w:sz="4" w:space="0" w:color="auto"/>
              <w:right w:val="single" w:sz="4" w:space="0" w:color="auto"/>
            </w:tcBorders>
            <w:shd w:val="clear" w:color="auto" w:fill="auto"/>
          </w:tcPr>
          <w:p w14:paraId="3AE891FA" w14:textId="5C60EB5F" w:rsidR="001C6C1A" w:rsidRPr="0084531B" w:rsidRDefault="001C6C1A" w:rsidP="001C6C1A">
            <w:pPr>
              <w:pStyle w:val="ListParagraph"/>
              <w:ind w:left="0"/>
              <w:rPr>
                <w:rFonts w:ascii="Arial" w:hAnsi="Arial" w:cs="Arial"/>
              </w:rPr>
            </w:pPr>
            <w:r w:rsidRPr="0084531B">
              <w:rPr>
                <w:rFonts w:ascii="Arial" w:hAnsi="Arial" w:cs="Arial"/>
              </w:rPr>
              <w:t xml:space="preserve">Less: Working </w:t>
            </w:r>
            <w:r w:rsidR="00BA080F" w:rsidRPr="0084531B">
              <w:rPr>
                <w:rFonts w:ascii="Arial" w:hAnsi="Arial" w:cs="Arial"/>
              </w:rPr>
              <w:t>c</w:t>
            </w:r>
            <w:r w:rsidRPr="0084531B">
              <w:rPr>
                <w:rFonts w:ascii="Arial" w:hAnsi="Arial" w:cs="Arial"/>
              </w:rPr>
              <w:t>apital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34F51F" w14:textId="2C6E17D9" w:rsidR="001C6C1A" w:rsidRPr="0084531B" w:rsidRDefault="00420AE8" w:rsidP="001C6C1A">
            <w:pPr>
              <w:pStyle w:val="ListParagraph"/>
              <w:ind w:left="0"/>
              <w:jc w:val="right"/>
              <w:rPr>
                <w:rFonts w:ascii="Arial" w:hAnsi="Arial" w:cs="Arial"/>
              </w:rPr>
            </w:pPr>
            <w:r w:rsidRPr="0084531B">
              <w:rPr>
                <w:rFonts w:ascii="Arial" w:hAnsi="Arial" w:cs="Arial"/>
              </w:rPr>
              <w:t>3.86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AC5CD0" w14:textId="67DC14B9" w:rsidR="001C6C1A" w:rsidRPr="0084531B" w:rsidRDefault="00B85928" w:rsidP="001C6C1A">
            <w:pPr>
              <w:pStyle w:val="ListParagraph"/>
              <w:ind w:left="0"/>
              <w:jc w:val="right"/>
              <w:rPr>
                <w:rFonts w:ascii="Arial" w:hAnsi="Arial" w:cs="Arial"/>
              </w:rPr>
            </w:pPr>
            <w:r>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715408" w14:textId="0113F6AC" w:rsidR="001C6C1A" w:rsidRPr="0084531B" w:rsidRDefault="00F24B89" w:rsidP="001C6C1A">
            <w:pPr>
              <w:pStyle w:val="ListParagraph"/>
              <w:ind w:left="0"/>
              <w:jc w:val="right"/>
              <w:rPr>
                <w:rFonts w:ascii="Arial" w:hAnsi="Arial" w:cs="Arial"/>
              </w:rPr>
            </w:pPr>
            <w:r w:rsidRPr="0084531B">
              <w:rPr>
                <w:rFonts w:ascii="Arial" w:hAnsi="Arial" w:cs="Arial"/>
              </w:rPr>
              <w:t>3.8</w:t>
            </w:r>
            <w:r w:rsidR="00B85928">
              <w:rPr>
                <w:rFonts w:ascii="Arial" w:hAnsi="Arial" w:cs="Arial"/>
              </w:rPr>
              <w:t>6</w:t>
            </w:r>
          </w:p>
        </w:tc>
      </w:tr>
      <w:tr w:rsidR="001C6C1A" w:rsidRPr="0084531B" w14:paraId="5132E260" w14:textId="77777777" w:rsidTr="00887B83">
        <w:tc>
          <w:tcPr>
            <w:tcW w:w="3652" w:type="dxa"/>
            <w:tcBorders>
              <w:top w:val="single" w:sz="4" w:space="0" w:color="auto"/>
              <w:left w:val="single" w:sz="4" w:space="0" w:color="auto"/>
              <w:bottom w:val="single" w:sz="4" w:space="0" w:color="auto"/>
              <w:right w:val="single" w:sz="4" w:space="0" w:color="auto"/>
            </w:tcBorders>
            <w:shd w:val="clear" w:color="auto" w:fill="auto"/>
          </w:tcPr>
          <w:p w14:paraId="1D7964A1" w14:textId="64EC426F" w:rsidR="001C6C1A" w:rsidRPr="0084531B" w:rsidRDefault="001C6C1A" w:rsidP="001C6C1A">
            <w:pPr>
              <w:pStyle w:val="ListParagraph"/>
              <w:ind w:left="0"/>
              <w:rPr>
                <w:rFonts w:ascii="Arial" w:hAnsi="Arial" w:cs="Arial"/>
              </w:rPr>
            </w:pPr>
            <w:r w:rsidRPr="0084531B">
              <w:rPr>
                <w:rFonts w:ascii="Arial" w:hAnsi="Arial" w:cs="Arial"/>
              </w:rPr>
              <w:t xml:space="preserve">Less: Usable </w:t>
            </w:r>
            <w:r w:rsidR="00BA080F" w:rsidRPr="0084531B">
              <w:rPr>
                <w:rFonts w:ascii="Arial" w:hAnsi="Arial" w:cs="Arial"/>
              </w:rPr>
              <w:t>r</w:t>
            </w:r>
            <w:r w:rsidRPr="0084531B">
              <w:rPr>
                <w:rFonts w:ascii="Arial" w:hAnsi="Arial" w:cs="Arial"/>
              </w:rPr>
              <w:t>eserves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63C45" w14:textId="0578E5F9" w:rsidR="001C6C1A" w:rsidRPr="0084531B" w:rsidRDefault="001C6C1A" w:rsidP="001C6C1A">
            <w:pPr>
              <w:pStyle w:val="ListParagraph"/>
              <w:ind w:left="0"/>
              <w:jc w:val="right"/>
              <w:rPr>
                <w:rFonts w:ascii="Arial" w:hAnsi="Arial" w:cs="Arial"/>
              </w:rPr>
            </w:pPr>
            <w:r w:rsidRPr="0084531B">
              <w:rPr>
                <w:rFonts w:ascii="Arial" w:hAnsi="Arial" w:cs="Arial"/>
              </w:rPr>
              <w:t>(76.</w:t>
            </w:r>
            <w:r w:rsidR="00420AE8" w:rsidRPr="0084531B">
              <w:rPr>
                <w:rFonts w:ascii="Arial" w:hAnsi="Arial" w:cs="Arial"/>
              </w:rPr>
              <w:t>76</w:t>
            </w:r>
            <w:r w:rsidRPr="0084531B">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12FD5B" w14:textId="75EAC274" w:rsidR="001C6C1A" w:rsidRPr="0084531B" w:rsidRDefault="001C6C1A" w:rsidP="001C6C1A">
            <w:pPr>
              <w:pStyle w:val="ListParagraph"/>
              <w:ind w:left="0"/>
              <w:jc w:val="right"/>
              <w:rPr>
                <w:rFonts w:ascii="Arial" w:hAnsi="Arial" w:cs="Arial"/>
              </w:rPr>
            </w:pPr>
            <w:r w:rsidRPr="0084531B">
              <w:rPr>
                <w:rFonts w:ascii="Arial" w:hAnsi="Arial" w:cs="Arial"/>
              </w:rPr>
              <w:t>(</w:t>
            </w:r>
            <w:r w:rsidR="00F11FB1" w:rsidRPr="0084531B">
              <w:rPr>
                <w:rFonts w:ascii="Arial" w:hAnsi="Arial" w:cs="Arial"/>
              </w:rPr>
              <w:t>2</w:t>
            </w:r>
            <w:r w:rsidR="003310AA">
              <w:rPr>
                <w:rFonts w:ascii="Arial" w:hAnsi="Arial" w:cs="Arial"/>
              </w:rPr>
              <w:t>4.62</w:t>
            </w:r>
            <w:r w:rsidR="00F11FB1" w:rsidRPr="0084531B">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8E612D" w14:textId="4A32CF28" w:rsidR="001C6C1A" w:rsidRPr="0084531B" w:rsidRDefault="001C6C1A" w:rsidP="001C6C1A">
            <w:pPr>
              <w:pStyle w:val="ListParagraph"/>
              <w:ind w:left="0"/>
              <w:jc w:val="right"/>
              <w:rPr>
                <w:rFonts w:ascii="Arial" w:hAnsi="Arial" w:cs="Arial"/>
              </w:rPr>
            </w:pPr>
            <w:r w:rsidRPr="0084531B">
              <w:rPr>
                <w:rFonts w:ascii="Arial" w:hAnsi="Arial" w:cs="Arial"/>
              </w:rPr>
              <w:t>(</w:t>
            </w:r>
            <w:r w:rsidR="00F24B89" w:rsidRPr="0084531B">
              <w:rPr>
                <w:rFonts w:ascii="Arial" w:hAnsi="Arial" w:cs="Arial"/>
              </w:rPr>
              <w:t>10</w:t>
            </w:r>
            <w:r w:rsidR="003310AA">
              <w:rPr>
                <w:rFonts w:ascii="Arial" w:hAnsi="Arial" w:cs="Arial"/>
              </w:rPr>
              <w:t>1.38</w:t>
            </w:r>
            <w:r w:rsidRPr="0084531B">
              <w:rPr>
                <w:rFonts w:ascii="Arial" w:hAnsi="Arial" w:cs="Arial"/>
              </w:rPr>
              <w:t>)</w:t>
            </w:r>
          </w:p>
        </w:tc>
      </w:tr>
      <w:tr w:rsidR="001C6C1A" w:rsidRPr="00E76963" w14:paraId="766727D5" w14:textId="77777777" w:rsidTr="00887B83">
        <w:tc>
          <w:tcPr>
            <w:tcW w:w="3652" w:type="dxa"/>
            <w:tcBorders>
              <w:top w:val="single" w:sz="4" w:space="0" w:color="auto"/>
              <w:left w:val="single" w:sz="4" w:space="0" w:color="auto"/>
              <w:bottom w:val="single" w:sz="4" w:space="0" w:color="auto"/>
              <w:right w:val="single" w:sz="4" w:space="0" w:color="auto"/>
            </w:tcBorders>
            <w:shd w:val="clear" w:color="auto" w:fill="auto"/>
          </w:tcPr>
          <w:p w14:paraId="6C98B422" w14:textId="085ED3F9" w:rsidR="001C6C1A" w:rsidRPr="0084531B" w:rsidRDefault="001C6C1A" w:rsidP="001C6C1A">
            <w:pPr>
              <w:pStyle w:val="ListParagraph"/>
              <w:ind w:left="0"/>
              <w:rPr>
                <w:rFonts w:ascii="Arial" w:hAnsi="Arial" w:cs="Arial"/>
                <w:b/>
                <w:bCs/>
              </w:rPr>
            </w:pPr>
            <w:r w:rsidRPr="0084531B">
              <w:rPr>
                <w:rFonts w:ascii="Arial" w:hAnsi="Arial" w:cs="Arial"/>
                <w:b/>
                <w:bCs/>
              </w:rPr>
              <w:t xml:space="preserve">Net </w:t>
            </w:r>
            <w:r w:rsidR="00BA080F" w:rsidRPr="0084531B">
              <w:rPr>
                <w:rFonts w:ascii="Arial" w:hAnsi="Arial" w:cs="Arial"/>
                <w:b/>
                <w:bCs/>
              </w:rPr>
              <w:t>i</w:t>
            </w:r>
            <w:r w:rsidRPr="0084531B">
              <w:rPr>
                <w:rFonts w:ascii="Arial" w:hAnsi="Arial" w:cs="Arial"/>
                <w:b/>
                <w:bCs/>
              </w:rPr>
              <w:t>nvestments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438014" w14:textId="0A1B286C" w:rsidR="001C6C1A" w:rsidRPr="0084531B" w:rsidRDefault="001C6C1A" w:rsidP="001C6C1A">
            <w:pPr>
              <w:pStyle w:val="ListParagraph"/>
              <w:ind w:left="0"/>
              <w:jc w:val="right"/>
              <w:rPr>
                <w:rFonts w:ascii="Arial" w:hAnsi="Arial" w:cs="Arial"/>
                <w:b/>
                <w:bCs/>
              </w:rPr>
            </w:pPr>
            <w:r w:rsidRPr="0084531B">
              <w:rPr>
                <w:rFonts w:ascii="Arial" w:hAnsi="Arial" w:cs="Arial"/>
                <w:b/>
                <w:bCs/>
              </w:rPr>
              <w:t>(47.1</w:t>
            </w:r>
            <w:r w:rsidR="00420AE8" w:rsidRPr="0084531B">
              <w:rPr>
                <w:rFonts w:ascii="Arial" w:hAnsi="Arial" w:cs="Arial"/>
                <w:b/>
                <w:bCs/>
              </w:rPr>
              <w:t>0</w:t>
            </w:r>
            <w:r w:rsidRPr="0084531B">
              <w:rPr>
                <w:rFonts w:ascii="Arial" w:hAnsi="Arial" w:cs="Arial"/>
                <w:b/>
                <w:bC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953F54" w14:textId="359E9123" w:rsidR="001C6C1A" w:rsidRPr="0084531B" w:rsidRDefault="001C6C1A" w:rsidP="001C6C1A">
            <w:pPr>
              <w:pStyle w:val="ListParagraph"/>
              <w:ind w:left="0"/>
              <w:jc w:val="right"/>
              <w:rPr>
                <w:rFonts w:ascii="Arial" w:hAnsi="Arial" w:cs="Arial"/>
                <w:b/>
                <w:bCs/>
              </w:rPr>
            </w:pPr>
            <w:r w:rsidRPr="0084531B">
              <w:rPr>
                <w:rFonts w:ascii="Arial" w:hAnsi="Arial" w:cs="Arial"/>
                <w:b/>
                <w:bCs/>
              </w:rPr>
              <w:t>(</w:t>
            </w:r>
            <w:r w:rsidR="0084531B" w:rsidRPr="0084531B">
              <w:rPr>
                <w:rFonts w:ascii="Arial" w:hAnsi="Arial" w:cs="Arial"/>
                <w:b/>
                <w:bCs/>
              </w:rPr>
              <w:t>25.70)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B5EF9" w14:textId="3779F085" w:rsidR="001C6C1A" w:rsidRPr="0084531B" w:rsidRDefault="001C6C1A" w:rsidP="001C6C1A">
            <w:pPr>
              <w:pStyle w:val="ListParagraph"/>
              <w:ind w:left="0"/>
              <w:jc w:val="right"/>
              <w:rPr>
                <w:rFonts w:ascii="Arial" w:hAnsi="Arial" w:cs="Arial"/>
                <w:b/>
                <w:bCs/>
              </w:rPr>
            </w:pPr>
            <w:r w:rsidRPr="0084531B">
              <w:rPr>
                <w:rFonts w:ascii="Arial" w:hAnsi="Arial" w:cs="Arial"/>
                <w:b/>
                <w:bCs/>
              </w:rPr>
              <w:t>(</w:t>
            </w:r>
            <w:r w:rsidR="0084531B" w:rsidRPr="0084531B">
              <w:rPr>
                <w:rFonts w:ascii="Arial" w:hAnsi="Arial" w:cs="Arial"/>
                <w:b/>
                <w:bCs/>
              </w:rPr>
              <w:t>72.80</w:t>
            </w:r>
            <w:r w:rsidRPr="0084531B">
              <w:rPr>
                <w:rFonts w:ascii="Arial" w:hAnsi="Arial" w:cs="Arial"/>
                <w:b/>
                <w:bCs/>
              </w:rPr>
              <w:t>)</w:t>
            </w:r>
          </w:p>
        </w:tc>
      </w:tr>
    </w:tbl>
    <w:p w14:paraId="6E700B1D" w14:textId="77777777" w:rsidR="00EC6236" w:rsidRPr="00E76963" w:rsidRDefault="00EC6236" w:rsidP="00EC6236">
      <w:pPr>
        <w:pStyle w:val="ListParagraph"/>
        <w:spacing w:after="240"/>
        <w:ind w:left="0"/>
        <w:rPr>
          <w:rFonts w:ascii="Arial" w:hAnsi="Arial" w:cs="Arial"/>
          <w:highlight w:val="yellow"/>
        </w:rPr>
      </w:pPr>
    </w:p>
    <w:p w14:paraId="2B79B28D" w14:textId="6FF68FF7" w:rsidR="008846A1" w:rsidRPr="00A06FBC" w:rsidRDefault="008846A1" w:rsidP="008846A1">
      <w:pPr>
        <w:pStyle w:val="ListParagraph"/>
        <w:numPr>
          <w:ilvl w:val="1"/>
          <w:numId w:val="2"/>
        </w:numPr>
        <w:spacing w:after="240"/>
        <w:ind w:left="720" w:hanging="720"/>
        <w:rPr>
          <w:rFonts w:ascii="Arial" w:hAnsi="Arial" w:cs="Arial"/>
        </w:rPr>
      </w:pPr>
      <w:bookmarkStart w:id="1" w:name="_Hlk13133586"/>
      <w:r w:rsidRPr="00E86FCB">
        <w:rPr>
          <w:rFonts w:ascii="Arial" w:hAnsi="Arial" w:cs="Arial"/>
        </w:rPr>
        <w:lastRenderedPageBreak/>
        <w:t xml:space="preserve">The </w:t>
      </w:r>
      <w:r w:rsidR="00CE7E0C" w:rsidRPr="00E86FCB">
        <w:rPr>
          <w:rFonts w:ascii="Arial" w:hAnsi="Arial" w:cs="Arial"/>
        </w:rPr>
        <w:t>CFR has r</w:t>
      </w:r>
      <w:r w:rsidR="00E52567" w:rsidRPr="00E86FCB">
        <w:rPr>
          <w:rFonts w:ascii="Arial" w:hAnsi="Arial" w:cs="Arial"/>
        </w:rPr>
        <w:t>e</w:t>
      </w:r>
      <w:r w:rsidR="000F29C3" w:rsidRPr="00E86FCB">
        <w:rPr>
          <w:rFonts w:ascii="Arial" w:hAnsi="Arial" w:cs="Arial"/>
        </w:rPr>
        <w:t>mained fairly consistent with last year</w:t>
      </w:r>
      <w:r w:rsidR="00643F66" w:rsidRPr="00E86FCB">
        <w:rPr>
          <w:rFonts w:ascii="Arial" w:hAnsi="Arial" w:cs="Arial"/>
        </w:rPr>
        <w:t xml:space="preserve"> and there has been repayment of</w:t>
      </w:r>
      <w:r w:rsidR="009B58E6" w:rsidRPr="00E86FCB">
        <w:rPr>
          <w:rFonts w:ascii="Arial" w:hAnsi="Arial" w:cs="Arial"/>
        </w:rPr>
        <w:t xml:space="preserve"> £0.50m of</w:t>
      </w:r>
      <w:r w:rsidR="00643F66" w:rsidRPr="00E86FCB">
        <w:rPr>
          <w:rFonts w:ascii="Arial" w:hAnsi="Arial" w:cs="Arial"/>
        </w:rPr>
        <w:t xml:space="preserve"> Public Works Loan Board loans</w:t>
      </w:r>
      <w:r w:rsidR="009B58E6" w:rsidRPr="00E86FCB">
        <w:rPr>
          <w:rFonts w:ascii="Arial" w:hAnsi="Arial" w:cs="Arial"/>
        </w:rPr>
        <w:t xml:space="preserve"> that have matured and not </w:t>
      </w:r>
      <w:r w:rsidR="0022094A" w:rsidRPr="00A06FBC">
        <w:rPr>
          <w:rFonts w:ascii="Arial" w:hAnsi="Arial" w:cs="Arial"/>
        </w:rPr>
        <w:t>been</w:t>
      </w:r>
      <w:r w:rsidR="00A16D22" w:rsidRPr="00A06FBC">
        <w:rPr>
          <w:rFonts w:ascii="Arial" w:hAnsi="Arial" w:cs="Arial"/>
        </w:rPr>
        <w:t xml:space="preserve"> </w:t>
      </w:r>
      <w:r w:rsidR="009B58E6" w:rsidRPr="00E86FCB">
        <w:rPr>
          <w:rFonts w:ascii="Arial" w:hAnsi="Arial" w:cs="Arial"/>
        </w:rPr>
        <w:t xml:space="preserve">replaced, </w:t>
      </w:r>
      <w:r w:rsidR="00960566" w:rsidRPr="00E86FCB">
        <w:rPr>
          <w:rFonts w:ascii="Arial" w:hAnsi="Arial" w:cs="Arial"/>
        </w:rPr>
        <w:t xml:space="preserve">both of which have led to an increase in </w:t>
      </w:r>
      <w:r w:rsidR="00A16D22" w:rsidRPr="00A06FBC">
        <w:rPr>
          <w:rFonts w:ascii="Arial" w:hAnsi="Arial" w:cs="Arial"/>
        </w:rPr>
        <w:t>in</w:t>
      </w:r>
      <w:r w:rsidR="00960566" w:rsidRPr="00A06FBC">
        <w:rPr>
          <w:rFonts w:ascii="Arial" w:hAnsi="Arial" w:cs="Arial"/>
        </w:rPr>
        <w:t>ternal</w:t>
      </w:r>
      <w:r w:rsidR="00960566" w:rsidRPr="00E86FCB">
        <w:rPr>
          <w:rFonts w:ascii="Arial" w:hAnsi="Arial" w:cs="Arial"/>
        </w:rPr>
        <w:t xml:space="preserve"> borrowing of £0.53m.  </w:t>
      </w:r>
      <w:r w:rsidR="00B16928" w:rsidRPr="00E86FCB">
        <w:rPr>
          <w:rFonts w:ascii="Arial" w:hAnsi="Arial" w:cs="Arial"/>
        </w:rPr>
        <w:t>Usable reserves ha</w:t>
      </w:r>
      <w:r w:rsidR="003A7F2A" w:rsidRPr="00E86FCB">
        <w:rPr>
          <w:rFonts w:ascii="Arial" w:hAnsi="Arial" w:cs="Arial"/>
        </w:rPr>
        <w:t xml:space="preserve">ve </w:t>
      </w:r>
      <w:r w:rsidR="0086765B" w:rsidRPr="00E86FCB">
        <w:rPr>
          <w:rFonts w:ascii="Arial" w:hAnsi="Arial" w:cs="Arial"/>
        </w:rPr>
        <w:t>increased</w:t>
      </w:r>
      <w:r w:rsidR="00E86FCB" w:rsidRPr="00E86FCB">
        <w:rPr>
          <w:rFonts w:ascii="Arial" w:hAnsi="Arial" w:cs="Arial"/>
        </w:rPr>
        <w:t xml:space="preserve"> by £26.1m due to</w:t>
      </w:r>
      <w:r w:rsidR="004B2E5A">
        <w:rPr>
          <w:rFonts w:ascii="Arial" w:hAnsi="Arial" w:cs="Arial"/>
        </w:rPr>
        <w:t xml:space="preserve"> </w:t>
      </w:r>
      <w:r w:rsidR="00D47E48">
        <w:rPr>
          <w:rFonts w:ascii="Arial" w:hAnsi="Arial" w:cs="Arial"/>
        </w:rPr>
        <w:t xml:space="preserve">a </w:t>
      </w:r>
      <w:r w:rsidR="00807941" w:rsidRPr="00A06FBC">
        <w:rPr>
          <w:rFonts w:ascii="Arial" w:hAnsi="Arial" w:cs="Arial"/>
        </w:rPr>
        <w:t xml:space="preserve">number of factors including </w:t>
      </w:r>
      <w:r w:rsidR="003C783F" w:rsidRPr="00A06FBC">
        <w:rPr>
          <w:rFonts w:ascii="Arial" w:hAnsi="Arial" w:cs="Arial"/>
        </w:rPr>
        <w:t>£13m transferred from revenue budgets</w:t>
      </w:r>
      <w:r w:rsidR="007A457D" w:rsidRPr="00A06FBC">
        <w:rPr>
          <w:rFonts w:ascii="Arial" w:hAnsi="Arial" w:cs="Arial"/>
        </w:rPr>
        <w:t xml:space="preserve"> for </w:t>
      </w:r>
      <w:r w:rsidR="00593374" w:rsidRPr="00A06FBC">
        <w:rPr>
          <w:rFonts w:ascii="Arial" w:hAnsi="Arial" w:cs="Arial"/>
        </w:rPr>
        <w:t>a number of future</w:t>
      </w:r>
      <w:r w:rsidR="00D47E48">
        <w:rPr>
          <w:rFonts w:ascii="Arial" w:hAnsi="Arial" w:cs="Arial"/>
        </w:rPr>
        <w:t xml:space="preserve"> projects </w:t>
      </w:r>
      <w:r w:rsidR="00593374" w:rsidRPr="00A06FBC">
        <w:rPr>
          <w:rFonts w:ascii="Arial" w:hAnsi="Arial" w:cs="Arial"/>
        </w:rPr>
        <w:t>including Estates, ICT and</w:t>
      </w:r>
      <w:r w:rsidR="006148BD">
        <w:rPr>
          <w:rFonts w:ascii="Arial" w:hAnsi="Arial" w:cs="Arial"/>
        </w:rPr>
        <w:t xml:space="preserve"> the </w:t>
      </w:r>
      <w:r w:rsidR="00680C71" w:rsidRPr="00A06FBC">
        <w:rPr>
          <w:rFonts w:ascii="Arial" w:hAnsi="Arial" w:cs="Arial"/>
        </w:rPr>
        <w:t>replacement of airwaves</w:t>
      </w:r>
      <w:r w:rsidR="003A51DC" w:rsidRPr="00A06FBC">
        <w:rPr>
          <w:rFonts w:ascii="Arial" w:hAnsi="Arial" w:cs="Arial"/>
        </w:rPr>
        <w:t xml:space="preserve">.  </w:t>
      </w:r>
      <w:r w:rsidR="00FF4D63" w:rsidRPr="00A06FBC">
        <w:rPr>
          <w:rFonts w:ascii="Arial" w:hAnsi="Arial" w:cs="Arial"/>
        </w:rPr>
        <w:t>In addition</w:t>
      </w:r>
      <w:r w:rsidR="009F29D0" w:rsidRPr="00A06FBC">
        <w:rPr>
          <w:rFonts w:ascii="Arial" w:hAnsi="Arial" w:cs="Arial"/>
        </w:rPr>
        <w:t xml:space="preserve"> a total of</w:t>
      </w:r>
      <w:r w:rsidR="00FF4D63" w:rsidRPr="00A06FBC">
        <w:rPr>
          <w:rFonts w:ascii="Arial" w:hAnsi="Arial" w:cs="Arial"/>
        </w:rPr>
        <w:t xml:space="preserve"> </w:t>
      </w:r>
      <w:r w:rsidR="00BB3C2E" w:rsidRPr="00A06FBC">
        <w:rPr>
          <w:rFonts w:ascii="Arial" w:hAnsi="Arial" w:cs="Arial"/>
        </w:rPr>
        <w:t>£9m of underspend</w:t>
      </w:r>
      <w:r w:rsidR="009F79B6" w:rsidRPr="00A06FBC">
        <w:rPr>
          <w:rFonts w:ascii="Arial" w:hAnsi="Arial" w:cs="Arial"/>
        </w:rPr>
        <w:t xml:space="preserve"> against budgets for</w:t>
      </w:r>
      <w:r w:rsidR="00BB3C2E" w:rsidRPr="00A06FBC">
        <w:rPr>
          <w:rFonts w:ascii="Arial" w:hAnsi="Arial" w:cs="Arial"/>
        </w:rPr>
        <w:t xml:space="preserve"> </w:t>
      </w:r>
      <w:r w:rsidR="00552A7B" w:rsidRPr="00A06FBC">
        <w:rPr>
          <w:rFonts w:ascii="Arial" w:hAnsi="Arial" w:cs="Arial"/>
        </w:rPr>
        <w:t xml:space="preserve">Hampshire Constabulary, the OPCC and </w:t>
      </w:r>
      <w:r w:rsidR="002F2A8E" w:rsidRPr="00A06FBC">
        <w:rPr>
          <w:rFonts w:ascii="Arial" w:hAnsi="Arial" w:cs="Arial"/>
        </w:rPr>
        <w:t>ACRO have</w:t>
      </w:r>
      <w:r w:rsidR="00972F36">
        <w:rPr>
          <w:rFonts w:ascii="Arial" w:hAnsi="Arial" w:cs="Arial"/>
        </w:rPr>
        <w:t xml:space="preserve"> been transferred </w:t>
      </w:r>
      <w:r w:rsidR="003C2402">
        <w:rPr>
          <w:rFonts w:ascii="Arial" w:hAnsi="Arial" w:cs="Arial"/>
        </w:rPr>
        <w:t xml:space="preserve">to </w:t>
      </w:r>
      <w:r w:rsidR="00FD09F5" w:rsidRPr="00A06FBC">
        <w:rPr>
          <w:rFonts w:ascii="Arial" w:hAnsi="Arial" w:cs="Arial"/>
        </w:rPr>
        <w:t>usable</w:t>
      </w:r>
      <w:r w:rsidR="003C2402">
        <w:rPr>
          <w:rFonts w:ascii="Arial" w:hAnsi="Arial" w:cs="Arial"/>
        </w:rPr>
        <w:t xml:space="preserve"> reserves </w:t>
      </w:r>
      <w:r w:rsidR="00FD09F5" w:rsidRPr="00A06FBC">
        <w:rPr>
          <w:rFonts w:ascii="Arial" w:hAnsi="Arial" w:cs="Arial"/>
        </w:rPr>
        <w:t xml:space="preserve">in addition to £2m </w:t>
      </w:r>
      <w:r w:rsidR="00E46F26" w:rsidRPr="00A06FBC">
        <w:rPr>
          <w:rFonts w:ascii="Arial" w:hAnsi="Arial" w:cs="Arial"/>
        </w:rPr>
        <w:t xml:space="preserve">of Covid grant that was not utilised in </w:t>
      </w:r>
      <w:r w:rsidR="003C2402">
        <w:rPr>
          <w:rFonts w:ascii="Arial" w:hAnsi="Arial" w:cs="Arial"/>
        </w:rPr>
        <w:t>year</w:t>
      </w:r>
      <w:r w:rsidR="009E5963" w:rsidRPr="00A06FBC">
        <w:rPr>
          <w:rFonts w:ascii="Arial" w:hAnsi="Arial" w:cs="Arial"/>
        </w:rPr>
        <w:t xml:space="preserve"> </w:t>
      </w:r>
      <w:r w:rsidR="007F5C71" w:rsidRPr="00A06FBC">
        <w:rPr>
          <w:rFonts w:ascii="Arial" w:hAnsi="Arial" w:cs="Arial"/>
        </w:rPr>
        <w:t xml:space="preserve">and transferred to the Revenue Grants </w:t>
      </w:r>
      <w:r w:rsidR="0090765B" w:rsidRPr="00A06FBC">
        <w:rPr>
          <w:rFonts w:ascii="Arial" w:hAnsi="Arial" w:cs="Arial"/>
        </w:rPr>
        <w:t>Unapplied Reserve</w:t>
      </w:r>
      <w:r w:rsidR="00327B9B" w:rsidRPr="00A06FBC">
        <w:rPr>
          <w:rFonts w:ascii="Arial" w:hAnsi="Arial" w:cs="Arial"/>
        </w:rPr>
        <w:t>.</w:t>
      </w:r>
    </w:p>
    <w:p w14:paraId="7BC6BE3B" w14:textId="1EB33B71" w:rsidR="008846A1" w:rsidRPr="00A06FBC" w:rsidRDefault="008846A1" w:rsidP="00F34DF0">
      <w:pPr>
        <w:pStyle w:val="ListParagraph"/>
        <w:numPr>
          <w:ilvl w:val="1"/>
          <w:numId w:val="2"/>
        </w:numPr>
        <w:spacing w:after="240"/>
        <w:ind w:left="720" w:hanging="720"/>
        <w:rPr>
          <w:rFonts w:ascii="Arial" w:hAnsi="Arial" w:cs="Arial"/>
        </w:rPr>
      </w:pPr>
      <w:r w:rsidRPr="00A06FBC">
        <w:rPr>
          <w:rFonts w:ascii="Arial" w:hAnsi="Arial" w:cs="Arial"/>
        </w:rPr>
        <w:t xml:space="preserve">It is </w:t>
      </w:r>
      <w:r w:rsidR="00AA1EF1" w:rsidRPr="00A06FBC">
        <w:rPr>
          <w:rFonts w:ascii="Arial" w:hAnsi="Arial" w:cs="Arial"/>
        </w:rPr>
        <w:t>likely</w:t>
      </w:r>
      <w:r w:rsidRPr="00A06FBC">
        <w:rPr>
          <w:rFonts w:ascii="Arial" w:hAnsi="Arial" w:cs="Arial"/>
        </w:rPr>
        <w:t xml:space="preserve"> that new </w:t>
      </w:r>
      <w:r w:rsidR="00AA1EF1" w:rsidRPr="00A06FBC">
        <w:rPr>
          <w:rFonts w:ascii="Arial" w:hAnsi="Arial" w:cs="Arial"/>
        </w:rPr>
        <w:t xml:space="preserve">external </w:t>
      </w:r>
      <w:r w:rsidRPr="00A06FBC">
        <w:rPr>
          <w:rFonts w:ascii="Arial" w:hAnsi="Arial" w:cs="Arial"/>
        </w:rPr>
        <w:t xml:space="preserve">borrowing </w:t>
      </w:r>
      <w:r w:rsidR="00AA1EF1" w:rsidRPr="00A06FBC">
        <w:rPr>
          <w:rFonts w:ascii="Arial" w:hAnsi="Arial" w:cs="Arial"/>
        </w:rPr>
        <w:t>will</w:t>
      </w:r>
      <w:r w:rsidRPr="00A06FBC">
        <w:rPr>
          <w:rFonts w:ascii="Arial" w:hAnsi="Arial" w:cs="Arial"/>
        </w:rPr>
        <w:t xml:space="preserve"> be required in future years</w:t>
      </w:r>
      <w:r w:rsidR="00AA1EF1" w:rsidRPr="00A06FBC">
        <w:rPr>
          <w:rFonts w:ascii="Arial" w:hAnsi="Arial" w:cs="Arial"/>
        </w:rPr>
        <w:t xml:space="preserve"> to fund capital expenditure commitments,</w:t>
      </w:r>
      <w:r w:rsidRPr="00A06FBC">
        <w:rPr>
          <w:rFonts w:ascii="Arial" w:hAnsi="Arial" w:cs="Arial"/>
        </w:rPr>
        <w:t xml:space="preserve"> and </w:t>
      </w:r>
      <w:bookmarkStart w:id="2" w:name="_Hlk13564270"/>
      <w:r w:rsidRPr="00A06FBC">
        <w:rPr>
          <w:rFonts w:ascii="Arial" w:hAnsi="Arial" w:cs="Arial"/>
        </w:rPr>
        <w:t xml:space="preserve">the CFO </w:t>
      </w:r>
      <w:r w:rsidR="00A05901">
        <w:rPr>
          <w:rFonts w:ascii="Arial" w:hAnsi="Arial" w:cs="Arial"/>
        </w:rPr>
        <w:t>will w</w:t>
      </w:r>
      <w:r w:rsidRPr="00A06FBC">
        <w:rPr>
          <w:rFonts w:ascii="Arial" w:hAnsi="Arial" w:cs="Arial"/>
        </w:rPr>
        <w:t xml:space="preserve">ork closely with Hampshire County Council’s Investments and Borrowing team and the treasury advisors </w:t>
      </w:r>
      <w:proofErr w:type="spellStart"/>
      <w:r w:rsidRPr="00A06FBC">
        <w:rPr>
          <w:rFonts w:ascii="Arial" w:hAnsi="Arial" w:cs="Arial"/>
        </w:rPr>
        <w:t>Arlingclose</w:t>
      </w:r>
      <w:proofErr w:type="spellEnd"/>
      <w:r w:rsidRPr="00A06FBC">
        <w:rPr>
          <w:rFonts w:ascii="Arial" w:hAnsi="Arial" w:cs="Arial"/>
        </w:rPr>
        <w:t xml:space="preserve"> to ascertain at what point it would be prudent to take out additional borrowing.</w:t>
      </w:r>
      <w:bookmarkEnd w:id="2"/>
    </w:p>
    <w:p w14:paraId="5FFB67A0" w14:textId="088E2ECB" w:rsidR="008846A1" w:rsidRPr="00A06FBC" w:rsidRDefault="00AA1EF1" w:rsidP="00F34DF0">
      <w:pPr>
        <w:pStyle w:val="ListParagraph"/>
        <w:numPr>
          <w:ilvl w:val="1"/>
          <w:numId w:val="2"/>
        </w:numPr>
        <w:spacing w:after="240"/>
        <w:ind w:left="720" w:hanging="720"/>
        <w:rPr>
          <w:rFonts w:ascii="Arial" w:hAnsi="Arial" w:cs="Arial"/>
        </w:rPr>
      </w:pPr>
      <w:r w:rsidRPr="00A06FBC">
        <w:rPr>
          <w:rFonts w:ascii="Arial" w:hAnsi="Arial" w:cs="Arial"/>
        </w:rPr>
        <w:t xml:space="preserve">The costs associated with the underlying need to borrow externally </w:t>
      </w:r>
      <w:r w:rsidR="008846A1" w:rsidRPr="00A06FBC">
        <w:rPr>
          <w:rFonts w:ascii="Arial" w:hAnsi="Arial" w:cs="Arial"/>
        </w:rPr>
        <w:t>to</w:t>
      </w:r>
      <w:r w:rsidRPr="00A06FBC">
        <w:rPr>
          <w:rFonts w:ascii="Arial" w:hAnsi="Arial" w:cs="Arial"/>
        </w:rPr>
        <w:t xml:space="preserve"> fund</w:t>
      </w:r>
      <w:r w:rsidR="008846A1" w:rsidRPr="00A06FBC">
        <w:rPr>
          <w:rFonts w:ascii="Arial" w:hAnsi="Arial" w:cs="Arial"/>
        </w:rPr>
        <w:t xml:space="preserve"> planned expenditure are factored into the budget in the form of MRP and interest costs, </w:t>
      </w:r>
      <w:r w:rsidRPr="00A06FBC">
        <w:rPr>
          <w:rFonts w:ascii="Arial" w:hAnsi="Arial" w:cs="Arial"/>
        </w:rPr>
        <w:t>and</w:t>
      </w:r>
      <w:r w:rsidR="008846A1" w:rsidRPr="00A06FBC">
        <w:rPr>
          <w:rFonts w:ascii="Arial" w:hAnsi="Arial" w:cs="Arial"/>
        </w:rPr>
        <w:t xml:space="preserve"> provisional numbers have also been built into the MTFS for future years. The capital programme is reviewed annually and capital financing requirements are recalculated as necessary. </w:t>
      </w:r>
    </w:p>
    <w:bookmarkEnd w:id="1"/>
    <w:p w14:paraId="0CC4D924" w14:textId="58EC4F90" w:rsidR="00F613B7" w:rsidRPr="00E3250E" w:rsidRDefault="00726FDF" w:rsidP="00F34DF0">
      <w:pPr>
        <w:pStyle w:val="ListParagraph"/>
        <w:numPr>
          <w:ilvl w:val="1"/>
          <w:numId w:val="2"/>
        </w:numPr>
        <w:spacing w:after="240"/>
        <w:ind w:left="720" w:hanging="720"/>
        <w:rPr>
          <w:rFonts w:ascii="Arial" w:hAnsi="Arial" w:cs="Arial"/>
        </w:rPr>
      </w:pPr>
      <w:r w:rsidRPr="00E3250E">
        <w:rPr>
          <w:rFonts w:ascii="Arial" w:hAnsi="Arial" w:cs="Arial"/>
        </w:rPr>
        <w:t xml:space="preserve">The </w:t>
      </w:r>
      <w:r w:rsidR="00D311DB" w:rsidRPr="00E3250E">
        <w:rPr>
          <w:rFonts w:ascii="Arial" w:hAnsi="Arial" w:cs="Arial"/>
        </w:rPr>
        <w:t xml:space="preserve">OPCC’s strategy </w:t>
      </w:r>
      <w:r w:rsidR="004B7E71" w:rsidRPr="00E3250E">
        <w:rPr>
          <w:rFonts w:ascii="Arial" w:hAnsi="Arial" w:cs="Arial"/>
        </w:rPr>
        <w:t>was</w:t>
      </w:r>
      <w:r w:rsidR="00D311DB" w:rsidRPr="00E3250E">
        <w:rPr>
          <w:rFonts w:ascii="Arial" w:hAnsi="Arial" w:cs="Arial"/>
        </w:rPr>
        <w:t xml:space="preserve"> to maintain borrowing and investments below their underlying levels, referred to as internal borrowing, to reduce risk and keep interest costs low.</w:t>
      </w:r>
      <w:r w:rsidR="004279A6" w:rsidRPr="00E3250E">
        <w:rPr>
          <w:rFonts w:ascii="Arial" w:hAnsi="Arial" w:cs="Arial"/>
        </w:rPr>
        <w:t xml:space="preserve"> This has meant that internal funds have been utilised in lieu of taking on external borrowing debt.</w:t>
      </w:r>
      <w:r w:rsidR="00D311DB" w:rsidRPr="00E3250E">
        <w:rPr>
          <w:rFonts w:ascii="Arial" w:hAnsi="Arial" w:cs="Arial"/>
        </w:rPr>
        <w:t xml:space="preserve">  </w:t>
      </w:r>
      <w:r w:rsidR="00F613B7" w:rsidRPr="00E3250E">
        <w:rPr>
          <w:rFonts w:ascii="Arial" w:hAnsi="Arial" w:cs="Arial"/>
        </w:rPr>
        <w:t>The treasury management position as at 31 March 20</w:t>
      </w:r>
      <w:r w:rsidR="00BE4209" w:rsidRPr="00E3250E">
        <w:rPr>
          <w:rFonts w:ascii="Arial" w:hAnsi="Arial" w:cs="Arial"/>
        </w:rPr>
        <w:t>2</w:t>
      </w:r>
      <w:r w:rsidR="00E3250E" w:rsidRPr="00E3250E">
        <w:rPr>
          <w:rFonts w:ascii="Arial" w:hAnsi="Arial" w:cs="Arial"/>
        </w:rPr>
        <w:t>1</w:t>
      </w:r>
      <w:r w:rsidR="00F613B7" w:rsidRPr="00E3250E">
        <w:rPr>
          <w:rFonts w:ascii="Arial" w:hAnsi="Arial" w:cs="Arial"/>
        </w:rPr>
        <w:t xml:space="preserve"> and the change</w:t>
      </w:r>
      <w:r w:rsidR="00BE4209" w:rsidRPr="00E3250E">
        <w:rPr>
          <w:rFonts w:ascii="Arial" w:hAnsi="Arial" w:cs="Arial"/>
        </w:rPr>
        <w:t xml:space="preserve"> during the year</w:t>
      </w:r>
      <w:r w:rsidR="00F613B7" w:rsidRPr="00E3250E">
        <w:rPr>
          <w:rFonts w:ascii="Arial" w:hAnsi="Arial" w:cs="Arial"/>
        </w:rPr>
        <w:t xml:space="preserve"> </w:t>
      </w:r>
      <w:r w:rsidR="00E3250E" w:rsidRPr="00E3250E">
        <w:rPr>
          <w:rFonts w:ascii="Arial" w:hAnsi="Arial" w:cs="Arial"/>
        </w:rPr>
        <w:t>are</w:t>
      </w:r>
      <w:r w:rsidR="00F613B7" w:rsidRPr="00E3250E">
        <w:rPr>
          <w:rFonts w:ascii="Arial" w:hAnsi="Arial" w:cs="Arial"/>
        </w:rPr>
        <w:t xml:space="preserve"> shown in Table 2.</w:t>
      </w:r>
    </w:p>
    <w:tbl>
      <w:tblPr>
        <w:tblW w:w="0" w:type="auto"/>
        <w:tblLayout w:type="fixed"/>
        <w:tblLook w:val="04A0" w:firstRow="1" w:lastRow="0" w:firstColumn="1" w:lastColumn="0" w:noHBand="0" w:noVBand="1"/>
        <w:tblCaption w:val="Table 2: Treasury management summary"/>
      </w:tblPr>
      <w:tblGrid>
        <w:gridCol w:w="3227"/>
        <w:gridCol w:w="1417"/>
        <w:gridCol w:w="1417"/>
        <w:gridCol w:w="1417"/>
        <w:gridCol w:w="1417"/>
      </w:tblGrid>
      <w:tr w:rsidR="001324C4" w:rsidRPr="007F4276" w14:paraId="49627AD5" w14:textId="77777777" w:rsidTr="003A22A3">
        <w:trPr>
          <w:tblHead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68DD25A" w14:textId="1045D88C" w:rsidR="001324C4" w:rsidRPr="007F4276" w:rsidRDefault="007F4276" w:rsidP="008C3336">
            <w:pPr>
              <w:pStyle w:val="ListParagraph"/>
              <w:keepNext/>
              <w:ind w:left="0"/>
              <w:rPr>
                <w:rFonts w:ascii="Arial" w:hAnsi="Arial" w:cs="Arial"/>
                <w:b/>
                <w:bCs/>
              </w:rPr>
            </w:pPr>
            <w:r w:rsidRPr="007F4276">
              <w:rPr>
                <w:rFonts w:ascii="Arial" w:hAnsi="Arial" w:cs="Arial"/>
                <w:b/>
                <w:bCs/>
              </w:rPr>
              <w:t>Table 2: Treasury management summary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9CB6C9D" w14:textId="5D6EDFA8" w:rsidR="001324C4" w:rsidRPr="007F4276" w:rsidRDefault="001324C4" w:rsidP="008C3336">
            <w:pPr>
              <w:pStyle w:val="ListParagraph"/>
              <w:keepNext/>
              <w:ind w:left="0"/>
              <w:jc w:val="right"/>
              <w:rPr>
                <w:rFonts w:ascii="Arial" w:hAnsi="Arial" w:cs="Arial"/>
                <w:b/>
                <w:bCs/>
              </w:rPr>
            </w:pPr>
            <w:r w:rsidRPr="007F4276">
              <w:rPr>
                <w:rFonts w:ascii="Arial" w:hAnsi="Arial" w:cs="Arial"/>
                <w:b/>
                <w:bCs/>
              </w:rPr>
              <w:t>31/03/20</w:t>
            </w:r>
            <w:r w:rsidRPr="007F4276">
              <w:rPr>
                <w:rFonts w:ascii="Arial" w:hAnsi="Arial" w:cs="Arial"/>
                <w:b/>
                <w:bCs/>
              </w:rPr>
              <w:br/>
              <w:t>Balance</w:t>
            </w:r>
            <w:r w:rsidRPr="007F4276">
              <w:rPr>
                <w:rFonts w:ascii="Arial" w:hAnsi="Arial" w:cs="Arial"/>
                <w:b/>
                <w:bCs/>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C127310" w14:textId="38C015C7" w:rsidR="001324C4" w:rsidRPr="007F4276" w:rsidRDefault="001324C4" w:rsidP="008C3336">
            <w:pPr>
              <w:pStyle w:val="ListParagraph"/>
              <w:keepNext/>
              <w:ind w:left="0"/>
              <w:jc w:val="right"/>
              <w:rPr>
                <w:rFonts w:ascii="Arial" w:hAnsi="Arial" w:cs="Arial"/>
                <w:b/>
                <w:bCs/>
              </w:rPr>
            </w:pPr>
            <w:r w:rsidRPr="007F4276">
              <w:rPr>
                <w:rFonts w:ascii="Arial" w:hAnsi="Arial" w:cs="Arial"/>
                <w:b/>
                <w:bCs/>
              </w:rPr>
              <w:t>Movement</w:t>
            </w:r>
            <w:r w:rsidR="007F4276" w:rsidRPr="007F4276">
              <w:rPr>
                <w:rFonts w:ascii="Arial" w:hAnsi="Arial" w:cs="Arial"/>
                <w:b/>
                <w:bCs/>
              </w:rPr>
              <w:br/>
            </w:r>
            <w:r w:rsidRPr="007F4276">
              <w:rPr>
                <w:rFonts w:ascii="Arial" w:hAnsi="Arial" w:cs="Arial"/>
                <w:b/>
                <w:bCs/>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AD51736" w14:textId="2052AB94" w:rsidR="001324C4" w:rsidRPr="007F4276" w:rsidRDefault="001324C4" w:rsidP="008C3336">
            <w:pPr>
              <w:pStyle w:val="ListParagraph"/>
              <w:keepNext/>
              <w:ind w:left="0"/>
              <w:jc w:val="right"/>
              <w:rPr>
                <w:rFonts w:ascii="Arial" w:hAnsi="Arial" w:cs="Arial"/>
                <w:b/>
                <w:bCs/>
              </w:rPr>
            </w:pPr>
            <w:r w:rsidRPr="007F4276">
              <w:rPr>
                <w:rFonts w:ascii="Arial" w:hAnsi="Arial" w:cs="Arial"/>
                <w:b/>
                <w:bCs/>
              </w:rPr>
              <w:t>31/03/21</w:t>
            </w:r>
            <w:r w:rsidRPr="007F4276">
              <w:rPr>
                <w:rFonts w:ascii="Arial" w:hAnsi="Arial" w:cs="Arial"/>
                <w:b/>
                <w:bCs/>
              </w:rPr>
              <w:br/>
              <w:t>Balance</w:t>
            </w:r>
            <w:r w:rsidRPr="007F4276">
              <w:rPr>
                <w:rFonts w:ascii="Arial" w:hAnsi="Arial" w:cs="Arial"/>
                <w:b/>
                <w:bCs/>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BE849C2" w14:textId="2596766F" w:rsidR="001324C4" w:rsidRPr="007F4276" w:rsidRDefault="001324C4" w:rsidP="008C3336">
            <w:pPr>
              <w:pStyle w:val="ListParagraph"/>
              <w:keepNext/>
              <w:ind w:left="0"/>
              <w:jc w:val="right"/>
              <w:rPr>
                <w:rFonts w:ascii="Arial" w:hAnsi="Arial" w:cs="Arial"/>
                <w:b/>
                <w:bCs/>
              </w:rPr>
            </w:pPr>
            <w:r w:rsidRPr="007F4276">
              <w:rPr>
                <w:rFonts w:ascii="Arial" w:hAnsi="Arial" w:cs="Arial"/>
                <w:b/>
                <w:bCs/>
              </w:rPr>
              <w:t>31/03/21</w:t>
            </w:r>
            <w:r w:rsidRPr="007F4276">
              <w:rPr>
                <w:rFonts w:ascii="Arial" w:hAnsi="Arial" w:cs="Arial"/>
                <w:b/>
                <w:bCs/>
              </w:rPr>
              <w:br/>
              <w:t>Rate</w:t>
            </w:r>
            <w:r w:rsidRPr="007F4276">
              <w:rPr>
                <w:rFonts w:ascii="Arial" w:hAnsi="Arial" w:cs="Arial"/>
                <w:b/>
                <w:bCs/>
              </w:rPr>
              <w:br/>
              <w:t>%</w:t>
            </w:r>
          </w:p>
        </w:tc>
      </w:tr>
      <w:tr w:rsidR="001324C4" w:rsidRPr="00704DA4" w14:paraId="4BF52C7A" w14:textId="77777777" w:rsidTr="003C3808">
        <w:tc>
          <w:tcPr>
            <w:tcW w:w="3227" w:type="dxa"/>
            <w:tcBorders>
              <w:top w:val="single" w:sz="4" w:space="0" w:color="auto"/>
              <w:left w:val="single" w:sz="4" w:space="0" w:color="auto"/>
              <w:right w:val="single" w:sz="4" w:space="0" w:color="auto"/>
            </w:tcBorders>
            <w:shd w:val="clear" w:color="auto" w:fill="auto"/>
          </w:tcPr>
          <w:p w14:paraId="620F11D2" w14:textId="77777777" w:rsidR="001324C4" w:rsidRPr="00704DA4" w:rsidRDefault="001324C4" w:rsidP="008C3336">
            <w:pPr>
              <w:pStyle w:val="ListParagraph"/>
              <w:keepNext/>
              <w:ind w:left="0"/>
              <w:rPr>
                <w:rFonts w:ascii="Arial" w:hAnsi="Arial" w:cs="Arial"/>
              </w:rPr>
            </w:pPr>
            <w:r w:rsidRPr="00704DA4">
              <w:rPr>
                <w:rFonts w:ascii="Arial" w:hAnsi="Arial" w:cs="Arial"/>
              </w:rPr>
              <w:t>Long-term borrowing</w:t>
            </w:r>
          </w:p>
        </w:tc>
        <w:tc>
          <w:tcPr>
            <w:tcW w:w="1417" w:type="dxa"/>
            <w:tcBorders>
              <w:top w:val="single" w:sz="4" w:space="0" w:color="auto"/>
              <w:left w:val="single" w:sz="4" w:space="0" w:color="auto"/>
              <w:right w:val="single" w:sz="4" w:space="0" w:color="auto"/>
            </w:tcBorders>
            <w:shd w:val="clear" w:color="auto" w:fill="auto"/>
            <w:vAlign w:val="center"/>
          </w:tcPr>
          <w:p w14:paraId="772B9A53" w14:textId="7688C38C" w:rsidR="001324C4" w:rsidRPr="00704DA4" w:rsidRDefault="001324C4" w:rsidP="008C3336">
            <w:pPr>
              <w:pStyle w:val="ListParagraph"/>
              <w:keepNext/>
              <w:ind w:left="0"/>
              <w:jc w:val="right"/>
              <w:rPr>
                <w:rFonts w:ascii="Arial" w:hAnsi="Arial" w:cs="Arial"/>
              </w:rPr>
            </w:pPr>
            <w:r w:rsidRPr="00704DA4">
              <w:rPr>
                <w:rFonts w:ascii="Arial" w:hAnsi="Arial" w:cs="Arial"/>
              </w:rPr>
              <w:t>(</w:t>
            </w:r>
            <w:r w:rsidR="00C40FB0" w:rsidRPr="00704DA4">
              <w:rPr>
                <w:rFonts w:ascii="Arial" w:hAnsi="Arial" w:cs="Arial"/>
              </w:rPr>
              <w:t>29.95</w:t>
            </w:r>
            <w:r w:rsidRPr="00704DA4">
              <w:rPr>
                <w:rFonts w:ascii="Arial" w:hAnsi="Arial" w:cs="Arial"/>
              </w:rPr>
              <w:t>)</w:t>
            </w:r>
          </w:p>
        </w:tc>
        <w:tc>
          <w:tcPr>
            <w:tcW w:w="1417" w:type="dxa"/>
            <w:tcBorders>
              <w:top w:val="single" w:sz="4" w:space="0" w:color="auto"/>
              <w:left w:val="single" w:sz="4" w:space="0" w:color="auto"/>
              <w:right w:val="single" w:sz="4" w:space="0" w:color="auto"/>
            </w:tcBorders>
            <w:shd w:val="clear" w:color="auto" w:fill="auto"/>
            <w:vAlign w:val="center"/>
          </w:tcPr>
          <w:p w14:paraId="5ECC57B7" w14:textId="4E7999EC" w:rsidR="001324C4" w:rsidRPr="00704DA4" w:rsidRDefault="001324C4" w:rsidP="008C3336">
            <w:pPr>
              <w:pStyle w:val="ListParagraph"/>
              <w:keepNext/>
              <w:ind w:left="0"/>
              <w:jc w:val="right"/>
              <w:rPr>
                <w:rFonts w:ascii="Arial" w:hAnsi="Arial" w:cs="Arial"/>
              </w:rPr>
            </w:pPr>
            <w:r w:rsidRPr="00704DA4">
              <w:rPr>
                <w:rFonts w:ascii="Arial" w:hAnsi="Arial" w:cs="Arial"/>
              </w:rPr>
              <w:t>0.</w:t>
            </w:r>
            <w:r w:rsidR="00C40FB0" w:rsidRPr="00704DA4">
              <w:rPr>
                <w:rFonts w:ascii="Arial" w:hAnsi="Arial" w:cs="Arial"/>
              </w:rPr>
              <w:t>2</w:t>
            </w:r>
            <w:r w:rsidRPr="00704DA4">
              <w:rPr>
                <w:rFonts w:ascii="Arial" w:hAnsi="Arial" w:cs="Arial"/>
              </w:rPr>
              <w:t>5</w:t>
            </w:r>
          </w:p>
        </w:tc>
        <w:tc>
          <w:tcPr>
            <w:tcW w:w="1417" w:type="dxa"/>
            <w:tcBorders>
              <w:top w:val="single" w:sz="4" w:space="0" w:color="auto"/>
              <w:left w:val="single" w:sz="4" w:space="0" w:color="auto"/>
              <w:right w:val="single" w:sz="4" w:space="0" w:color="auto"/>
            </w:tcBorders>
            <w:shd w:val="clear" w:color="auto" w:fill="auto"/>
            <w:vAlign w:val="center"/>
          </w:tcPr>
          <w:p w14:paraId="604DE12B" w14:textId="03BD0B25" w:rsidR="001324C4" w:rsidRPr="00704DA4" w:rsidRDefault="001324C4" w:rsidP="008C3336">
            <w:pPr>
              <w:pStyle w:val="ListParagraph"/>
              <w:keepNext/>
              <w:ind w:left="0"/>
              <w:jc w:val="right"/>
              <w:rPr>
                <w:rFonts w:ascii="Arial" w:hAnsi="Arial" w:cs="Arial"/>
              </w:rPr>
            </w:pPr>
            <w:r w:rsidRPr="00704DA4">
              <w:rPr>
                <w:rFonts w:ascii="Arial" w:hAnsi="Arial" w:cs="Arial"/>
              </w:rPr>
              <w:t>(</w:t>
            </w:r>
            <w:r w:rsidR="0019400F" w:rsidRPr="00704DA4">
              <w:rPr>
                <w:rFonts w:ascii="Arial" w:hAnsi="Arial" w:cs="Arial"/>
              </w:rPr>
              <w:t>29.7</w:t>
            </w:r>
            <w:r w:rsidRPr="00704DA4">
              <w:rPr>
                <w:rFonts w:ascii="Arial" w:hAnsi="Arial" w:cs="Arial"/>
              </w:rPr>
              <w:t>)</w:t>
            </w:r>
          </w:p>
        </w:tc>
        <w:tc>
          <w:tcPr>
            <w:tcW w:w="1417" w:type="dxa"/>
            <w:tcBorders>
              <w:top w:val="single" w:sz="4" w:space="0" w:color="auto"/>
              <w:left w:val="single" w:sz="4" w:space="0" w:color="auto"/>
              <w:right w:val="single" w:sz="4" w:space="0" w:color="auto"/>
            </w:tcBorders>
            <w:shd w:val="clear" w:color="auto" w:fill="auto"/>
            <w:vAlign w:val="center"/>
          </w:tcPr>
          <w:p w14:paraId="26C418B9" w14:textId="4A6E5CAA" w:rsidR="001324C4" w:rsidRPr="00704DA4" w:rsidRDefault="001324C4" w:rsidP="008C3336">
            <w:pPr>
              <w:pStyle w:val="ListParagraph"/>
              <w:keepNext/>
              <w:ind w:left="0"/>
              <w:jc w:val="right"/>
              <w:rPr>
                <w:rFonts w:ascii="Arial" w:hAnsi="Arial" w:cs="Arial"/>
              </w:rPr>
            </w:pPr>
            <w:r w:rsidRPr="00704DA4">
              <w:rPr>
                <w:rFonts w:ascii="Arial" w:hAnsi="Arial" w:cs="Arial"/>
              </w:rPr>
              <w:t>4.2</w:t>
            </w:r>
            <w:r w:rsidR="00704DA4" w:rsidRPr="00704DA4">
              <w:rPr>
                <w:rFonts w:ascii="Arial" w:hAnsi="Arial" w:cs="Arial"/>
              </w:rPr>
              <w:t>9</w:t>
            </w:r>
          </w:p>
        </w:tc>
      </w:tr>
      <w:tr w:rsidR="001324C4" w:rsidRPr="00704DA4" w14:paraId="47EADD66" w14:textId="77777777" w:rsidTr="003C3808">
        <w:tc>
          <w:tcPr>
            <w:tcW w:w="3227" w:type="dxa"/>
            <w:tcBorders>
              <w:left w:val="single" w:sz="4" w:space="0" w:color="auto"/>
              <w:bottom w:val="single" w:sz="4" w:space="0" w:color="auto"/>
              <w:right w:val="single" w:sz="4" w:space="0" w:color="auto"/>
            </w:tcBorders>
            <w:shd w:val="clear" w:color="auto" w:fill="auto"/>
          </w:tcPr>
          <w:p w14:paraId="17B811CD" w14:textId="77777777" w:rsidR="001324C4" w:rsidRPr="00704DA4" w:rsidRDefault="001324C4" w:rsidP="008C3336">
            <w:pPr>
              <w:pStyle w:val="ListParagraph"/>
              <w:keepNext/>
              <w:ind w:left="0"/>
              <w:rPr>
                <w:rFonts w:ascii="Arial" w:hAnsi="Arial" w:cs="Arial"/>
              </w:rPr>
            </w:pPr>
            <w:r w:rsidRPr="00704DA4">
              <w:rPr>
                <w:rFonts w:ascii="Arial" w:hAnsi="Arial" w:cs="Arial"/>
              </w:rPr>
              <w:t>Short-term borrowing</w:t>
            </w:r>
          </w:p>
        </w:tc>
        <w:tc>
          <w:tcPr>
            <w:tcW w:w="1417" w:type="dxa"/>
            <w:tcBorders>
              <w:left w:val="single" w:sz="4" w:space="0" w:color="auto"/>
              <w:bottom w:val="single" w:sz="4" w:space="0" w:color="auto"/>
              <w:right w:val="single" w:sz="4" w:space="0" w:color="auto"/>
            </w:tcBorders>
            <w:shd w:val="clear" w:color="auto" w:fill="auto"/>
            <w:vAlign w:val="center"/>
          </w:tcPr>
          <w:p w14:paraId="0B8F91E9" w14:textId="77C2C924" w:rsidR="001324C4" w:rsidRPr="00704DA4" w:rsidRDefault="001324C4" w:rsidP="008C3336">
            <w:pPr>
              <w:pStyle w:val="ListParagraph"/>
              <w:keepNext/>
              <w:ind w:left="0"/>
              <w:jc w:val="right"/>
              <w:rPr>
                <w:rFonts w:ascii="Arial" w:hAnsi="Arial" w:cs="Arial"/>
              </w:rPr>
            </w:pPr>
            <w:r w:rsidRPr="00704DA4">
              <w:rPr>
                <w:rFonts w:ascii="Arial" w:hAnsi="Arial" w:cs="Arial"/>
              </w:rPr>
              <w:t>(0.5</w:t>
            </w:r>
            <w:r w:rsidR="00C40FB0" w:rsidRPr="00704DA4">
              <w:rPr>
                <w:rFonts w:ascii="Arial" w:hAnsi="Arial" w:cs="Arial"/>
              </w:rPr>
              <w:t>0</w:t>
            </w:r>
            <w:r w:rsidRPr="00704DA4">
              <w:rPr>
                <w:rFonts w:ascii="Arial" w:hAnsi="Arial" w:cs="Arial"/>
              </w:rPr>
              <w:t>)</w:t>
            </w:r>
          </w:p>
        </w:tc>
        <w:tc>
          <w:tcPr>
            <w:tcW w:w="1417" w:type="dxa"/>
            <w:tcBorders>
              <w:left w:val="single" w:sz="4" w:space="0" w:color="auto"/>
              <w:bottom w:val="single" w:sz="4" w:space="0" w:color="auto"/>
              <w:right w:val="single" w:sz="4" w:space="0" w:color="auto"/>
            </w:tcBorders>
            <w:shd w:val="clear" w:color="auto" w:fill="auto"/>
            <w:vAlign w:val="center"/>
          </w:tcPr>
          <w:p w14:paraId="1DDD401C" w14:textId="3EF1580B" w:rsidR="001324C4" w:rsidRPr="00704DA4" w:rsidRDefault="00C40FB0" w:rsidP="008C3336">
            <w:pPr>
              <w:pStyle w:val="ListParagraph"/>
              <w:keepNext/>
              <w:ind w:left="0"/>
              <w:jc w:val="right"/>
              <w:rPr>
                <w:rFonts w:ascii="Arial" w:hAnsi="Arial" w:cs="Arial"/>
              </w:rPr>
            </w:pPr>
            <w:r w:rsidRPr="00704DA4">
              <w:rPr>
                <w:rFonts w:ascii="Arial" w:hAnsi="Arial" w:cs="Arial"/>
              </w:rPr>
              <w:t>0.25</w:t>
            </w:r>
          </w:p>
        </w:tc>
        <w:tc>
          <w:tcPr>
            <w:tcW w:w="1417" w:type="dxa"/>
            <w:tcBorders>
              <w:left w:val="single" w:sz="4" w:space="0" w:color="auto"/>
              <w:bottom w:val="single" w:sz="4" w:space="0" w:color="auto"/>
              <w:right w:val="single" w:sz="4" w:space="0" w:color="auto"/>
            </w:tcBorders>
            <w:shd w:val="clear" w:color="auto" w:fill="auto"/>
            <w:vAlign w:val="center"/>
          </w:tcPr>
          <w:p w14:paraId="4BF128F2" w14:textId="06613109" w:rsidR="001324C4" w:rsidRPr="00704DA4" w:rsidRDefault="001324C4" w:rsidP="008C3336">
            <w:pPr>
              <w:pStyle w:val="ListParagraph"/>
              <w:keepNext/>
              <w:ind w:left="0"/>
              <w:jc w:val="right"/>
              <w:rPr>
                <w:rFonts w:ascii="Arial" w:hAnsi="Arial" w:cs="Arial"/>
              </w:rPr>
            </w:pPr>
            <w:r w:rsidRPr="00704DA4">
              <w:rPr>
                <w:rFonts w:ascii="Arial" w:hAnsi="Arial" w:cs="Arial"/>
              </w:rPr>
              <w:t>(0.</w:t>
            </w:r>
            <w:r w:rsidR="0019400F" w:rsidRPr="00704DA4">
              <w:rPr>
                <w:rFonts w:ascii="Arial" w:hAnsi="Arial" w:cs="Arial"/>
              </w:rPr>
              <w:t>2</w:t>
            </w:r>
            <w:r w:rsidRPr="00704DA4">
              <w:rPr>
                <w:rFonts w:ascii="Arial" w:hAnsi="Arial" w:cs="Arial"/>
              </w:rPr>
              <w:t>5)</w:t>
            </w:r>
          </w:p>
        </w:tc>
        <w:tc>
          <w:tcPr>
            <w:tcW w:w="1417" w:type="dxa"/>
            <w:tcBorders>
              <w:left w:val="single" w:sz="4" w:space="0" w:color="auto"/>
              <w:bottom w:val="single" w:sz="4" w:space="0" w:color="auto"/>
              <w:right w:val="single" w:sz="4" w:space="0" w:color="auto"/>
            </w:tcBorders>
            <w:shd w:val="clear" w:color="auto" w:fill="auto"/>
            <w:vAlign w:val="center"/>
          </w:tcPr>
          <w:p w14:paraId="7DBC9D48" w14:textId="6CC9E4E4" w:rsidR="001324C4" w:rsidRPr="00704DA4" w:rsidRDefault="001324C4" w:rsidP="008C3336">
            <w:pPr>
              <w:pStyle w:val="ListParagraph"/>
              <w:keepNext/>
              <w:ind w:left="0"/>
              <w:jc w:val="right"/>
              <w:rPr>
                <w:rFonts w:ascii="Arial" w:hAnsi="Arial" w:cs="Arial"/>
              </w:rPr>
            </w:pPr>
            <w:r w:rsidRPr="00704DA4">
              <w:rPr>
                <w:rFonts w:ascii="Arial" w:hAnsi="Arial" w:cs="Arial"/>
              </w:rPr>
              <w:t>2.65</w:t>
            </w:r>
          </w:p>
        </w:tc>
      </w:tr>
      <w:tr w:rsidR="001324C4" w:rsidRPr="007F4276" w14:paraId="518B43D5" w14:textId="77777777" w:rsidTr="003C3808">
        <w:tc>
          <w:tcPr>
            <w:tcW w:w="3227" w:type="dxa"/>
            <w:tcBorders>
              <w:top w:val="single" w:sz="4" w:space="0" w:color="auto"/>
              <w:left w:val="single" w:sz="4" w:space="0" w:color="auto"/>
              <w:bottom w:val="single" w:sz="4" w:space="0" w:color="auto"/>
              <w:right w:val="single" w:sz="4" w:space="0" w:color="auto"/>
            </w:tcBorders>
            <w:shd w:val="clear" w:color="auto" w:fill="auto"/>
          </w:tcPr>
          <w:p w14:paraId="183C70D7" w14:textId="77777777" w:rsidR="001324C4" w:rsidRPr="007F4276" w:rsidRDefault="001324C4" w:rsidP="008C3336">
            <w:pPr>
              <w:pStyle w:val="ListParagraph"/>
              <w:keepNext/>
              <w:ind w:left="0"/>
              <w:rPr>
                <w:rFonts w:ascii="Arial" w:hAnsi="Arial" w:cs="Arial"/>
                <w:b/>
                <w:bCs/>
              </w:rPr>
            </w:pPr>
            <w:r w:rsidRPr="007F4276">
              <w:rPr>
                <w:rFonts w:ascii="Arial" w:hAnsi="Arial" w:cs="Arial"/>
                <w:b/>
                <w:bCs/>
              </w:rPr>
              <w:t>Total borrowing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1B953" w14:textId="06AB70E1" w:rsidR="001324C4" w:rsidRPr="007F4276" w:rsidRDefault="001324C4" w:rsidP="008C3336">
            <w:pPr>
              <w:pStyle w:val="ListParagraph"/>
              <w:keepNext/>
              <w:ind w:left="0"/>
              <w:jc w:val="right"/>
              <w:rPr>
                <w:rFonts w:ascii="Arial" w:hAnsi="Arial" w:cs="Arial"/>
                <w:b/>
                <w:bCs/>
              </w:rPr>
            </w:pPr>
            <w:r w:rsidRPr="007F4276">
              <w:rPr>
                <w:rFonts w:ascii="Arial" w:hAnsi="Arial" w:cs="Arial"/>
                <w:b/>
                <w:bCs/>
              </w:rPr>
              <w:t>(30.</w:t>
            </w:r>
            <w:r w:rsidR="00C40FB0" w:rsidRPr="007F4276">
              <w:rPr>
                <w:rFonts w:ascii="Arial" w:hAnsi="Arial" w:cs="Arial"/>
                <w:b/>
                <w:bCs/>
              </w:rPr>
              <w:t>4</w:t>
            </w:r>
            <w:r w:rsidRPr="007F4276">
              <w:rPr>
                <w:rFonts w:ascii="Arial" w:hAnsi="Arial" w:cs="Arial"/>
                <w:b/>
                <w:bCs/>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EFA175" w14:textId="4BCB7DFB" w:rsidR="001324C4" w:rsidRPr="007F4276" w:rsidRDefault="001324C4" w:rsidP="008C3336">
            <w:pPr>
              <w:pStyle w:val="ListParagraph"/>
              <w:keepNext/>
              <w:ind w:left="0"/>
              <w:jc w:val="right"/>
              <w:rPr>
                <w:rFonts w:ascii="Arial" w:hAnsi="Arial" w:cs="Arial"/>
                <w:b/>
                <w:bCs/>
              </w:rPr>
            </w:pPr>
            <w:r w:rsidRPr="007F4276">
              <w:rPr>
                <w:rFonts w:ascii="Arial" w:hAnsi="Arial" w:cs="Arial"/>
                <w:b/>
                <w:bCs/>
              </w:rPr>
              <w:t>0.5</w:t>
            </w:r>
            <w:r w:rsidR="00C40FB0" w:rsidRPr="007F4276">
              <w:rPr>
                <w:rFonts w:ascii="Arial" w:hAnsi="Arial" w:cs="Arial"/>
                <w:b/>
                <w:bCs/>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11EC76" w14:textId="5D08B6A6" w:rsidR="001324C4" w:rsidRPr="007F4276" w:rsidRDefault="001324C4" w:rsidP="008C3336">
            <w:pPr>
              <w:pStyle w:val="ListParagraph"/>
              <w:keepNext/>
              <w:ind w:left="0"/>
              <w:jc w:val="right"/>
              <w:rPr>
                <w:rFonts w:ascii="Arial" w:hAnsi="Arial" w:cs="Arial"/>
                <w:b/>
                <w:bCs/>
              </w:rPr>
            </w:pPr>
            <w:r w:rsidRPr="007F4276">
              <w:rPr>
                <w:rFonts w:ascii="Arial" w:hAnsi="Arial" w:cs="Arial"/>
                <w:b/>
                <w:bCs/>
              </w:rPr>
              <w:t>(</w:t>
            </w:r>
            <w:r w:rsidR="0019400F" w:rsidRPr="007F4276">
              <w:rPr>
                <w:rFonts w:ascii="Arial" w:hAnsi="Arial" w:cs="Arial"/>
                <w:b/>
                <w:bCs/>
              </w:rPr>
              <w:t>29.95</w:t>
            </w:r>
            <w:r w:rsidRPr="007F4276">
              <w:rPr>
                <w:rFonts w:ascii="Arial" w:hAnsi="Arial" w:cs="Arial"/>
                <w:b/>
                <w:bC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A90E02" w14:textId="37477E81" w:rsidR="001324C4" w:rsidRPr="007F4276" w:rsidRDefault="001324C4" w:rsidP="008C3336">
            <w:pPr>
              <w:pStyle w:val="ListParagraph"/>
              <w:keepNext/>
              <w:ind w:left="0"/>
              <w:jc w:val="right"/>
              <w:rPr>
                <w:rFonts w:ascii="Arial" w:hAnsi="Arial" w:cs="Arial"/>
                <w:b/>
                <w:bCs/>
              </w:rPr>
            </w:pPr>
            <w:r w:rsidRPr="007F4276">
              <w:rPr>
                <w:rFonts w:ascii="Arial" w:hAnsi="Arial" w:cs="Arial"/>
                <w:b/>
                <w:bCs/>
              </w:rPr>
              <w:t>4.2</w:t>
            </w:r>
            <w:r w:rsidR="00704DA4" w:rsidRPr="007F4276">
              <w:rPr>
                <w:rFonts w:ascii="Arial" w:hAnsi="Arial" w:cs="Arial"/>
                <w:b/>
                <w:bCs/>
              </w:rPr>
              <w:t>8</w:t>
            </w:r>
          </w:p>
        </w:tc>
      </w:tr>
      <w:tr w:rsidR="001324C4" w:rsidRPr="00704DA4" w14:paraId="5819FB47" w14:textId="77777777" w:rsidTr="003C3808">
        <w:tc>
          <w:tcPr>
            <w:tcW w:w="3227" w:type="dxa"/>
            <w:tcBorders>
              <w:top w:val="single" w:sz="4" w:space="0" w:color="auto"/>
              <w:left w:val="single" w:sz="4" w:space="0" w:color="auto"/>
              <w:right w:val="single" w:sz="4" w:space="0" w:color="auto"/>
            </w:tcBorders>
            <w:shd w:val="clear" w:color="auto" w:fill="auto"/>
          </w:tcPr>
          <w:p w14:paraId="66B62BCD" w14:textId="77777777" w:rsidR="001324C4" w:rsidRPr="00704DA4" w:rsidRDefault="001324C4" w:rsidP="008C3336">
            <w:pPr>
              <w:pStyle w:val="ListParagraph"/>
              <w:keepNext/>
              <w:ind w:left="0"/>
              <w:rPr>
                <w:rFonts w:ascii="Arial" w:hAnsi="Arial" w:cs="Arial"/>
              </w:rPr>
            </w:pPr>
            <w:r w:rsidRPr="00704DA4">
              <w:rPr>
                <w:rFonts w:ascii="Arial" w:hAnsi="Arial" w:cs="Arial"/>
              </w:rPr>
              <w:t>Long-term investments</w:t>
            </w:r>
          </w:p>
        </w:tc>
        <w:tc>
          <w:tcPr>
            <w:tcW w:w="1417" w:type="dxa"/>
            <w:tcBorders>
              <w:top w:val="single" w:sz="4" w:space="0" w:color="auto"/>
              <w:left w:val="single" w:sz="4" w:space="0" w:color="auto"/>
              <w:right w:val="single" w:sz="4" w:space="0" w:color="auto"/>
            </w:tcBorders>
            <w:shd w:val="clear" w:color="auto" w:fill="auto"/>
            <w:vAlign w:val="center"/>
          </w:tcPr>
          <w:p w14:paraId="75BB471D" w14:textId="7A161285" w:rsidR="001324C4" w:rsidRPr="00704DA4" w:rsidRDefault="001324C4" w:rsidP="008C3336">
            <w:pPr>
              <w:pStyle w:val="ListParagraph"/>
              <w:keepNext/>
              <w:ind w:left="0"/>
              <w:jc w:val="right"/>
              <w:rPr>
                <w:rFonts w:ascii="Arial" w:hAnsi="Arial" w:cs="Arial"/>
              </w:rPr>
            </w:pPr>
            <w:r w:rsidRPr="00704DA4">
              <w:rPr>
                <w:rFonts w:ascii="Arial" w:hAnsi="Arial" w:cs="Arial"/>
              </w:rPr>
              <w:t>7.5</w:t>
            </w:r>
            <w:r w:rsidR="00C40FB0" w:rsidRPr="00704DA4">
              <w:rPr>
                <w:rFonts w:ascii="Arial" w:hAnsi="Arial" w:cs="Arial"/>
              </w:rPr>
              <w:t>0</w:t>
            </w:r>
          </w:p>
        </w:tc>
        <w:tc>
          <w:tcPr>
            <w:tcW w:w="1417" w:type="dxa"/>
            <w:tcBorders>
              <w:top w:val="single" w:sz="4" w:space="0" w:color="auto"/>
              <w:left w:val="single" w:sz="4" w:space="0" w:color="auto"/>
              <w:right w:val="single" w:sz="4" w:space="0" w:color="auto"/>
            </w:tcBorders>
            <w:shd w:val="clear" w:color="auto" w:fill="auto"/>
            <w:vAlign w:val="center"/>
          </w:tcPr>
          <w:p w14:paraId="2CA4161A" w14:textId="49E4F22B" w:rsidR="001324C4" w:rsidRPr="00704DA4" w:rsidRDefault="0019400F" w:rsidP="008C3336">
            <w:pPr>
              <w:pStyle w:val="ListParagraph"/>
              <w:keepNext/>
              <w:ind w:left="0"/>
              <w:jc w:val="right"/>
              <w:rPr>
                <w:rFonts w:ascii="Arial" w:hAnsi="Arial" w:cs="Arial"/>
              </w:rPr>
            </w:pPr>
            <w:r w:rsidRPr="00704DA4">
              <w:rPr>
                <w:rFonts w:ascii="Arial" w:hAnsi="Arial" w:cs="Arial"/>
              </w:rPr>
              <w:t>3.5</w:t>
            </w:r>
          </w:p>
        </w:tc>
        <w:tc>
          <w:tcPr>
            <w:tcW w:w="1417" w:type="dxa"/>
            <w:tcBorders>
              <w:top w:val="single" w:sz="4" w:space="0" w:color="auto"/>
              <w:left w:val="single" w:sz="4" w:space="0" w:color="auto"/>
              <w:right w:val="single" w:sz="4" w:space="0" w:color="auto"/>
            </w:tcBorders>
            <w:shd w:val="clear" w:color="auto" w:fill="auto"/>
            <w:vAlign w:val="center"/>
          </w:tcPr>
          <w:p w14:paraId="2DF0B2F2" w14:textId="422F769C" w:rsidR="001324C4" w:rsidRPr="00704DA4" w:rsidRDefault="00704DA4" w:rsidP="008C3336">
            <w:pPr>
              <w:pStyle w:val="ListParagraph"/>
              <w:keepNext/>
              <w:ind w:left="0"/>
              <w:jc w:val="right"/>
              <w:rPr>
                <w:rFonts w:ascii="Arial" w:hAnsi="Arial" w:cs="Arial"/>
              </w:rPr>
            </w:pPr>
            <w:r w:rsidRPr="00704DA4">
              <w:rPr>
                <w:rFonts w:ascii="Arial" w:hAnsi="Arial" w:cs="Arial"/>
              </w:rPr>
              <w:t>11.00</w:t>
            </w:r>
          </w:p>
        </w:tc>
        <w:tc>
          <w:tcPr>
            <w:tcW w:w="1417" w:type="dxa"/>
            <w:tcBorders>
              <w:top w:val="single" w:sz="4" w:space="0" w:color="auto"/>
              <w:left w:val="single" w:sz="4" w:space="0" w:color="auto"/>
              <w:right w:val="single" w:sz="4" w:space="0" w:color="auto"/>
            </w:tcBorders>
            <w:shd w:val="clear" w:color="auto" w:fill="auto"/>
            <w:vAlign w:val="center"/>
          </w:tcPr>
          <w:p w14:paraId="060DBD0B" w14:textId="3F5645F0" w:rsidR="001324C4" w:rsidRPr="00704DA4" w:rsidRDefault="001324C4" w:rsidP="008C3336">
            <w:pPr>
              <w:pStyle w:val="ListParagraph"/>
              <w:keepNext/>
              <w:ind w:left="0"/>
              <w:jc w:val="right"/>
              <w:rPr>
                <w:rFonts w:ascii="Arial" w:hAnsi="Arial" w:cs="Arial"/>
              </w:rPr>
            </w:pPr>
            <w:r w:rsidRPr="00704DA4">
              <w:rPr>
                <w:rFonts w:ascii="Arial" w:hAnsi="Arial" w:cs="Arial"/>
              </w:rPr>
              <w:t>4.</w:t>
            </w:r>
            <w:r w:rsidR="00704DA4" w:rsidRPr="00704DA4">
              <w:rPr>
                <w:rFonts w:ascii="Arial" w:hAnsi="Arial" w:cs="Arial"/>
              </w:rPr>
              <w:t>20</w:t>
            </w:r>
          </w:p>
        </w:tc>
      </w:tr>
      <w:tr w:rsidR="001324C4" w:rsidRPr="00704DA4" w14:paraId="78C0D782" w14:textId="77777777" w:rsidTr="003C3808">
        <w:tc>
          <w:tcPr>
            <w:tcW w:w="3227" w:type="dxa"/>
            <w:tcBorders>
              <w:left w:val="single" w:sz="4" w:space="0" w:color="auto"/>
              <w:right w:val="single" w:sz="4" w:space="0" w:color="auto"/>
            </w:tcBorders>
            <w:shd w:val="clear" w:color="auto" w:fill="auto"/>
          </w:tcPr>
          <w:p w14:paraId="77C9BA0B" w14:textId="77777777" w:rsidR="001324C4" w:rsidRPr="00704DA4" w:rsidRDefault="001324C4" w:rsidP="001324C4">
            <w:pPr>
              <w:pStyle w:val="ListParagraph"/>
              <w:ind w:left="0"/>
              <w:rPr>
                <w:rFonts w:ascii="Arial" w:hAnsi="Arial" w:cs="Arial"/>
              </w:rPr>
            </w:pPr>
            <w:r w:rsidRPr="00704DA4">
              <w:rPr>
                <w:rFonts w:ascii="Arial" w:hAnsi="Arial" w:cs="Arial"/>
              </w:rPr>
              <w:t>Short-term investments</w:t>
            </w:r>
          </w:p>
        </w:tc>
        <w:tc>
          <w:tcPr>
            <w:tcW w:w="1417" w:type="dxa"/>
            <w:tcBorders>
              <w:left w:val="single" w:sz="4" w:space="0" w:color="auto"/>
              <w:right w:val="single" w:sz="4" w:space="0" w:color="auto"/>
            </w:tcBorders>
            <w:shd w:val="clear" w:color="auto" w:fill="auto"/>
            <w:vAlign w:val="center"/>
          </w:tcPr>
          <w:p w14:paraId="10F31D61" w14:textId="3BD16DA8" w:rsidR="001324C4" w:rsidRPr="00704DA4" w:rsidRDefault="001324C4" w:rsidP="001324C4">
            <w:pPr>
              <w:pStyle w:val="ListParagraph"/>
              <w:ind w:left="0"/>
              <w:jc w:val="right"/>
              <w:rPr>
                <w:rFonts w:ascii="Arial" w:hAnsi="Arial" w:cs="Arial"/>
              </w:rPr>
            </w:pPr>
            <w:r w:rsidRPr="00704DA4">
              <w:rPr>
                <w:rFonts w:ascii="Arial" w:hAnsi="Arial" w:cs="Arial"/>
              </w:rPr>
              <w:t>12.5</w:t>
            </w:r>
            <w:r w:rsidR="00C40FB0" w:rsidRPr="00704DA4">
              <w:rPr>
                <w:rFonts w:ascii="Arial" w:hAnsi="Arial" w:cs="Arial"/>
              </w:rPr>
              <w:t>1</w:t>
            </w:r>
          </w:p>
        </w:tc>
        <w:tc>
          <w:tcPr>
            <w:tcW w:w="1417" w:type="dxa"/>
            <w:tcBorders>
              <w:left w:val="single" w:sz="4" w:space="0" w:color="auto"/>
              <w:right w:val="single" w:sz="4" w:space="0" w:color="auto"/>
            </w:tcBorders>
            <w:shd w:val="clear" w:color="auto" w:fill="auto"/>
            <w:vAlign w:val="center"/>
          </w:tcPr>
          <w:p w14:paraId="59BABC92" w14:textId="3CE75940" w:rsidR="001324C4" w:rsidRPr="00704DA4" w:rsidRDefault="0019400F" w:rsidP="001324C4">
            <w:pPr>
              <w:pStyle w:val="ListParagraph"/>
              <w:ind w:left="0"/>
              <w:jc w:val="right"/>
              <w:rPr>
                <w:rFonts w:ascii="Arial" w:hAnsi="Arial" w:cs="Arial"/>
              </w:rPr>
            </w:pPr>
            <w:r w:rsidRPr="00704DA4">
              <w:rPr>
                <w:rFonts w:ascii="Arial" w:hAnsi="Arial" w:cs="Arial"/>
              </w:rPr>
              <w:t>40.99</w:t>
            </w:r>
          </w:p>
        </w:tc>
        <w:tc>
          <w:tcPr>
            <w:tcW w:w="1417" w:type="dxa"/>
            <w:tcBorders>
              <w:left w:val="single" w:sz="4" w:space="0" w:color="auto"/>
              <w:right w:val="single" w:sz="4" w:space="0" w:color="auto"/>
            </w:tcBorders>
            <w:shd w:val="clear" w:color="auto" w:fill="auto"/>
            <w:vAlign w:val="center"/>
          </w:tcPr>
          <w:p w14:paraId="6BE11EED" w14:textId="3E9CD103" w:rsidR="001324C4" w:rsidRPr="00704DA4" w:rsidRDefault="00704DA4" w:rsidP="001324C4">
            <w:pPr>
              <w:pStyle w:val="ListParagraph"/>
              <w:ind w:left="0"/>
              <w:jc w:val="right"/>
              <w:rPr>
                <w:rFonts w:ascii="Arial" w:hAnsi="Arial" w:cs="Arial"/>
              </w:rPr>
            </w:pPr>
            <w:r w:rsidRPr="00704DA4">
              <w:rPr>
                <w:rFonts w:ascii="Arial" w:hAnsi="Arial" w:cs="Arial"/>
              </w:rPr>
              <w:t>53.50</w:t>
            </w:r>
          </w:p>
        </w:tc>
        <w:tc>
          <w:tcPr>
            <w:tcW w:w="1417" w:type="dxa"/>
            <w:tcBorders>
              <w:left w:val="single" w:sz="4" w:space="0" w:color="auto"/>
              <w:right w:val="single" w:sz="4" w:space="0" w:color="auto"/>
            </w:tcBorders>
            <w:shd w:val="clear" w:color="auto" w:fill="auto"/>
            <w:vAlign w:val="center"/>
          </w:tcPr>
          <w:p w14:paraId="366C6DE6" w14:textId="054BC40B" w:rsidR="001324C4" w:rsidRPr="00704DA4" w:rsidRDefault="001324C4" w:rsidP="001324C4">
            <w:pPr>
              <w:pStyle w:val="ListParagraph"/>
              <w:ind w:left="0"/>
              <w:jc w:val="right"/>
              <w:rPr>
                <w:rFonts w:ascii="Arial" w:hAnsi="Arial" w:cs="Arial"/>
              </w:rPr>
            </w:pPr>
            <w:r w:rsidRPr="00704DA4">
              <w:rPr>
                <w:rFonts w:ascii="Arial" w:hAnsi="Arial" w:cs="Arial"/>
              </w:rPr>
              <w:t>0.</w:t>
            </w:r>
            <w:r w:rsidR="00704DA4" w:rsidRPr="00704DA4">
              <w:rPr>
                <w:rFonts w:ascii="Arial" w:hAnsi="Arial" w:cs="Arial"/>
              </w:rPr>
              <w:t>19</w:t>
            </w:r>
          </w:p>
        </w:tc>
      </w:tr>
      <w:tr w:rsidR="001324C4" w:rsidRPr="00704DA4" w14:paraId="5C6983EC" w14:textId="77777777" w:rsidTr="003C3808">
        <w:tc>
          <w:tcPr>
            <w:tcW w:w="3227" w:type="dxa"/>
            <w:tcBorders>
              <w:left w:val="single" w:sz="4" w:space="0" w:color="auto"/>
              <w:bottom w:val="single" w:sz="4" w:space="0" w:color="auto"/>
              <w:right w:val="single" w:sz="4" w:space="0" w:color="auto"/>
            </w:tcBorders>
            <w:shd w:val="clear" w:color="auto" w:fill="auto"/>
          </w:tcPr>
          <w:p w14:paraId="191896F5" w14:textId="77777777" w:rsidR="001324C4" w:rsidRPr="00704DA4" w:rsidRDefault="001324C4" w:rsidP="001324C4">
            <w:pPr>
              <w:pStyle w:val="ListParagraph"/>
              <w:ind w:left="0"/>
              <w:rPr>
                <w:rFonts w:ascii="Arial" w:hAnsi="Arial" w:cs="Arial"/>
              </w:rPr>
            </w:pPr>
            <w:r w:rsidRPr="00704DA4">
              <w:rPr>
                <w:rFonts w:ascii="Arial" w:hAnsi="Arial" w:cs="Arial"/>
              </w:rPr>
              <w:t>Cash and cash equivalents</w:t>
            </w:r>
          </w:p>
        </w:tc>
        <w:tc>
          <w:tcPr>
            <w:tcW w:w="1417" w:type="dxa"/>
            <w:tcBorders>
              <w:left w:val="single" w:sz="4" w:space="0" w:color="auto"/>
              <w:bottom w:val="single" w:sz="4" w:space="0" w:color="auto"/>
              <w:right w:val="single" w:sz="4" w:space="0" w:color="auto"/>
            </w:tcBorders>
            <w:shd w:val="clear" w:color="auto" w:fill="auto"/>
            <w:vAlign w:val="center"/>
          </w:tcPr>
          <w:p w14:paraId="5F63EAE0" w14:textId="6C688AE3" w:rsidR="001324C4" w:rsidRPr="00704DA4" w:rsidRDefault="001324C4" w:rsidP="001324C4">
            <w:pPr>
              <w:pStyle w:val="ListParagraph"/>
              <w:ind w:left="0"/>
              <w:jc w:val="right"/>
              <w:rPr>
                <w:rFonts w:ascii="Arial" w:hAnsi="Arial" w:cs="Arial"/>
              </w:rPr>
            </w:pPr>
            <w:r w:rsidRPr="00704DA4">
              <w:rPr>
                <w:rFonts w:ascii="Arial" w:hAnsi="Arial" w:cs="Arial"/>
              </w:rPr>
              <w:t>28.3</w:t>
            </w:r>
            <w:r w:rsidR="00C40FB0" w:rsidRPr="00704DA4">
              <w:rPr>
                <w:rFonts w:ascii="Arial" w:hAnsi="Arial" w:cs="Arial"/>
              </w:rPr>
              <w:t>2</w:t>
            </w:r>
          </w:p>
        </w:tc>
        <w:tc>
          <w:tcPr>
            <w:tcW w:w="1417" w:type="dxa"/>
            <w:tcBorders>
              <w:left w:val="single" w:sz="4" w:space="0" w:color="auto"/>
              <w:bottom w:val="single" w:sz="4" w:space="0" w:color="auto"/>
              <w:right w:val="single" w:sz="4" w:space="0" w:color="auto"/>
            </w:tcBorders>
            <w:shd w:val="clear" w:color="auto" w:fill="auto"/>
            <w:vAlign w:val="center"/>
          </w:tcPr>
          <w:p w14:paraId="17368438" w14:textId="35742E55" w:rsidR="001324C4" w:rsidRPr="00704DA4" w:rsidRDefault="0019400F" w:rsidP="001324C4">
            <w:pPr>
              <w:pStyle w:val="ListParagraph"/>
              <w:ind w:left="0"/>
              <w:jc w:val="right"/>
              <w:rPr>
                <w:rFonts w:ascii="Arial" w:hAnsi="Arial" w:cs="Arial"/>
              </w:rPr>
            </w:pPr>
            <w:r w:rsidRPr="00704DA4">
              <w:rPr>
                <w:rFonts w:ascii="Arial" w:hAnsi="Arial" w:cs="Arial"/>
              </w:rPr>
              <w:t>(19.87)</w:t>
            </w:r>
          </w:p>
        </w:tc>
        <w:tc>
          <w:tcPr>
            <w:tcW w:w="1417" w:type="dxa"/>
            <w:tcBorders>
              <w:left w:val="single" w:sz="4" w:space="0" w:color="auto"/>
              <w:bottom w:val="single" w:sz="4" w:space="0" w:color="auto"/>
              <w:right w:val="single" w:sz="4" w:space="0" w:color="auto"/>
            </w:tcBorders>
            <w:shd w:val="clear" w:color="auto" w:fill="auto"/>
            <w:vAlign w:val="center"/>
          </w:tcPr>
          <w:p w14:paraId="217B20F4" w14:textId="515EB751" w:rsidR="001324C4" w:rsidRPr="00704DA4" w:rsidRDefault="00704DA4" w:rsidP="001324C4">
            <w:pPr>
              <w:pStyle w:val="ListParagraph"/>
              <w:ind w:left="0"/>
              <w:jc w:val="right"/>
              <w:rPr>
                <w:rFonts w:ascii="Arial" w:hAnsi="Arial" w:cs="Arial"/>
              </w:rPr>
            </w:pPr>
            <w:r w:rsidRPr="00704DA4">
              <w:rPr>
                <w:rFonts w:ascii="Arial" w:hAnsi="Arial" w:cs="Arial"/>
              </w:rPr>
              <w:t>8.45</w:t>
            </w:r>
          </w:p>
        </w:tc>
        <w:tc>
          <w:tcPr>
            <w:tcW w:w="1417" w:type="dxa"/>
            <w:tcBorders>
              <w:left w:val="single" w:sz="4" w:space="0" w:color="auto"/>
              <w:bottom w:val="single" w:sz="4" w:space="0" w:color="auto"/>
              <w:right w:val="single" w:sz="4" w:space="0" w:color="auto"/>
            </w:tcBorders>
            <w:shd w:val="clear" w:color="auto" w:fill="auto"/>
            <w:vAlign w:val="center"/>
          </w:tcPr>
          <w:p w14:paraId="0BABE47F" w14:textId="1144AAA7" w:rsidR="001324C4" w:rsidRPr="00704DA4" w:rsidRDefault="001324C4" w:rsidP="001324C4">
            <w:pPr>
              <w:pStyle w:val="ListParagraph"/>
              <w:ind w:left="0"/>
              <w:jc w:val="right"/>
              <w:rPr>
                <w:rFonts w:ascii="Arial" w:hAnsi="Arial" w:cs="Arial"/>
              </w:rPr>
            </w:pPr>
            <w:r w:rsidRPr="00704DA4">
              <w:rPr>
                <w:rFonts w:ascii="Arial" w:hAnsi="Arial" w:cs="Arial"/>
              </w:rPr>
              <w:t>0.</w:t>
            </w:r>
            <w:r w:rsidR="00704DA4" w:rsidRPr="00704DA4">
              <w:rPr>
                <w:rFonts w:ascii="Arial" w:hAnsi="Arial" w:cs="Arial"/>
              </w:rPr>
              <w:t>00</w:t>
            </w:r>
          </w:p>
        </w:tc>
      </w:tr>
      <w:tr w:rsidR="001324C4" w:rsidRPr="007F4276" w14:paraId="2EBD86A2" w14:textId="77777777" w:rsidTr="003C3808">
        <w:tc>
          <w:tcPr>
            <w:tcW w:w="3227" w:type="dxa"/>
            <w:tcBorders>
              <w:top w:val="single" w:sz="4" w:space="0" w:color="auto"/>
              <w:left w:val="single" w:sz="4" w:space="0" w:color="auto"/>
              <w:bottom w:val="single" w:sz="4" w:space="0" w:color="auto"/>
              <w:right w:val="single" w:sz="4" w:space="0" w:color="auto"/>
            </w:tcBorders>
            <w:shd w:val="clear" w:color="auto" w:fill="auto"/>
          </w:tcPr>
          <w:p w14:paraId="56F6DFE1" w14:textId="77777777" w:rsidR="001324C4" w:rsidRPr="007F4276" w:rsidRDefault="001324C4" w:rsidP="001324C4">
            <w:pPr>
              <w:pStyle w:val="ListParagraph"/>
              <w:ind w:left="0"/>
              <w:rPr>
                <w:rFonts w:ascii="Arial" w:hAnsi="Arial" w:cs="Arial"/>
                <w:b/>
                <w:bCs/>
              </w:rPr>
            </w:pPr>
            <w:r w:rsidRPr="007F4276">
              <w:rPr>
                <w:rFonts w:ascii="Arial" w:hAnsi="Arial" w:cs="Arial"/>
                <w:b/>
                <w:bCs/>
              </w:rPr>
              <w:t>Total investments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F7B133" w14:textId="01A523E6" w:rsidR="001324C4" w:rsidRPr="007F4276" w:rsidRDefault="001324C4" w:rsidP="001324C4">
            <w:pPr>
              <w:pStyle w:val="ListParagraph"/>
              <w:ind w:left="0"/>
              <w:jc w:val="right"/>
              <w:rPr>
                <w:rFonts w:ascii="Arial" w:hAnsi="Arial" w:cs="Arial"/>
                <w:b/>
                <w:bCs/>
              </w:rPr>
            </w:pPr>
            <w:r w:rsidRPr="007F4276">
              <w:rPr>
                <w:rFonts w:ascii="Arial" w:hAnsi="Arial" w:cs="Arial"/>
                <w:b/>
                <w:bCs/>
              </w:rPr>
              <w:t>48.3</w:t>
            </w:r>
            <w:r w:rsidR="00C40FB0" w:rsidRPr="007F4276">
              <w:rPr>
                <w:rFonts w:ascii="Arial" w:hAnsi="Arial" w:cs="Arial"/>
                <w:b/>
                <w:bCs/>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D209" w14:textId="2ABB6EA7" w:rsidR="001324C4" w:rsidRPr="007F4276" w:rsidRDefault="0019400F" w:rsidP="001324C4">
            <w:pPr>
              <w:pStyle w:val="ListParagraph"/>
              <w:ind w:left="0"/>
              <w:jc w:val="right"/>
              <w:rPr>
                <w:rFonts w:ascii="Arial" w:hAnsi="Arial" w:cs="Arial"/>
                <w:b/>
                <w:bCs/>
              </w:rPr>
            </w:pPr>
            <w:r w:rsidRPr="007F4276">
              <w:rPr>
                <w:rFonts w:ascii="Arial" w:hAnsi="Arial" w:cs="Arial"/>
                <w:b/>
                <w:bCs/>
              </w:rPr>
              <w:t>24.62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677B4F" w14:textId="7597B97B" w:rsidR="001324C4" w:rsidRPr="007F4276" w:rsidRDefault="00704DA4" w:rsidP="001324C4">
            <w:pPr>
              <w:pStyle w:val="ListParagraph"/>
              <w:ind w:left="0"/>
              <w:jc w:val="right"/>
              <w:rPr>
                <w:rFonts w:ascii="Arial" w:hAnsi="Arial" w:cs="Arial"/>
                <w:b/>
                <w:bCs/>
              </w:rPr>
            </w:pPr>
            <w:r w:rsidRPr="007F4276">
              <w:rPr>
                <w:rFonts w:ascii="Arial" w:hAnsi="Arial" w:cs="Arial"/>
                <w:b/>
                <w:bCs/>
              </w:rPr>
              <w:t>72.95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F26FF2" w14:textId="288998C1" w:rsidR="001324C4" w:rsidRPr="007F4276" w:rsidRDefault="00704DA4" w:rsidP="001324C4">
            <w:pPr>
              <w:pStyle w:val="ListParagraph"/>
              <w:ind w:left="0"/>
              <w:jc w:val="right"/>
              <w:rPr>
                <w:rFonts w:ascii="Arial" w:hAnsi="Arial" w:cs="Arial"/>
                <w:b/>
                <w:bCs/>
              </w:rPr>
            </w:pPr>
            <w:r w:rsidRPr="007F4276">
              <w:rPr>
                <w:rFonts w:ascii="Arial" w:hAnsi="Arial" w:cs="Arial"/>
                <w:b/>
                <w:bCs/>
              </w:rPr>
              <w:t>0.77</w:t>
            </w:r>
          </w:p>
        </w:tc>
      </w:tr>
      <w:tr w:rsidR="001324C4" w:rsidRPr="007F4276" w14:paraId="6BE2E810" w14:textId="77777777" w:rsidTr="00DB3ECF">
        <w:tc>
          <w:tcPr>
            <w:tcW w:w="3227" w:type="dxa"/>
            <w:tcBorders>
              <w:top w:val="single" w:sz="4" w:space="0" w:color="auto"/>
              <w:left w:val="single" w:sz="4" w:space="0" w:color="auto"/>
              <w:bottom w:val="single" w:sz="4" w:space="0" w:color="auto"/>
              <w:right w:val="single" w:sz="4" w:space="0" w:color="auto"/>
            </w:tcBorders>
            <w:shd w:val="clear" w:color="auto" w:fill="auto"/>
          </w:tcPr>
          <w:p w14:paraId="37E2C806" w14:textId="6EAA4ED2" w:rsidR="001324C4" w:rsidRPr="007F4276" w:rsidRDefault="001324C4" w:rsidP="001324C4">
            <w:pPr>
              <w:pStyle w:val="ListParagraph"/>
              <w:ind w:left="0"/>
              <w:rPr>
                <w:rFonts w:ascii="Arial" w:hAnsi="Arial" w:cs="Arial"/>
                <w:b/>
                <w:bCs/>
              </w:rPr>
            </w:pPr>
            <w:r w:rsidRPr="007F4276">
              <w:rPr>
                <w:rFonts w:ascii="Arial" w:hAnsi="Arial" w:cs="Arial"/>
                <w:b/>
                <w:bCs/>
              </w:rPr>
              <w:t>Net</w:t>
            </w:r>
            <w:r w:rsidR="00036181">
              <w:rPr>
                <w:rFonts w:ascii="Arial" w:hAnsi="Arial" w:cs="Arial"/>
                <w:b/>
                <w:bCs/>
              </w:rPr>
              <w:t xml:space="preserve"> treasury management</w:t>
            </w:r>
            <w:r w:rsidRPr="007F4276">
              <w:rPr>
                <w:rFonts w:ascii="Arial" w:hAnsi="Arial" w:cs="Arial"/>
                <w:b/>
                <w:bCs/>
              </w:rPr>
              <w:t xml:space="preserve"> investments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20597C" w14:textId="375EE4BB" w:rsidR="001324C4" w:rsidRPr="007F4276" w:rsidRDefault="001324C4" w:rsidP="001324C4">
            <w:pPr>
              <w:pStyle w:val="ListParagraph"/>
              <w:ind w:left="0"/>
              <w:jc w:val="right"/>
              <w:rPr>
                <w:rFonts w:ascii="Arial" w:hAnsi="Arial" w:cs="Arial"/>
                <w:b/>
                <w:bCs/>
              </w:rPr>
            </w:pPr>
            <w:r w:rsidRPr="007F4276">
              <w:rPr>
                <w:rFonts w:ascii="Arial" w:hAnsi="Arial" w:cs="Arial"/>
                <w:b/>
                <w:bCs/>
              </w:rPr>
              <w:t>17.8</w:t>
            </w:r>
            <w:r w:rsidR="00C40FB0" w:rsidRPr="007F4276">
              <w:rPr>
                <w:rFonts w:ascii="Arial" w:hAnsi="Arial" w:cs="Arial"/>
                <w:b/>
                <w:bCs/>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5B293" w14:textId="5054E3E5" w:rsidR="001324C4" w:rsidRPr="007F4276" w:rsidRDefault="0019400F" w:rsidP="001324C4">
            <w:pPr>
              <w:pStyle w:val="ListParagraph"/>
              <w:ind w:left="0"/>
              <w:jc w:val="right"/>
              <w:rPr>
                <w:rFonts w:ascii="Arial" w:hAnsi="Arial" w:cs="Arial"/>
                <w:b/>
                <w:bCs/>
              </w:rPr>
            </w:pPr>
            <w:r w:rsidRPr="007F4276">
              <w:rPr>
                <w:rFonts w:ascii="Arial" w:hAnsi="Arial" w:cs="Arial"/>
                <w:b/>
                <w:bCs/>
              </w:rPr>
              <w:t>25.12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70AB03" w14:textId="10531B76" w:rsidR="001324C4" w:rsidRPr="007F4276" w:rsidRDefault="00704DA4" w:rsidP="001324C4">
            <w:pPr>
              <w:pStyle w:val="ListParagraph"/>
              <w:ind w:left="0"/>
              <w:jc w:val="right"/>
              <w:rPr>
                <w:rFonts w:ascii="Arial" w:hAnsi="Arial" w:cs="Arial"/>
                <w:b/>
                <w:bCs/>
              </w:rPr>
            </w:pPr>
            <w:r w:rsidRPr="007F4276">
              <w:rPr>
                <w:rFonts w:ascii="Arial" w:hAnsi="Arial" w:cs="Arial"/>
                <w:b/>
                <w:bCs/>
              </w:rPr>
              <w:t>43.00</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14:paraId="7A5D646F" w14:textId="77777777" w:rsidR="001324C4" w:rsidRPr="007F4276" w:rsidRDefault="001324C4" w:rsidP="001324C4">
            <w:pPr>
              <w:pStyle w:val="ListParagraph"/>
              <w:ind w:left="0"/>
              <w:jc w:val="right"/>
              <w:rPr>
                <w:rFonts w:ascii="Arial" w:hAnsi="Arial" w:cs="Arial"/>
                <w:b/>
                <w:bCs/>
              </w:rPr>
            </w:pPr>
          </w:p>
        </w:tc>
      </w:tr>
    </w:tbl>
    <w:p w14:paraId="7AEDA3D2" w14:textId="02BA245D" w:rsidR="00F613B7" w:rsidRPr="000E6FAB" w:rsidRDefault="00F613B7" w:rsidP="00F613B7">
      <w:pPr>
        <w:pStyle w:val="ListParagraph"/>
        <w:spacing w:after="240"/>
        <w:rPr>
          <w:rFonts w:ascii="Arial" w:hAnsi="Arial" w:cs="Arial"/>
          <w:sz w:val="20"/>
          <w:szCs w:val="20"/>
        </w:rPr>
      </w:pPr>
      <w:r w:rsidRPr="000E6FAB">
        <w:rPr>
          <w:rFonts w:ascii="Arial" w:hAnsi="Arial" w:cs="Arial"/>
          <w:sz w:val="20"/>
          <w:szCs w:val="20"/>
        </w:rPr>
        <w:t>Note: the</w:t>
      </w:r>
      <w:r w:rsidR="00AA1EF1" w:rsidRPr="000E6FAB">
        <w:rPr>
          <w:rFonts w:ascii="Arial" w:hAnsi="Arial" w:cs="Arial"/>
          <w:sz w:val="20"/>
          <w:szCs w:val="20"/>
        </w:rPr>
        <w:t xml:space="preserve"> </w:t>
      </w:r>
      <w:r w:rsidR="00DB4437" w:rsidRPr="000E6FAB">
        <w:rPr>
          <w:rFonts w:ascii="Arial" w:hAnsi="Arial" w:cs="Arial"/>
          <w:sz w:val="20"/>
          <w:szCs w:val="20"/>
        </w:rPr>
        <w:t xml:space="preserve">figures </w:t>
      </w:r>
      <w:r w:rsidRPr="000E6FAB">
        <w:rPr>
          <w:rFonts w:ascii="Arial" w:hAnsi="Arial" w:cs="Arial"/>
          <w:sz w:val="20"/>
          <w:szCs w:val="20"/>
        </w:rPr>
        <w:t xml:space="preserve">in </w:t>
      </w:r>
      <w:r w:rsidR="00C657AA" w:rsidRPr="000E6FAB">
        <w:rPr>
          <w:rFonts w:ascii="Arial" w:hAnsi="Arial" w:cs="Arial"/>
          <w:sz w:val="20"/>
          <w:szCs w:val="20"/>
        </w:rPr>
        <w:t>T</w:t>
      </w:r>
      <w:r w:rsidRPr="000E6FAB">
        <w:rPr>
          <w:rFonts w:ascii="Arial" w:hAnsi="Arial" w:cs="Arial"/>
          <w:sz w:val="20"/>
          <w:szCs w:val="20"/>
        </w:rPr>
        <w:t>able</w:t>
      </w:r>
      <w:r w:rsidR="00C657AA" w:rsidRPr="000E6FAB">
        <w:rPr>
          <w:rFonts w:ascii="Arial" w:hAnsi="Arial" w:cs="Arial"/>
          <w:sz w:val="20"/>
          <w:szCs w:val="20"/>
        </w:rPr>
        <w:t xml:space="preserve"> 2</w:t>
      </w:r>
      <w:r w:rsidRPr="000E6FAB">
        <w:rPr>
          <w:rFonts w:ascii="Arial" w:hAnsi="Arial" w:cs="Arial"/>
          <w:sz w:val="20"/>
          <w:szCs w:val="20"/>
        </w:rPr>
        <w:t xml:space="preserve"> are</w:t>
      </w:r>
      <w:r w:rsidR="005904B3" w:rsidRPr="000E6FAB">
        <w:rPr>
          <w:rFonts w:ascii="Arial" w:hAnsi="Arial" w:cs="Arial"/>
          <w:sz w:val="20"/>
          <w:szCs w:val="20"/>
        </w:rPr>
        <w:t xml:space="preserve"> taken</w:t>
      </w:r>
      <w:r w:rsidRPr="000E6FAB">
        <w:rPr>
          <w:rFonts w:ascii="Arial" w:hAnsi="Arial" w:cs="Arial"/>
          <w:sz w:val="20"/>
          <w:szCs w:val="20"/>
        </w:rPr>
        <w:t xml:space="preserve"> from the balance sheet in the OPCC’s statement of accounts, but adjusted to exclude operational cash, accrued interest and other accounting adjustments.</w:t>
      </w:r>
    </w:p>
    <w:p w14:paraId="29071664" w14:textId="5A640FBC" w:rsidR="00315C49" w:rsidRPr="003471A9" w:rsidRDefault="002D57AA" w:rsidP="003C3808">
      <w:pPr>
        <w:pStyle w:val="ListParagraph"/>
        <w:numPr>
          <w:ilvl w:val="1"/>
          <w:numId w:val="2"/>
        </w:numPr>
        <w:spacing w:after="240"/>
        <w:ind w:left="720" w:hanging="720"/>
        <w:rPr>
          <w:rFonts w:ascii="Arial" w:hAnsi="Arial" w:cs="Arial"/>
        </w:rPr>
      </w:pPr>
      <w:r w:rsidRPr="00C2282D">
        <w:rPr>
          <w:rFonts w:ascii="Arial" w:hAnsi="Arial" w:cs="Arial"/>
        </w:rPr>
        <w:t>The increase in net investments of £</w:t>
      </w:r>
      <w:r w:rsidR="000E6FAB" w:rsidRPr="00C2282D">
        <w:rPr>
          <w:rFonts w:ascii="Arial" w:hAnsi="Arial" w:cs="Arial"/>
        </w:rPr>
        <w:t>25.1</w:t>
      </w:r>
      <w:r w:rsidR="003F12FE">
        <w:rPr>
          <w:rFonts w:ascii="Arial" w:hAnsi="Arial" w:cs="Arial"/>
        </w:rPr>
        <w:t>2</w:t>
      </w:r>
      <w:r w:rsidRPr="00C2282D">
        <w:rPr>
          <w:rFonts w:ascii="Arial" w:hAnsi="Arial" w:cs="Arial"/>
        </w:rPr>
        <w:t xml:space="preserve">m shown in Table 2 reflects the combination of repayment of </w:t>
      </w:r>
      <w:r w:rsidR="005947CD" w:rsidRPr="00C2282D">
        <w:rPr>
          <w:rFonts w:ascii="Arial" w:hAnsi="Arial" w:cs="Arial"/>
        </w:rPr>
        <w:t>Public Works Loan Board (</w:t>
      </w:r>
      <w:r w:rsidRPr="00C2282D">
        <w:rPr>
          <w:rFonts w:ascii="Arial" w:hAnsi="Arial" w:cs="Arial"/>
        </w:rPr>
        <w:t>PWLB</w:t>
      </w:r>
      <w:r w:rsidR="005947CD" w:rsidRPr="00C2282D">
        <w:rPr>
          <w:rFonts w:ascii="Arial" w:hAnsi="Arial" w:cs="Arial"/>
        </w:rPr>
        <w:t>)</w:t>
      </w:r>
      <w:r w:rsidRPr="00C2282D">
        <w:rPr>
          <w:rFonts w:ascii="Arial" w:hAnsi="Arial" w:cs="Arial"/>
        </w:rPr>
        <w:t xml:space="preserve"> borrowing of </w:t>
      </w:r>
      <w:r w:rsidRPr="00C2282D">
        <w:rPr>
          <w:rFonts w:ascii="Arial" w:hAnsi="Arial" w:cs="Arial"/>
        </w:rPr>
        <w:lastRenderedPageBreak/>
        <w:t>£0.5m and a</w:t>
      </w:r>
      <w:r w:rsidR="00E83B0C" w:rsidRPr="00C2282D">
        <w:rPr>
          <w:rFonts w:ascii="Arial" w:hAnsi="Arial" w:cs="Arial"/>
        </w:rPr>
        <w:t>n increase in investment balances of £</w:t>
      </w:r>
      <w:r w:rsidR="00C2282D" w:rsidRPr="00C2282D">
        <w:rPr>
          <w:rFonts w:ascii="Arial" w:hAnsi="Arial" w:cs="Arial"/>
        </w:rPr>
        <w:t>24.6</w:t>
      </w:r>
      <w:r w:rsidR="00E83B0C" w:rsidRPr="00C2282D">
        <w:rPr>
          <w:rFonts w:ascii="Arial" w:hAnsi="Arial" w:cs="Arial"/>
        </w:rPr>
        <w:t>m</w:t>
      </w:r>
      <w:r w:rsidR="008D54B6" w:rsidRPr="00C2282D">
        <w:rPr>
          <w:rFonts w:ascii="Arial" w:hAnsi="Arial" w:cs="Arial"/>
        </w:rPr>
        <w:t xml:space="preserve"> </w:t>
      </w:r>
      <w:r w:rsidR="008D54B6" w:rsidRPr="003471A9">
        <w:rPr>
          <w:rFonts w:ascii="Arial" w:hAnsi="Arial" w:cs="Arial"/>
        </w:rPr>
        <w:t>due in part to</w:t>
      </w:r>
      <w:r w:rsidR="00DD2613" w:rsidRPr="003471A9">
        <w:rPr>
          <w:rFonts w:ascii="Arial" w:hAnsi="Arial" w:cs="Arial"/>
        </w:rPr>
        <w:t xml:space="preserve"> </w:t>
      </w:r>
      <w:r w:rsidR="00103E74" w:rsidRPr="003471A9">
        <w:rPr>
          <w:rFonts w:ascii="Arial" w:hAnsi="Arial" w:cs="Arial"/>
        </w:rPr>
        <w:t xml:space="preserve">the setting aside of funding to support future capital investment and also due </w:t>
      </w:r>
      <w:r w:rsidR="000810A6" w:rsidRPr="003471A9">
        <w:rPr>
          <w:rFonts w:ascii="Arial" w:hAnsi="Arial" w:cs="Arial"/>
        </w:rPr>
        <w:t xml:space="preserve">to </w:t>
      </w:r>
      <w:r w:rsidR="008D54B6" w:rsidRPr="003471A9">
        <w:rPr>
          <w:rFonts w:ascii="Arial" w:hAnsi="Arial" w:cs="Arial"/>
        </w:rPr>
        <w:t>an underspend against the Constabulary</w:t>
      </w:r>
      <w:r w:rsidR="00DE7504" w:rsidRPr="003471A9">
        <w:rPr>
          <w:rFonts w:ascii="Arial" w:hAnsi="Arial" w:cs="Arial"/>
        </w:rPr>
        <w:t>, OPCC and ACRO</w:t>
      </w:r>
      <w:r w:rsidR="008D54B6" w:rsidRPr="003471A9">
        <w:rPr>
          <w:rFonts w:ascii="Arial" w:hAnsi="Arial" w:cs="Arial"/>
        </w:rPr>
        <w:t xml:space="preserve"> budget</w:t>
      </w:r>
      <w:r w:rsidR="00DE7504" w:rsidRPr="003471A9">
        <w:rPr>
          <w:rFonts w:ascii="Arial" w:hAnsi="Arial" w:cs="Arial"/>
        </w:rPr>
        <w:t>s</w:t>
      </w:r>
      <w:r w:rsidR="008D54B6" w:rsidRPr="003471A9">
        <w:rPr>
          <w:rFonts w:ascii="Arial" w:hAnsi="Arial" w:cs="Arial"/>
        </w:rPr>
        <w:t xml:space="preserve"> during 2020</w:t>
      </w:r>
      <w:r w:rsidR="00DE7504" w:rsidRPr="003471A9">
        <w:rPr>
          <w:rFonts w:ascii="Arial" w:hAnsi="Arial" w:cs="Arial"/>
        </w:rPr>
        <w:t>/21</w:t>
      </w:r>
      <w:r w:rsidR="00E83B0C" w:rsidRPr="003471A9">
        <w:rPr>
          <w:rFonts w:ascii="Arial" w:hAnsi="Arial" w:cs="Arial"/>
        </w:rPr>
        <w:t>.  The repayment of borrowing is in line with the OPCC’s policy on internal borrowing.</w:t>
      </w:r>
      <w:r w:rsidR="00982020" w:rsidRPr="003471A9">
        <w:rPr>
          <w:rFonts w:ascii="Arial" w:hAnsi="Arial" w:cs="Arial"/>
        </w:rPr>
        <w:t xml:space="preserve">  Further details are provided in the Borrowing A</w:t>
      </w:r>
      <w:r w:rsidR="00CA2483" w:rsidRPr="003471A9">
        <w:rPr>
          <w:rFonts w:ascii="Arial" w:hAnsi="Arial" w:cs="Arial"/>
        </w:rPr>
        <w:t>ctivity and Treasury Investments Activity sections of this report.</w:t>
      </w:r>
    </w:p>
    <w:p w14:paraId="5DF561B8" w14:textId="77777777" w:rsidR="00557178" w:rsidRPr="001F34A4" w:rsidRDefault="00557178" w:rsidP="00EE395D">
      <w:pPr>
        <w:pStyle w:val="Heading5"/>
      </w:pPr>
      <w:r w:rsidRPr="001F34A4">
        <w:t>Borrowing Update</w:t>
      </w:r>
    </w:p>
    <w:p w14:paraId="76510822" w14:textId="77777777" w:rsidR="00EE395D" w:rsidRPr="00EE395D" w:rsidRDefault="00EE395D" w:rsidP="00EE395D">
      <w:pPr>
        <w:pStyle w:val="ListParagraph"/>
        <w:numPr>
          <w:ilvl w:val="0"/>
          <w:numId w:val="2"/>
        </w:numPr>
        <w:spacing w:after="240"/>
        <w:rPr>
          <w:rFonts w:ascii="Arial" w:hAnsi="Arial" w:cs="Arial"/>
          <w:vanish/>
        </w:rPr>
      </w:pPr>
    </w:p>
    <w:p w14:paraId="0A0EC2C2" w14:textId="2303EED8" w:rsidR="00BB50C1" w:rsidRPr="00BB50C1" w:rsidRDefault="00BB50C1" w:rsidP="00EE395D">
      <w:pPr>
        <w:pStyle w:val="ListParagraph"/>
        <w:numPr>
          <w:ilvl w:val="1"/>
          <w:numId w:val="2"/>
        </w:numPr>
        <w:spacing w:after="240"/>
        <w:ind w:left="709" w:hanging="709"/>
        <w:rPr>
          <w:rFonts w:ascii="Arial" w:hAnsi="Arial" w:cs="Arial"/>
        </w:rPr>
      </w:pPr>
      <w:r w:rsidRPr="00BB50C1">
        <w:rPr>
          <w:rFonts w:ascii="Arial" w:hAnsi="Arial" w:cs="Arial"/>
        </w:rPr>
        <w:t>In November 2020 the PWLB published its response to the consultation on ‘Future Lending Terms’. The rate at which local authorities</w:t>
      </w:r>
      <w:r>
        <w:rPr>
          <w:rFonts w:ascii="Arial" w:hAnsi="Arial" w:cs="Arial"/>
        </w:rPr>
        <w:t xml:space="preserve"> (including police and crime commissioners)</w:t>
      </w:r>
      <w:r w:rsidRPr="00BB50C1">
        <w:rPr>
          <w:rFonts w:ascii="Arial" w:hAnsi="Arial" w:cs="Arial"/>
        </w:rPr>
        <w:t xml:space="preserve"> could borrow from the PWLB is defined by a margin above gilts; following the response to the consultation the margin above gilts on PWLB loans was reduced from 1.8% to 0.8%, however restrictions were introduced meaning that this rate would only be available to authorities not planning to purchase investment assets primarily for yield.  Authorities that are purchasing or intending to purchase investment assets primarily for yield will not be able to access the PWLB except to refinance existing loans or externalise internal borrowing.  Acceptable use of PWLB borrowing includes service delivery, housing, regeneration, preventative action, refinancing</w:t>
      </w:r>
      <w:r w:rsidR="00C855DD">
        <w:rPr>
          <w:rFonts w:ascii="Arial" w:hAnsi="Arial" w:cs="Arial"/>
        </w:rPr>
        <w:t>,</w:t>
      </w:r>
      <w:r w:rsidRPr="00BB50C1">
        <w:rPr>
          <w:rFonts w:ascii="Arial" w:hAnsi="Arial" w:cs="Arial"/>
        </w:rPr>
        <w:t xml:space="preserve"> and treasury management. </w:t>
      </w:r>
    </w:p>
    <w:p w14:paraId="7352541B" w14:textId="78A7F016" w:rsidR="00BB50C1" w:rsidRPr="00BB50C1" w:rsidRDefault="00BB50C1" w:rsidP="00BB50C1">
      <w:pPr>
        <w:pStyle w:val="ListParagraph"/>
        <w:numPr>
          <w:ilvl w:val="1"/>
          <w:numId w:val="2"/>
        </w:numPr>
        <w:spacing w:after="240"/>
        <w:ind w:left="720" w:hanging="720"/>
        <w:rPr>
          <w:rFonts w:ascii="Arial" w:hAnsi="Arial" w:cs="Arial"/>
        </w:rPr>
      </w:pPr>
      <w:r w:rsidRPr="00BB50C1">
        <w:rPr>
          <w:rFonts w:ascii="Arial" w:hAnsi="Arial" w:cs="Arial"/>
        </w:rPr>
        <w:t>As part of the borrowing process authorities are now required to submit more detailed capital expenditure plans with confirmation of the purpose of capital expenditure from the Section 151 Officer.  The PWLB can now also restrict local authorities from borrowing in unusual or large amounts.</w:t>
      </w:r>
    </w:p>
    <w:p w14:paraId="38718286" w14:textId="23483B36" w:rsidR="00BB50C1" w:rsidRPr="00BB50C1" w:rsidRDefault="00BB50C1" w:rsidP="00BB50C1">
      <w:pPr>
        <w:pStyle w:val="ListParagraph"/>
        <w:numPr>
          <w:ilvl w:val="1"/>
          <w:numId w:val="2"/>
        </w:numPr>
        <w:spacing w:after="240"/>
        <w:ind w:left="720" w:hanging="720"/>
        <w:rPr>
          <w:rFonts w:ascii="Arial" w:hAnsi="Arial" w:cs="Arial"/>
        </w:rPr>
      </w:pPr>
      <w:r w:rsidRPr="00BB50C1">
        <w:rPr>
          <w:rFonts w:ascii="Arial" w:hAnsi="Arial" w:cs="Arial"/>
        </w:rPr>
        <w:t xml:space="preserve">The </w:t>
      </w:r>
      <w:r w:rsidR="009100D2">
        <w:rPr>
          <w:rFonts w:ascii="Arial" w:hAnsi="Arial" w:cs="Arial"/>
        </w:rPr>
        <w:t>OPCC</w:t>
      </w:r>
      <w:r w:rsidRPr="00BB50C1">
        <w:rPr>
          <w:rFonts w:ascii="Arial" w:hAnsi="Arial" w:cs="Arial"/>
        </w:rPr>
        <w:t xml:space="preserve"> is not planning to purchase any investment assets primarily for yield and so is able to take advantage of the reduction in the PWLB borrowing rate if required.</w:t>
      </w:r>
    </w:p>
    <w:p w14:paraId="2781C0D5" w14:textId="77777777" w:rsidR="006A2DD0" w:rsidRPr="00BA080F" w:rsidRDefault="00F613B7" w:rsidP="00EE395D">
      <w:pPr>
        <w:pStyle w:val="Heading5"/>
      </w:pPr>
      <w:r w:rsidRPr="00BA080F">
        <w:t>Borrowing Activity</w:t>
      </w:r>
    </w:p>
    <w:p w14:paraId="29191BF8" w14:textId="77777777" w:rsidR="00EE395D" w:rsidRPr="00EE395D" w:rsidRDefault="00EE395D" w:rsidP="00EE395D">
      <w:pPr>
        <w:pStyle w:val="ListParagraph"/>
        <w:numPr>
          <w:ilvl w:val="0"/>
          <w:numId w:val="2"/>
        </w:numPr>
        <w:spacing w:after="240"/>
        <w:rPr>
          <w:rFonts w:ascii="Arial" w:hAnsi="Arial" w:cs="Arial"/>
          <w:vanish/>
        </w:rPr>
      </w:pPr>
    </w:p>
    <w:p w14:paraId="4E814BE8" w14:textId="54D922CE" w:rsidR="00957A4E" w:rsidRPr="00BA080F" w:rsidRDefault="00514D86" w:rsidP="00EE395D">
      <w:pPr>
        <w:pStyle w:val="ListParagraph"/>
        <w:numPr>
          <w:ilvl w:val="1"/>
          <w:numId w:val="2"/>
        </w:numPr>
        <w:spacing w:after="240"/>
        <w:ind w:left="709" w:hanging="709"/>
        <w:rPr>
          <w:rFonts w:ascii="Arial" w:hAnsi="Arial" w:cs="Arial"/>
        </w:rPr>
      </w:pPr>
      <w:r w:rsidRPr="00BA080F">
        <w:rPr>
          <w:rFonts w:ascii="Arial" w:hAnsi="Arial" w:cs="Arial"/>
        </w:rPr>
        <w:t>At 3</w:t>
      </w:r>
      <w:r w:rsidR="00D507B5" w:rsidRPr="00BA080F">
        <w:rPr>
          <w:rFonts w:ascii="Arial" w:hAnsi="Arial" w:cs="Arial"/>
        </w:rPr>
        <w:t>1</w:t>
      </w:r>
      <w:r w:rsidR="00F613B7" w:rsidRPr="00BA080F">
        <w:rPr>
          <w:rFonts w:ascii="Arial" w:hAnsi="Arial" w:cs="Arial"/>
        </w:rPr>
        <w:t xml:space="preserve"> March </w:t>
      </w:r>
      <w:r w:rsidRPr="00BA080F">
        <w:rPr>
          <w:rFonts w:ascii="Arial" w:hAnsi="Arial" w:cs="Arial"/>
        </w:rPr>
        <w:t>20</w:t>
      </w:r>
      <w:r w:rsidR="005C019B" w:rsidRPr="00BA080F">
        <w:rPr>
          <w:rFonts w:ascii="Arial" w:hAnsi="Arial" w:cs="Arial"/>
        </w:rPr>
        <w:t>2</w:t>
      </w:r>
      <w:r w:rsidR="009100D2" w:rsidRPr="00BA080F">
        <w:rPr>
          <w:rFonts w:ascii="Arial" w:hAnsi="Arial" w:cs="Arial"/>
        </w:rPr>
        <w:t>1</w:t>
      </w:r>
      <w:r w:rsidRPr="00BA080F">
        <w:rPr>
          <w:rFonts w:ascii="Arial" w:hAnsi="Arial" w:cs="Arial"/>
        </w:rPr>
        <w:t xml:space="preserve"> the </w:t>
      </w:r>
      <w:r w:rsidR="00564BE3" w:rsidRPr="00BA080F">
        <w:rPr>
          <w:rFonts w:ascii="Arial" w:hAnsi="Arial" w:cs="Arial"/>
        </w:rPr>
        <w:t>OPCC</w:t>
      </w:r>
      <w:r w:rsidRPr="00BA080F">
        <w:rPr>
          <w:rFonts w:ascii="Arial" w:hAnsi="Arial" w:cs="Arial"/>
        </w:rPr>
        <w:t xml:space="preserve"> held </w:t>
      </w:r>
      <w:r w:rsidR="00896CB5" w:rsidRPr="00BA080F">
        <w:rPr>
          <w:rFonts w:ascii="Arial" w:hAnsi="Arial" w:cs="Arial"/>
        </w:rPr>
        <w:t>£</w:t>
      </w:r>
      <w:r w:rsidR="000C2A6F">
        <w:rPr>
          <w:rFonts w:ascii="Arial" w:hAnsi="Arial" w:cs="Arial"/>
        </w:rPr>
        <w:t>29.95</w:t>
      </w:r>
      <w:r w:rsidR="00896CB5" w:rsidRPr="00BA080F">
        <w:rPr>
          <w:rFonts w:ascii="Arial" w:hAnsi="Arial" w:cs="Arial"/>
        </w:rPr>
        <w:t>m</w:t>
      </w:r>
      <w:r w:rsidRPr="00BA080F">
        <w:rPr>
          <w:rFonts w:ascii="Arial" w:hAnsi="Arial" w:cs="Arial"/>
        </w:rPr>
        <w:t xml:space="preserve"> of loans </w:t>
      </w:r>
      <w:r w:rsidR="00E16570" w:rsidRPr="00BA080F">
        <w:rPr>
          <w:rFonts w:ascii="Arial" w:hAnsi="Arial" w:cs="Arial"/>
        </w:rPr>
        <w:t>(</w:t>
      </w:r>
      <w:r w:rsidR="00884A55" w:rsidRPr="00BA080F">
        <w:rPr>
          <w:rFonts w:ascii="Arial" w:hAnsi="Arial" w:cs="Arial"/>
        </w:rPr>
        <w:t xml:space="preserve">a </w:t>
      </w:r>
      <w:r w:rsidR="00F613B7" w:rsidRPr="00BA080F">
        <w:rPr>
          <w:rFonts w:ascii="Arial" w:hAnsi="Arial" w:cs="Arial"/>
        </w:rPr>
        <w:t>decrease</w:t>
      </w:r>
      <w:r w:rsidRPr="00BA080F">
        <w:rPr>
          <w:rFonts w:ascii="Arial" w:hAnsi="Arial" w:cs="Arial"/>
        </w:rPr>
        <w:t xml:space="preserve"> of </w:t>
      </w:r>
      <w:r w:rsidR="00896CB5" w:rsidRPr="00BA080F">
        <w:rPr>
          <w:rFonts w:ascii="Arial" w:hAnsi="Arial" w:cs="Arial"/>
        </w:rPr>
        <w:t>£</w:t>
      </w:r>
      <w:r w:rsidR="00C13431" w:rsidRPr="00BA080F">
        <w:rPr>
          <w:rFonts w:ascii="Arial" w:hAnsi="Arial" w:cs="Arial"/>
        </w:rPr>
        <w:t>0.</w:t>
      </w:r>
      <w:r w:rsidR="00314F5D" w:rsidRPr="00BA080F">
        <w:rPr>
          <w:rFonts w:ascii="Arial" w:hAnsi="Arial" w:cs="Arial"/>
        </w:rPr>
        <w:t>5</w:t>
      </w:r>
      <w:r w:rsidR="00896CB5" w:rsidRPr="00BA080F">
        <w:rPr>
          <w:rFonts w:ascii="Arial" w:hAnsi="Arial" w:cs="Arial"/>
        </w:rPr>
        <w:t>m</w:t>
      </w:r>
      <w:r w:rsidR="00884A55" w:rsidRPr="00BA080F">
        <w:rPr>
          <w:rFonts w:ascii="Arial" w:hAnsi="Arial" w:cs="Arial"/>
        </w:rPr>
        <w:t xml:space="preserve"> </w:t>
      </w:r>
      <w:r w:rsidR="00E16570" w:rsidRPr="00BA080F">
        <w:rPr>
          <w:rFonts w:ascii="Arial" w:hAnsi="Arial" w:cs="Arial"/>
        </w:rPr>
        <w:t>from 3</w:t>
      </w:r>
      <w:r w:rsidR="00926623" w:rsidRPr="00BA080F">
        <w:rPr>
          <w:rFonts w:ascii="Arial" w:hAnsi="Arial" w:cs="Arial"/>
        </w:rPr>
        <w:t>1 March 2020)</w:t>
      </w:r>
      <w:r w:rsidR="00F613B7" w:rsidRPr="00BA080F">
        <w:rPr>
          <w:rFonts w:ascii="Arial" w:hAnsi="Arial" w:cs="Arial"/>
        </w:rPr>
        <w:t xml:space="preserve"> as</w:t>
      </w:r>
      <w:r w:rsidRPr="00BA080F">
        <w:rPr>
          <w:rFonts w:ascii="Arial" w:hAnsi="Arial" w:cs="Arial"/>
        </w:rPr>
        <w:t xml:space="preserve"> part of its strategy for funding previous years’ capital programmes.  </w:t>
      </w:r>
      <w:r w:rsidR="00F613B7" w:rsidRPr="00BA080F">
        <w:rPr>
          <w:rFonts w:ascii="Arial" w:hAnsi="Arial" w:cs="Arial"/>
        </w:rPr>
        <w:t xml:space="preserve">The year-end treasury management borrowing position and year-on-year change </w:t>
      </w:r>
      <w:r w:rsidR="00BA080F" w:rsidRPr="00BA080F">
        <w:rPr>
          <w:rFonts w:ascii="Arial" w:hAnsi="Arial" w:cs="Arial"/>
        </w:rPr>
        <w:t>are summarised</w:t>
      </w:r>
      <w:r w:rsidR="00F613B7" w:rsidRPr="00BA080F">
        <w:rPr>
          <w:rFonts w:ascii="Arial" w:hAnsi="Arial" w:cs="Arial"/>
        </w:rPr>
        <w:t xml:space="preserve"> in Table </w:t>
      </w:r>
      <w:r w:rsidR="00C13431" w:rsidRPr="00BA080F">
        <w:rPr>
          <w:rFonts w:ascii="Arial" w:hAnsi="Arial" w:cs="Arial"/>
        </w:rPr>
        <w:t>3.</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 Borrowing position"/>
      </w:tblPr>
      <w:tblGrid>
        <w:gridCol w:w="2943"/>
        <w:gridCol w:w="1417"/>
        <w:gridCol w:w="1417"/>
        <w:gridCol w:w="1417"/>
        <w:gridCol w:w="1417"/>
        <w:gridCol w:w="1417"/>
      </w:tblGrid>
      <w:tr w:rsidR="006B2E57" w:rsidRPr="007F4276" w14:paraId="09565C8F" w14:textId="77777777" w:rsidTr="003A22A3">
        <w:trPr>
          <w:tblHeader/>
        </w:trPr>
        <w:tc>
          <w:tcPr>
            <w:tcW w:w="2943" w:type="dxa"/>
            <w:tcBorders>
              <w:top w:val="single" w:sz="4" w:space="0" w:color="auto"/>
            </w:tcBorders>
            <w:shd w:val="clear" w:color="auto" w:fill="auto"/>
          </w:tcPr>
          <w:p w14:paraId="0B529EB3" w14:textId="348DF5C4" w:rsidR="006B2E57" w:rsidRPr="007F4276" w:rsidRDefault="007F4276" w:rsidP="006B2E57">
            <w:pPr>
              <w:pStyle w:val="ListParagraph"/>
              <w:ind w:left="0"/>
              <w:rPr>
                <w:rFonts w:ascii="Arial" w:hAnsi="Arial" w:cs="Arial"/>
                <w:b/>
                <w:bCs/>
              </w:rPr>
            </w:pPr>
            <w:r w:rsidRPr="007F4276">
              <w:rPr>
                <w:rFonts w:ascii="Arial" w:hAnsi="Arial" w:cs="Arial"/>
                <w:b/>
                <w:bCs/>
              </w:rPr>
              <w:t>Table 3: Borrowing position</w:t>
            </w:r>
          </w:p>
        </w:tc>
        <w:tc>
          <w:tcPr>
            <w:tcW w:w="1417" w:type="dxa"/>
            <w:tcBorders>
              <w:top w:val="single" w:sz="4" w:space="0" w:color="auto"/>
            </w:tcBorders>
            <w:shd w:val="clear" w:color="auto" w:fill="auto"/>
            <w:vAlign w:val="bottom"/>
          </w:tcPr>
          <w:p w14:paraId="7B9EDFE9" w14:textId="024762F5" w:rsidR="006B2E57" w:rsidRPr="007F4276" w:rsidRDefault="006B2E57" w:rsidP="006B2E57">
            <w:pPr>
              <w:pStyle w:val="ListParagraph"/>
              <w:ind w:left="0"/>
              <w:jc w:val="right"/>
              <w:rPr>
                <w:rFonts w:ascii="Arial" w:hAnsi="Arial" w:cs="Arial"/>
                <w:b/>
                <w:bCs/>
              </w:rPr>
            </w:pPr>
            <w:r w:rsidRPr="007F4276">
              <w:rPr>
                <w:rFonts w:ascii="Arial" w:hAnsi="Arial" w:cs="Arial"/>
                <w:b/>
                <w:bCs/>
              </w:rPr>
              <w:t>31/03/20</w:t>
            </w:r>
            <w:r w:rsidRPr="007F4276">
              <w:rPr>
                <w:rFonts w:ascii="Arial" w:hAnsi="Arial" w:cs="Arial"/>
                <w:b/>
                <w:bCs/>
              </w:rPr>
              <w:br/>
              <w:t>Balance</w:t>
            </w:r>
            <w:r w:rsidR="007F4276" w:rsidRPr="007F4276">
              <w:rPr>
                <w:rFonts w:ascii="Arial" w:hAnsi="Arial" w:cs="Arial"/>
                <w:b/>
                <w:bCs/>
              </w:rPr>
              <w:br/>
            </w:r>
            <w:r w:rsidR="007F4276" w:rsidRPr="007F4276">
              <w:rPr>
                <w:rFonts w:ascii="Arial" w:hAnsi="Arial" w:cs="Arial"/>
                <w:b/>
                <w:bCs/>
              </w:rPr>
              <w:br/>
            </w:r>
            <w:r w:rsidRPr="007F4276">
              <w:rPr>
                <w:rFonts w:ascii="Arial" w:hAnsi="Arial" w:cs="Arial"/>
                <w:b/>
                <w:bCs/>
              </w:rPr>
              <w:br/>
              <w:t>£m</w:t>
            </w:r>
          </w:p>
        </w:tc>
        <w:tc>
          <w:tcPr>
            <w:tcW w:w="1417" w:type="dxa"/>
            <w:tcBorders>
              <w:top w:val="single" w:sz="4" w:space="0" w:color="auto"/>
            </w:tcBorders>
            <w:shd w:val="clear" w:color="auto" w:fill="auto"/>
            <w:vAlign w:val="bottom"/>
          </w:tcPr>
          <w:p w14:paraId="1900F844" w14:textId="6BF2C2D7" w:rsidR="006B2E57" w:rsidRPr="007F4276" w:rsidRDefault="00AE2F51" w:rsidP="006B2E57">
            <w:pPr>
              <w:pStyle w:val="ListParagraph"/>
              <w:ind w:left="0"/>
              <w:jc w:val="right"/>
              <w:rPr>
                <w:rFonts w:ascii="Arial" w:hAnsi="Arial" w:cs="Arial"/>
                <w:b/>
                <w:bCs/>
              </w:rPr>
            </w:pPr>
            <w:r w:rsidRPr="007F4276">
              <w:rPr>
                <w:rFonts w:ascii="Arial" w:hAnsi="Arial" w:cs="Arial"/>
                <w:b/>
                <w:bCs/>
              </w:rPr>
              <w:t>Net m</w:t>
            </w:r>
            <w:r w:rsidR="006B2E57" w:rsidRPr="007F4276">
              <w:rPr>
                <w:rFonts w:ascii="Arial" w:hAnsi="Arial" w:cs="Arial"/>
                <w:b/>
                <w:bCs/>
              </w:rPr>
              <w:t>ovement</w:t>
            </w:r>
            <w:r w:rsidR="007F4276" w:rsidRPr="007F4276">
              <w:rPr>
                <w:rFonts w:ascii="Arial" w:hAnsi="Arial" w:cs="Arial"/>
                <w:b/>
                <w:bCs/>
              </w:rPr>
              <w:br/>
            </w:r>
            <w:r w:rsidR="007F4276" w:rsidRPr="007F4276">
              <w:rPr>
                <w:rFonts w:ascii="Arial" w:hAnsi="Arial" w:cs="Arial"/>
                <w:b/>
                <w:bCs/>
              </w:rPr>
              <w:br/>
            </w:r>
            <w:r w:rsidR="006B2E57" w:rsidRPr="007F4276">
              <w:rPr>
                <w:rFonts w:ascii="Arial" w:hAnsi="Arial" w:cs="Arial"/>
                <w:b/>
                <w:bCs/>
              </w:rPr>
              <w:br/>
              <w:t>£m</w:t>
            </w:r>
          </w:p>
        </w:tc>
        <w:tc>
          <w:tcPr>
            <w:tcW w:w="1417" w:type="dxa"/>
            <w:tcBorders>
              <w:top w:val="single" w:sz="4" w:space="0" w:color="auto"/>
            </w:tcBorders>
            <w:shd w:val="clear" w:color="auto" w:fill="auto"/>
            <w:vAlign w:val="bottom"/>
          </w:tcPr>
          <w:p w14:paraId="5540FDAD" w14:textId="67796FBA" w:rsidR="006B2E57" w:rsidRPr="007F4276" w:rsidRDefault="006B2E57" w:rsidP="006B2E57">
            <w:pPr>
              <w:pStyle w:val="ListParagraph"/>
              <w:ind w:left="0"/>
              <w:jc w:val="right"/>
              <w:rPr>
                <w:rFonts w:ascii="Arial" w:hAnsi="Arial" w:cs="Arial"/>
                <w:b/>
                <w:bCs/>
              </w:rPr>
            </w:pPr>
            <w:r w:rsidRPr="007F4276">
              <w:rPr>
                <w:rFonts w:ascii="Arial" w:hAnsi="Arial" w:cs="Arial"/>
                <w:b/>
                <w:bCs/>
              </w:rPr>
              <w:t>31/03/21</w:t>
            </w:r>
            <w:r w:rsidRPr="007F4276">
              <w:rPr>
                <w:rFonts w:ascii="Arial" w:hAnsi="Arial" w:cs="Arial"/>
                <w:b/>
                <w:bCs/>
              </w:rPr>
              <w:br/>
              <w:t>Balance</w:t>
            </w:r>
            <w:r w:rsidR="007F4276" w:rsidRPr="007F4276">
              <w:rPr>
                <w:rFonts w:ascii="Arial" w:hAnsi="Arial" w:cs="Arial"/>
                <w:b/>
                <w:bCs/>
              </w:rPr>
              <w:br/>
            </w:r>
            <w:r w:rsidR="007F4276" w:rsidRPr="007F4276">
              <w:rPr>
                <w:rFonts w:ascii="Arial" w:hAnsi="Arial" w:cs="Arial"/>
                <w:b/>
                <w:bCs/>
              </w:rPr>
              <w:br/>
            </w:r>
            <w:r w:rsidRPr="007F4276">
              <w:rPr>
                <w:rFonts w:ascii="Arial" w:hAnsi="Arial" w:cs="Arial"/>
                <w:b/>
                <w:bCs/>
              </w:rPr>
              <w:br/>
              <w:t>£m</w:t>
            </w:r>
          </w:p>
        </w:tc>
        <w:tc>
          <w:tcPr>
            <w:tcW w:w="1417" w:type="dxa"/>
            <w:tcBorders>
              <w:top w:val="single" w:sz="4" w:space="0" w:color="auto"/>
            </w:tcBorders>
            <w:shd w:val="clear" w:color="auto" w:fill="auto"/>
            <w:vAlign w:val="bottom"/>
          </w:tcPr>
          <w:p w14:paraId="3950BFCC" w14:textId="3D9273BE" w:rsidR="006B2E57" w:rsidRPr="007F4276" w:rsidRDefault="006B2E57" w:rsidP="006B2E57">
            <w:pPr>
              <w:pStyle w:val="ListParagraph"/>
              <w:ind w:left="0"/>
              <w:jc w:val="right"/>
              <w:rPr>
                <w:rFonts w:ascii="Arial" w:hAnsi="Arial" w:cs="Arial"/>
                <w:b/>
                <w:bCs/>
              </w:rPr>
            </w:pPr>
            <w:r w:rsidRPr="007F4276">
              <w:rPr>
                <w:rFonts w:ascii="Arial" w:hAnsi="Arial" w:cs="Arial"/>
                <w:b/>
                <w:bCs/>
              </w:rPr>
              <w:t>31/03/21</w:t>
            </w:r>
            <w:r w:rsidRPr="007F4276">
              <w:rPr>
                <w:rFonts w:ascii="Arial" w:hAnsi="Arial" w:cs="Arial"/>
                <w:b/>
                <w:bCs/>
              </w:rPr>
              <w:br/>
            </w:r>
            <w:r w:rsidR="007F4062" w:rsidRPr="007F4276">
              <w:rPr>
                <w:rFonts w:ascii="Arial" w:hAnsi="Arial" w:cs="Arial"/>
                <w:b/>
                <w:bCs/>
              </w:rPr>
              <w:t>Weighted average r</w:t>
            </w:r>
            <w:r w:rsidRPr="007F4276">
              <w:rPr>
                <w:rFonts w:ascii="Arial" w:hAnsi="Arial" w:cs="Arial"/>
                <w:b/>
                <w:bCs/>
              </w:rPr>
              <w:t>ate</w:t>
            </w:r>
            <w:r w:rsidRPr="007F4276">
              <w:rPr>
                <w:rFonts w:ascii="Arial" w:hAnsi="Arial" w:cs="Arial"/>
                <w:b/>
                <w:bCs/>
              </w:rPr>
              <w:br/>
              <w:t>%</w:t>
            </w:r>
          </w:p>
        </w:tc>
        <w:tc>
          <w:tcPr>
            <w:tcW w:w="1417" w:type="dxa"/>
            <w:tcBorders>
              <w:top w:val="single" w:sz="4" w:space="0" w:color="auto"/>
            </w:tcBorders>
            <w:shd w:val="clear" w:color="auto" w:fill="auto"/>
            <w:vAlign w:val="bottom"/>
          </w:tcPr>
          <w:p w14:paraId="69DAC8CD" w14:textId="5164D5EB" w:rsidR="006B2E57" w:rsidRPr="007F4276" w:rsidRDefault="006B2E57" w:rsidP="006B2E57">
            <w:pPr>
              <w:pStyle w:val="ListParagraph"/>
              <w:ind w:left="0"/>
              <w:jc w:val="right"/>
              <w:rPr>
                <w:rFonts w:ascii="Arial" w:hAnsi="Arial" w:cs="Arial"/>
                <w:b/>
                <w:bCs/>
              </w:rPr>
            </w:pPr>
            <w:r w:rsidRPr="007F4276">
              <w:rPr>
                <w:rFonts w:ascii="Arial" w:hAnsi="Arial" w:cs="Arial"/>
                <w:b/>
                <w:bCs/>
              </w:rPr>
              <w:t>31/03/2</w:t>
            </w:r>
            <w:r w:rsidR="001D128A" w:rsidRPr="007F4276">
              <w:rPr>
                <w:rFonts w:ascii="Arial" w:hAnsi="Arial" w:cs="Arial"/>
                <w:b/>
                <w:bCs/>
              </w:rPr>
              <w:t>1</w:t>
            </w:r>
            <w:r w:rsidRPr="007F4276">
              <w:rPr>
                <w:rFonts w:ascii="Arial" w:hAnsi="Arial" w:cs="Arial"/>
                <w:b/>
                <w:bCs/>
              </w:rPr>
              <w:br/>
              <w:t>W</w:t>
            </w:r>
            <w:r w:rsidR="007F4062" w:rsidRPr="007F4276">
              <w:rPr>
                <w:rFonts w:ascii="Arial" w:hAnsi="Arial" w:cs="Arial"/>
                <w:b/>
                <w:bCs/>
              </w:rPr>
              <w:t>eighted average maturity</w:t>
            </w:r>
            <w:r w:rsidRPr="007F4276">
              <w:rPr>
                <w:rFonts w:ascii="Arial" w:hAnsi="Arial" w:cs="Arial"/>
                <w:b/>
                <w:bCs/>
              </w:rPr>
              <w:br/>
            </w:r>
            <w:r w:rsidR="00E139C4" w:rsidRPr="007F4276">
              <w:rPr>
                <w:rFonts w:ascii="Arial" w:hAnsi="Arial" w:cs="Arial"/>
                <w:b/>
                <w:bCs/>
              </w:rPr>
              <w:t>(</w:t>
            </w:r>
            <w:r w:rsidRPr="007F4276">
              <w:rPr>
                <w:rFonts w:ascii="Arial" w:hAnsi="Arial" w:cs="Arial"/>
                <w:b/>
                <w:bCs/>
              </w:rPr>
              <w:t>years</w:t>
            </w:r>
            <w:r w:rsidR="00E139C4" w:rsidRPr="007F4276">
              <w:rPr>
                <w:rFonts w:ascii="Arial" w:hAnsi="Arial" w:cs="Arial"/>
                <w:b/>
                <w:bCs/>
              </w:rPr>
              <w:t>)</w:t>
            </w:r>
          </w:p>
        </w:tc>
      </w:tr>
      <w:tr w:rsidR="006B2E57" w:rsidRPr="001D128A" w14:paraId="30FD57D4" w14:textId="77777777" w:rsidTr="003C3808">
        <w:tc>
          <w:tcPr>
            <w:tcW w:w="2943" w:type="dxa"/>
            <w:shd w:val="clear" w:color="auto" w:fill="auto"/>
          </w:tcPr>
          <w:p w14:paraId="512985A2" w14:textId="77777777" w:rsidR="006B2E57" w:rsidRPr="001D128A" w:rsidRDefault="006B2E57" w:rsidP="006B2E57">
            <w:pPr>
              <w:pStyle w:val="ListParagraph"/>
              <w:ind w:left="0"/>
              <w:rPr>
                <w:rFonts w:ascii="Arial" w:hAnsi="Arial" w:cs="Arial"/>
              </w:rPr>
            </w:pPr>
            <w:r w:rsidRPr="001D128A">
              <w:rPr>
                <w:rFonts w:ascii="Arial" w:hAnsi="Arial" w:cs="Arial"/>
              </w:rPr>
              <w:t>Public Works Loan Board</w:t>
            </w:r>
          </w:p>
        </w:tc>
        <w:tc>
          <w:tcPr>
            <w:tcW w:w="1417" w:type="dxa"/>
            <w:shd w:val="clear" w:color="auto" w:fill="auto"/>
            <w:vAlign w:val="center"/>
          </w:tcPr>
          <w:p w14:paraId="40F86DB8" w14:textId="0F031393" w:rsidR="006B2E57" w:rsidRPr="001D128A" w:rsidRDefault="006B2E57" w:rsidP="006B2E57">
            <w:pPr>
              <w:pStyle w:val="ListParagraph"/>
              <w:ind w:left="0"/>
              <w:jc w:val="right"/>
              <w:rPr>
                <w:rFonts w:ascii="Arial" w:hAnsi="Arial" w:cs="Arial"/>
              </w:rPr>
            </w:pPr>
            <w:r w:rsidRPr="001D128A">
              <w:rPr>
                <w:rFonts w:ascii="Arial" w:hAnsi="Arial" w:cs="Arial"/>
              </w:rPr>
              <w:t>(30.45)</w:t>
            </w:r>
          </w:p>
        </w:tc>
        <w:tc>
          <w:tcPr>
            <w:tcW w:w="1417" w:type="dxa"/>
            <w:shd w:val="clear" w:color="auto" w:fill="auto"/>
            <w:vAlign w:val="center"/>
          </w:tcPr>
          <w:p w14:paraId="15960BD4" w14:textId="59ADE859" w:rsidR="006B2E57" w:rsidRPr="001D128A" w:rsidRDefault="006B2E57" w:rsidP="006B2E57">
            <w:pPr>
              <w:pStyle w:val="ListParagraph"/>
              <w:ind w:left="0"/>
              <w:jc w:val="right"/>
              <w:rPr>
                <w:rFonts w:ascii="Arial" w:hAnsi="Arial" w:cs="Arial"/>
              </w:rPr>
            </w:pPr>
            <w:r w:rsidRPr="001D128A">
              <w:rPr>
                <w:rFonts w:ascii="Arial" w:hAnsi="Arial" w:cs="Arial"/>
              </w:rPr>
              <w:t>0.50</w:t>
            </w:r>
          </w:p>
        </w:tc>
        <w:tc>
          <w:tcPr>
            <w:tcW w:w="1417" w:type="dxa"/>
            <w:shd w:val="clear" w:color="auto" w:fill="auto"/>
            <w:vAlign w:val="center"/>
          </w:tcPr>
          <w:p w14:paraId="385091A4" w14:textId="3390C697" w:rsidR="006B2E57" w:rsidRPr="001D128A" w:rsidRDefault="006B2E57" w:rsidP="006B2E57">
            <w:pPr>
              <w:pStyle w:val="ListParagraph"/>
              <w:ind w:left="0"/>
              <w:jc w:val="right"/>
              <w:rPr>
                <w:rFonts w:ascii="Arial" w:hAnsi="Arial" w:cs="Arial"/>
              </w:rPr>
            </w:pPr>
            <w:r w:rsidRPr="001D128A">
              <w:rPr>
                <w:rFonts w:ascii="Arial" w:hAnsi="Arial" w:cs="Arial"/>
              </w:rPr>
              <w:t>(29.95)</w:t>
            </w:r>
          </w:p>
        </w:tc>
        <w:tc>
          <w:tcPr>
            <w:tcW w:w="1417" w:type="dxa"/>
            <w:shd w:val="clear" w:color="auto" w:fill="auto"/>
            <w:vAlign w:val="center"/>
          </w:tcPr>
          <w:p w14:paraId="05F02150" w14:textId="59EA14BC" w:rsidR="006B2E57" w:rsidRPr="001D128A" w:rsidRDefault="006B2E57" w:rsidP="006B2E57">
            <w:pPr>
              <w:pStyle w:val="ListParagraph"/>
              <w:ind w:left="0"/>
              <w:jc w:val="right"/>
              <w:rPr>
                <w:rFonts w:ascii="Arial" w:hAnsi="Arial" w:cs="Arial"/>
              </w:rPr>
            </w:pPr>
            <w:r w:rsidRPr="001D128A">
              <w:rPr>
                <w:rFonts w:ascii="Arial" w:hAnsi="Arial" w:cs="Arial"/>
              </w:rPr>
              <w:t>4.2</w:t>
            </w:r>
            <w:r w:rsidR="001D128A" w:rsidRPr="001D128A">
              <w:rPr>
                <w:rFonts w:ascii="Arial" w:hAnsi="Arial" w:cs="Arial"/>
              </w:rPr>
              <w:t>8</w:t>
            </w:r>
          </w:p>
        </w:tc>
        <w:tc>
          <w:tcPr>
            <w:tcW w:w="1417" w:type="dxa"/>
            <w:shd w:val="clear" w:color="auto" w:fill="auto"/>
            <w:vAlign w:val="center"/>
          </w:tcPr>
          <w:p w14:paraId="683AC0A5" w14:textId="20B6F974" w:rsidR="006B2E57" w:rsidRPr="001D128A" w:rsidRDefault="006B2E57" w:rsidP="006B2E57">
            <w:pPr>
              <w:pStyle w:val="ListParagraph"/>
              <w:ind w:left="0"/>
              <w:jc w:val="right"/>
              <w:rPr>
                <w:rFonts w:ascii="Arial" w:hAnsi="Arial" w:cs="Arial"/>
              </w:rPr>
            </w:pPr>
            <w:r w:rsidRPr="001D128A">
              <w:rPr>
                <w:rFonts w:ascii="Arial" w:hAnsi="Arial" w:cs="Arial"/>
              </w:rPr>
              <w:t>1</w:t>
            </w:r>
            <w:r w:rsidR="001D128A" w:rsidRPr="001D128A">
              <w:rPr>
                <w:rFonts w:ascii="Arial" w:hAnsi="Arial" w:cs="Arial"/>
              </w:rPr>
              <w:t>3.29</w:t>
            </w:r>
          </w:p>
        </w:tc>
      </w:tr>
      <w:tr w:rsidR="006B2E57" w:rsidRPr="007F4276" w14:paraId="5C6E2AC5" w14:textId="77777777" w:rsidTr="003C3808">
        <w:tc>
          <w:tcPr>
            <w:tcW w:w="2943" w:type="dxa"/>
            <w:shd w:val="clear" w:color="auto" w:fill="auto"/>
          </w:tcPr>
          <w:p w14:paraId="021F2A59" w14:textId="77777777" w:rsidR="006B2E57" w:rsidRPr="007F4276" w:rsidRDefault="006B2E57" w:rsidP="006B2E57">
            <w:pPr>
              <w:pStyle w:val="ListParagraph"/>
              <w:ind w:left="0"/>
              <w:rPr>
                <w:rFonts w:ascii="Arial" w:hAnsi="Arial" w:cs="Arial"/>
                <w:b/>
                <w:bCs/>
              </w:rPr>
            </w:pPr>
            <w:r w:rsidRPr="007F4276">
              <w:rPr>
                <w:rFonts w:ascii="Arial" w:hAnsi="Arial" w:cs="Arial"/>
                <w:b/>
                <w:bCs/>
              </w:rPr>
              <w:t>Total borrowing</w:t>
            </w:r>
          </w:p>
        </w:tc>
        <w:tc>
          <w:tcPr>
            <w:tcW w:w="1417" w:type="dxa"/>
            <w:shd w:val="clear" w:color="auto" w:fill="auto"/>
            <w:vAlign w:val="center"/>
          </w:tcPr>
          <w:p w14:paraId="00A85301" w14:textId="0412A0C2" w:rsidR="006B2E57" w:rsidRPr="007F4276" w:rsidRDefault="006B2E57" w:rsidP="006B2E57">
            <w:pPr>
              <w:pStyle w:val="ListParagraph"/>
              <w:ind w:left="0"/>
              <w:jc w:val="right"/>
              <w:rPr>
                <w:rFonts w:ascii="Arial" w:hAnsi="Arial" w:cs="Arial"/>
                <w:b/>
                <w:bCs/>
              </w:rPr>
            </w:pPr>
            <w:r w:rsidRPr="007F4276">
              <w:rPr>
                <w:rFonts w:ascii="Arial" w:hAnsi="Arial" w:cs="Arial"/>
                <w:b/>
                <w:bCs/>
              </w:rPr>
              <w:t>(30.45)</w:t>
            </w:r>
          </w:p>
        </w:tc>
        <w:tc>
          <w:tcPr>
            <w:tcW w:w="1417" w:type="dxa"/>
            <w:shd w:val="clear" w:color="auto" w:fill="auto"/>
            <w:vAlign w:val="center"/>
          </w:tcPr>
          <w:p w14:paraId="54850975" w14:textId="7FB78F2C" w:rsidR="006B2E57" w:rsidRPr="007F4276" w:rsidRDefault="006B2E57" w:rsidP="006B2E57">
            <w:pPr>
              <w:pStyle w:val="ListParagraph"/>
              <w:ind w:left="0"/>
              <w:jc w:val="right"/>
              <w:rPr>
                <w:rFonts w:ascii="Arial" w:hAnsi="Arial" w:cs="Arial"/>
                <w:b/>
                <w:bCs/>
              </w:rPr>
            </w:pPr>
            <w:r w:rsidRPr="007F4276">
              <w:rPr>
                <w:rFonts w:ascii="Arial" w:hAnsi="Arial" w:cs="Arial"/>
                <w:b/>
                <w:bCs/>
              </w:rPr>
              <w:t>0.50</w:t>
            </w:r>
          </w:p>
        </w:tc>
        <w:tc>
          <w:tcPr>
            <w:tcW w:w="1417" w:type="dxa"/>
            <w:shd w:val="clear" w:color="auto" w:fill="auto"/>
            <w:vAlign w:val="center"/>
          </w:tcPr>
          <w:p w14:paraId="0EC8B1E8" w14:textId="7BC3EB9E" w:rsidR="006B2E57" w:rsidRPr="007F4276" w:rsidRDefault="006B2E57" w:rsidP="006B2E57">
            <w:pPr>
              <w:pStyle w:val="ListParagraph"/>
              <w:ind w:left="0"/>
              <w:jc w:val="right"/>
              <w:rPr>
                <w:rFonts w:ascii="Arial" w:hAnsi="Arial" w:cs="Arial"/>
                <w:b/>
                <w:bCs/>
              </w:rPr>
            </w:pPr>
            <w:r w:rsidRPr="007F4276">
              <w:rPr>
                <w:rFonts w:ascii="Arial" w:hAnsi="Arial" w:cs="Arial"/>
                <w:b/>
                <w:bCs/>
              </w:rPr>
              <w:t>(29.95)</w:t>
            </w:r>
          </w:p>
        </w:tc>
        <w:tc>
          <w:tcPr>
            <w:tcW w:w="1417" w:type="dxa"/>
            <w:shd w:val="clear" w:color="auto" w:fill="auto"/>
            <w:vAlign w:val="center"/>
          </w:tcPr>
          <w:p w14:paraId="445DC0F0" w14:textId="64EC7813" w:rsidR="006B2E57" w:rsidRPr="007F4276" w:rsidRDefault="006B2E57" w:rsidP="006B2E57">
            <w:pPr>
              <w:pStyle w:val="ListParagraph"/>
              <w:ind w:left="0"/>
              <w:jc w:val="right"/>
              <w:rPr>
                <w:rFonts w:ascii="Arial" w:hAnsi="Arial" w:cs="Arial"/>
                <w:b/>
                <w:bCs/>
              </w:rPr>
            </w:pPr>
            <w:r w:rsidRPr="007F4276">
              <w:rPr>
                <w:rFonts w:ascii="Arial" w:hAnsi="Arial" w:cs="Arial"/>
                <w:b/>
                <w:bCs/>
              </w:rPr>
              <w:t>4.2</w:t>
            </w:r>
            <w:r w:rsidR="001D128A" w:rsidRPr="007F4276">
              <w:rPr>
                <w:rFonts w:ascii="Arial" w:hAnsi="Arial" w:cs="Arial"/>
                <w:b/>
                <w:bCs/>
              </w:rPr>
              <w:t>8</w:t>
            </w:r>
          </w:p>
        </w:tc>
        <w:tc>
          <w:tcPr>
            <w:tcW w:w="1417" w:type="dxa"/>
            <w:shd w:val="clear" w:color="auto" w:fill="auto"/>
            <w:vAlign w:val="center"/>
          </w:tcPr>
          <w:p w14:paraId="5BBF7EBE" w14:textId="7B165B52" w:rsidR="006B2E57" w:rsidRPr="007F4276" w:rsidRDefault="006B2E57" w:rsidP="006B2E57">
            <w:pPr>
              <w:pStyle w:val="ListParagraph"/>
              <w:ind w:left="0"/>
              <w:jc w:val="right"/>
              <w:rPr>
                <w:rFonts w:ascii="Arial" w:hAnsi="Arial" w:cs="Arial"/>
                <w:b/>
                <w:bCs/>
              </w:rPr>
            </w:pPr>
            <w:r w:rsidRPr="007F4276">
              <w:rPr>
                <w:rFonts w:ascii="Arial" w:hAnsi="Arial" w:cs="Arial"/>
                <w:b/>
                <w:bCs/>
              </w:rPr>
              <w:t>1</w:t>
            </w:r>
            <w:r w:rsidR="001D128A" w:rsidRPr="007F4276">
              <w:rPr>
                <w:rFonts w:ascii="Arial" w:hAnsi="Arial" w:cs="Arial"/>
                <w:b/>
                <w:bCs/>
              </w:rPr>
              <w:t>3.29</w:t>
            </w:r>
          </w:p>
        </w:tc>
      </w:tr>
    </w:tbl>
    <w:p w14:paraId="02411744" w14:textId="4DD0F4E0" w:rsidR="00AF2316" w:rsidRPr="00450895" w:rsidRDefault="00AF2316" w:rsidP="00AF2316">
      <w:pPr>
        <w:pStyle w:val="ListParagraph"/>
        <w:spacing w:after="240"/>
        <w:rPr>
          <w:rFonts w:ascii="Arial" w:hAnsi="Arial" w:cs="Arial"/>
          <w:sz w:val="20"/>
          <w:szCs w:val="20"/>
        </w:rPr>
      </w:pPr>
      <w:r w:rsidRPr="00450895">
        <w:rPr>
          <w:rFonts w:ascii="Arial" w:hAnsi="Arial" w:cs="Arial"/>
          <w:sz w:val="20"/>
          <w:szCs w:val="20"/>
        </w:rPr>
        <w:t xml:space="preserve">Note: the figures in </w:t>
      </w:r>
      <w:r w:rsidR="00E139C4" w:rsidRPr="00450895">
        <w:rPr>
          <w:rFonts w:ascii="Arial" w:hAnsi="Arial" w:cs="Arial"/>
          <w:sz w:val="20"/>
          <w:szCs w:val="20"/>
        </w:rPr>
        <w:t>T</w:t>
      </w:r>
      <w:r w:rsidRPr="00450895">
        <w:rPr>
          <w:rFonts w:ascii="Arial" w:hAnsi="Arial" w:cs="Arial"/>
          <w:sz w:val="20"/>
          <w:szCs w:val="20"/>
        </w:rPr>
        <w:t xml:space="preserve">able </w:t>
      </w:r>
      <w:r w:rsidR="00E139C4" w:rsidRPr="00450895">
        <w:rPr>
          <w:rFonts w:ascii="Arial" w:hAnsi="Arial" w:cs="Arial"/>
          <w:sz w:val="20"/>
          <w:szCs w:val="20"/>
        </w:rPr>
        <w:t>3</w:t>
      </w:r>
      <w:r w:rsidRPr="00450895">
        <w:rPr>
          <w:rFonts w:ascii="Arial" w:hAnsi="Arial" w:cs="Arial"/>
          <w:sz w:val="20"/>
          <w:szCs w:val="20"/>
        </w:rPr>
        <w:t xml:space="preserve"> are from the balance sheet in the OPCC’s statement of accou</w:t>
      </w:r>
      <w:r w:rsidR="00E40338" w:rsidRPr="00450895">
        <w:rPr>
          <w:rFonts w:ascii="Arial" w:hAnsi="Arial" w:cs="Arial"/>
          <w:sz w:val="20"/>
          <w:szCs w:val="20"/>
        </w:rPr>
        <w:t>nts but adjusted to exclude</w:t>
      </w:r>
      <w:r w:rsidRPr="00450895">
        <w:rPr>
          <w:rFonts w:ascii="Arial" w:hAnsi="Arial" w:cs="Arial"/>
          <w:sz w:val="20"/>
          <w:szCs w:val="20"/>
        </w:rPr>
        <w:t xml:space="preserve"> accrued interest.</w:t>
      </w:r>
    </w:p>
    <w:p w14:paraId="16264061" w14:textId="4D7B038A" w:rsidR="00F4215F" w:rsidRPr="00450895" w:rsidRDefault="00F4215F" w:rsidP="003C3808">
      <w:pPr>
        <w:pStyle w:val="ListParagraph"/>
        <w:numPr>
          <w:ilvl w:val="1"/>
          <w:numId w:val="2"/>
        </w:numPr>
        <w:spacing w:after="240"/>
        <w:ind w:left="720" w:hanging="720"/>
        <w:rPr>
          <w:rFonts w:ascii="Arial" w:hAnsi="Arial" w:cs="Arial"/>
        </w:rPr>
      </w:pPr>
      <w:r w:rsidRPr="00450895">
        <w:rPr>
          <w:rFonts w:ascii="Arial" w:hAnsi="Arial" w:cs="Arial"/>
        </w:rPr>
        <w:lastRenderedPageBreak/>
        <w:t xml:space="preserve">The </w:t>
      </w:r>
      <w:r w:rsidR="00564BE3" w:rsidRPr="00450895">
        <w:rPr>
          <w:rFonts w:ascii="Arial" w:hAnsi="Arial" w:cs="Arial"/>
        </w:rPr>
        <w:t>OPCC</w:t>
      </w:r>
      <w:r w:rsidRPr="00450895">
        <w:rPr>
          <w:rFonts w:ascii="Arial" w:hAnsi="Arial" w:cs="Arial"/>
        </w:rPr>
        <w:t>’s chief objective when</w:t>
      </w:r>
      <w:r w:rsidR="00AA1EF1" w:rsidRPr="00450895">
        <w:rPr>
          <w:rFonts w:ascii="Arial" w:hAnsi="Arial" w:cs="Arial"/>
        </w:rPr>
        <w:t xml:space="preserve"> considering</w:t>
      </w:r>
      <w:r w:rsidRPr="00450895">
        <w:rPr>
          <w:rFonts w:ascii="Arial" w:hAnsi="Arial" w:cs="Arial"/>
        </w:rPr>
        <w:t xml:space="preserve"> borrowing </w:t>
      </w:r>
      <w:r w:rsidR="00D507B5" w:rsidRPr="00450895">
        <w:rPr>
          <w:rFonts w:ascii="Arial" w:hAnsi="Arial" w:cs="Arial"/>
        </w:rPr>
        <w:t>has been to</w:t>
      </w:r>
      <w:r w:rsidRPr="00450895">
        <w:rPr>
          <w:rFonts w:ascii="Arial" w:hAnsi="Arial" w:cs="Arial"/>
        </w:rPr>
        <w:t xml:space="preserve"> strik</w:t>
      </w:r>
      <w:r w:rsidR="00D507B5" w:rsidRPr="00450895">
        <w:rPr>
          <w:rFonts w:ascii="Arial" w:hAnsi="Arial" w:cs="Arial"/>
        </w:rPr>
        <w:t>e</w:t>
      </w:r>
      <w:r w:rsidRPr="00450895">
        <w:rPr>
          <w:rFonts w:ascii="Arial" w:hAnsi="Arial" w:cs="Arial"/>
        </w:rPr>
        <w:t xml:space="preserve"> an appropriately low risk balance between securing low interest costs and achieving cost certainty over the period for which funds are required</w:t>
      </w:r>
      <w:r w:rsidR="00DC15B7" w:rsidRPr="00450895">
        <w:rPr>
          <w:rFonts w:ascii="Arial" w:hAnsi="Arial" w:cs="Arial"/>
        </w:rPr>
        <w:t>. The</w:t>
      </w:r>
      <w:r w:rsidRPr="00450895">
        <w:rPr>
          <w:rFonts w:ascii="Arial" w:hAnsi="Arial" w:cs="Arial"/>
        </w:rPr>
        <w:t xml:space="preserve"> flexibility to renegotiate loans should the </w:t>
      </w:r>
      <w:r w:rsidR="00564BE3" w:rsidRPr="00450895">
        <w:rPr>
          <w:rFonts w:ascii="Arial" w:hAnsi="Arial" w:cs="Arial"/>
        </w:rPr>
        <w:t>OPCC</w:t>
      </w:r>
      <w:r w:rsidRPr="00450895">
        <w:rPr>
          <w:rFonts w:ascii="Arial" w:hAnsi="Arial" w:cs="Arial"/>
        </w:rPr>
        <w:t xml:space="preserve">’s long-term plans change </w:t>
      </w:r>
      <w:r w:rsidR="00DC15B7" w:rsidRPr="00450895">
        <w:rPr>
          <w:rFonts w:ascii="Arial" w:hAnsi="Arial" w:cs="Arial"/>
        </w:rPr>
        <w:t>is</w:t>
      </w:r>
      <w:r w:rsidR="00E674A1" w:rsidRPr="00450895">
        <w:rPr>
          <w:rFonts w:ascii="Arial" w:hAnsi="Arial" w:cs="Arial"/>
        </w:rPr>
        <w:t xml:space="preserve"> </w:t>
      </w:r>
      <w:r w:rsidRPr="00450895">
        <w:rPr>
          <w:rFonts w:ascii="Arial" w:hAnsi="Arial" w:cs="Arial"/>
        </w:rPr>
        <w:t xml:space="preserve">a secondary objective. </w:t>
      </w:r>
    </w:p>
    <w:p w14:paraId="689A874B" w14:textId="0EA1DDBD" w:rsidR="00DC15B7" w:rsidRPr="0096249E" w:rsidRDefault="00DC15B7" w:rsidP="003C3808">
      <w:pPr>
        <w:pStyle w:val="ListParagraph"/>
        <w:numPr>
          <w:ilvl w:val="1"/>
          <w:numId w:val="2"/>
        </w:numPr>
        <w:spacing w:after="240"/>
        <w:ind w:left="720" w:hanging="720"/>
        <w:rPr>
          <w:rFonts w:ascii="Arial" w:hAnsi="Arial" w:cs="Arial"/>
        </w:rPr>
      </w:pPr>
      <w:r w:rsidRPr="0096249E">
        <w:rPr>
          <w:rFonts w:ascii="Arial" w:hAnsi="Arial" w:cs="Arial"/>
        </w:rPr>
        <w:t xml:space="preserve">Short-term interest rates have remained much lower than long-term rates and the </w:t>
      </w:r>
      <w:r w:rsidR="00AA1EF1" w:rsidRPr="0096249E">
        <w:rPr>
          <w:rFonts w:ascii="Arial" w:hAnsi="Arial" w:cs="Arial"/>
        </w:rPr>
        <w:t>C</w:t>
      </w:r>
      <w:r w:rsidR="008E1B6F" w:rsidRPr="0096249E">
        <w:rPr>
          <w:rFonts w:ascii="Arial" w:hAnsi="Arial" w:cs="Arial"/>
        </w:rPr>
        <w:t xml:space="preserve">hief </w:t>
      </w:r>
      <w:r w:rsidR="00AA1EF1" w:rsidRPr="0096249E">
        <w:rPr>
          <w:rFonts w:ascii="Arial" w:hAnsi="Arial" w:cs="Arial"/>
        </w:rPr>
        <w:t>F</w:t>
      </w:r>
      <w:r w:rsidR="008E1B6F" w:rsidRPr="0096249E">
        <w:rPr>
          <w:rFonts w:ascii="Arial" w:hAnsi="Arial" w:cs="Arial"/>
        </w:rPr>
        <w:t xml:space="preserve">inance </w:t>
      </w:r>
      <w:r w:rsidR="00AA1EF1" w:rsidRPr="0096249E">
        <w:rPr>
          <w:rFonts w:ascii="Arial" w:hAnsi="Arial" w:cs="Arial"/>
        </w:rPr>
        <w:t>O</w:t>
      </w:r>
      <w:r w:rsidR="008E1B6F" w:rsidRPr="0096249E">
        <w:rPr>
          <w:rFonts w:ascii="Arial" w:hAnsi="Arial" w:cs="Arial"/>
        </w:rPr>
        <w:t>fficer</w:t>
      </w:r>
      <w:r w:rsidR="00AA1EF1" w:rsidRPr="0096249E">
        <w:rPr>
          <w:rFonts w:ascii="Arial" w:hAnsi="Arial" w:cs="Arial"/>
        </w:rPr>
        <w:t xml:space="preserve"> for the OPCC</w:t>
      </w:r>
      <w:r w:rsidRPr="0096249E">
        <w:rPr>
          <w:rFonts w:ascii="Arial" w:hAnsi="Arial" w:cs="Arial"/>
        </w:rPr>
        <w:t xml:space="preserve"> has therefore considered it to be more cost effective in the near term to use internal resources than to use additional borrowing</w:t>
      </w:r>
      <w:r w:rsidR="00261118" w:rsidRPr="0096249E">
        <w:rPr>
          <w:rFonts w:ascii="Arial" w:hAnsi="Arial" w:cs="Arial"/>
        </w:rPr>
        <w:t>.</w:t>
      </w:r>
      <w:r w:rsidR="0096249E" w:rsidRPr="0096249E">
        <w:rPr>
          <w:rFonts w:ascii="Arial" w:hAnsi="Arial" w:cs="Arial"/>
        </w:rPr>
        <w:t xml:space="preserve">  In line with this strategy £0.5m of PWLB loans were allowed to mature without refinancing.</w:t>
      </w:r>
    </w:p>
    <w:p w14:paraId="54809751" w14:textId="22CBDCD3" w:rsidR="001F2834" w:rsidRPr="00A403ED" w:rsidRDefault="0096249E" w:rsidP="003C3808">
      <w:pPr>
        <w:pStyle w:val="ListParagraph"/>
        <w:numPr>
          <w:ilvl w:val="1"/>
          <w:numId w:val="2"/>
        </w:numPr>
        <w:spacing w:after="240"/>
        <w:ind w:left="720" w:hanging="720"/>
        <w:rPr>
          <w:rFonts w:ascii="Arial" w:hAnsi="Arial" w:cs="Arial"/>
        </w:rPr>
      </w:pPr>
      <w:r w:rsidRPr="00A403ED">
        <w:rPr>
          <w:rFonts w:ascii="Arial" w:hAnsi="Arial" w:cs="Arial"/>
        </w:rPr>
        <w:t>This borrowing strategy has been monitored w</w:t>
      </w:r>
      <w:r w:rsidR="00DC15B7" w:rsidRPr="00A403ED">
        <w:rPr>
          <w:rFonts w:ascii="Arial" w:hAnsi="Arial" w:cs="Arial"/>
        </w:rPr>
        <w:t xml:space="preserve">ith the assistance of </w:t>
      </w:r>
      <w:proofErr w:type="spellStart"/>
      <w:r w:rsidR="00DC15B7" w:rsidRPr="00A403ED">
        <w:rPr>
          <w:rFonts w:ascii="Arial" w:hAnsi="Arial" w:cs="Arial"/>
        </w:rPr>
        <w:t>Arlingclose</w:t>
      </w:r>
      <w:proofErr w:type="spellEnd"/>
      <w:r w:rsidRPr="00A403ED">
        <w:rPr>
          <w:rFonts w:ascii="Arial" w:hAnsi="Arial" w:cs="Arial"/>
        </w:rPr>
        <w:t xml:space="preserve"> and has enabled the OPCC to reduce</w:t>
      </w:r>
      <w:r w:rsidR="00A403ED" w:rsidRPr="00A403ED">
        <w:rPr>
          <w:rFonts w:ascii="Arial" w:hAnsi="Arial" w:cs="Arial"/>
        </w:rPr>
        <w:t xml:space="preserve"> net</w:t>
      </w:r>
      <w:r w:rsidR="00DC15B7" w:rsidRPr="00A403ED">
        <w:rPr>
          <w:rFonts w:ascii="Arial" w:hAnsi="Arial" w:cs="Arial"/>
        </w:rPr>
        <w:t xml:space="preserve"> borrowing </w:t>
      </w:r>
      <w:r w:rsidR="00A403ED" w:rsidRPr="00A403ED">
        <w:rPr>
          <w:rFonts w:ascii="Arial" w:hAnsi="Arial" w:cs="Arial"/>
        </w:rPr>
        <w:t>costs (despite foregone investment income) and reduce overall treasury risk.</w:t>
      </w:r>
    </w:p>
    <w:p w14:paraId="0E37D798" w14:textId="0017B26C" w:rsidR="00EE5D37" w:rsidRPr="00A403ED" w:rsidRDefault="004E2640" w:rsidP="00EE395D">
      <w:pPr>
        <w:pStyle w:val="Heading5"/>
      </w:pPr>
      <w:r w:rsidRPr="00A403ED">
        <w:t xml:space="preserve">Treasury </w:t>
      </w:r>
      <w:r w:rsidR="006A2DD0" w:rsidRPr="00A403ED">
        <w:t>Investment Activity</w:t>
      </w:r>
      <w:r w:rsidR="000B6FC0" w:rsidRPr="00A403ED">
        <w:t xml:space="preserve"> </w:t>
      </w:r>
    </w:p>
    <w:p w14:paraId="34C8838B" w14:textId="77777777" w:rsidR="00EE395D" w:rsidRPr="00EE395D" w:rsidRDefault="00EE395D" w:rsidP="00EE395D">
      <w:pPr>
        <w:pStyle w:val="ListParagraph"/>
        <w:numPr>
          <w:ilvl w:val="0"/>
          <w:numId w:val="2"/>
        </w:numPr>
        <w:spacing w:after="240"/>
        <w:rPr>
          <w:rFonts w:ascii="Arial" w:hAnsi="Arial" w:cs="Arial"/>
          <w:vanish/>
        </w:rPr>
      </w:pPr>
    </w:p>
    <w:p w14:paraId="0F569759" w14:textId="18BD6496" w:rsidR="00BF6A81" w:rsidRPr="003319A0" w:rsidRDefault="00BF6A81" w:rsidP="00EE395D">
      <w:pPr>
        <w:pStyle w:val="ListParagraph"/>
        <w:numPr>
          <w:ilvl w:val="1"/>
          <w:numId w:val="2"/>
        </w:numPr>
        <w:spacing w:after="240"/>
        <w:ind w:left="709" w:hanging="709"/>
        <w:rPr>
          <w:rFonts w:ascii="Arial" w:hAnsi="Arial" w:cs="Arial"/>
        </w:rPr>
      </w:pPr>
      <w:r w:rsidRPr="003319A0">
        <w:rPr>
          <w:rFonts w:ascii="Arial" w:hAnsi="Arial" w:cs="Arial"/>
        </w:rPr>
        <w:t xml:space="preserve">The </w:t>
      </w:r>
      <w:r w:rsidR="003E22AA" w:rsidRPr="003319A0">
        <w:rPr>
          <w:rFonts w:ascii="Arial" w:hAnsi="Arial" w:cs="Arial"/>
        </w:rPr>
        <w:t>OPCC</w:t>
      </w:r>
      <w:r w:rsidRPr="003319A0">
        <w:rPr>
          <w:rFonts w:ascii="Arial" w:hAnsi="Arial" w:cs="Arial"/>
        </w:rPr>
        <w:t xml:space="preserve"> </w:t>
      </w:r>
      <w:r w:rsidR="00147C76" w:rsidRPr="003319A0">
        <w:rPr>
          <w:rFonts w:ascii="Arial" w:hAnsi="Arial" w:cs="Arial"/>
        </w:rPr>
        <w:t>h</w:t>
      </w:r>
      <w:r w:rsidR="00AF2316" w:rsidRPr="003319A0">
        <w:rPr>
          <w:rFonts w:ascii="Arial" w:hAnsi="Arial" w:cs="Arial"/>
        </w:rPr>
        <w:t>o</w:t>
      </w:r>
      <w:r w:rsidR="00147C76" w:rsidRPr="003319A0">
        <w:rPr>
          <w:rFonts w:ascii="Arial" w:hAnsi="Arial" w:cs="Arial"/>
        </w:rPr>
        <w:t>ld</w:t>
      </w:r>
      <w:r w:rsidR="00AF2316" w:rsidRPr="003319A0">
        <w:rPr>
          <w:rFonts w:ascii="Arial" w:hAnsi="Arial" w:cs="Arial"/>
        </w:rPr>
        <w:t>s</w:t>
      </w:r>
      <w:r w:rsidR="00147C76" w:rsidRPr="003319A0">
        <w:rPr>
          <w:rFonts w:ascii="Arial" w:hAnsi="Arial" w:cs="Arial"/>
        </w:rPr>
        <w:t xml:space="preserve"> </w:t>
      </w:r>
      <w:r w:rsidRPr="003319A0">
        <w:rPr>
          <w:rFonts w:ascii="Arial" w:hAnsi="Arial" w:cs="Arial"/>
        </w:rPr>
        <w:t xml:space="preserve">invested funds representing income received in advance of expenditure plus balances and reserves held.  </w:t>
      </w:r>
      <w:r w:rsidR="00147C76" w:rsidRPr="003319A0">
        <w:rPr>
          <w:rFonts w:ascii="Arial" w:hAnsi="Arial" w:cs="Arial"/>
        </w:rPr>
        <w:t>D</w:t>
      </w:r>
      <w:r w:rsidRPr="003319A0">
        <w:rPr>
          <w:rFonts w:ascii="Arial" w:hAnsi="Arial" w:cs="Arial"/>
        </w:rPr>
        <w:t xml:space="preserve">uring </w:t>
      </w:r>
      <w:r w:rsidR="001E27FC" w:rsidRPr="003319A0">
        <w:rPr>
          <w:rFonts w:ascii="Arial" w:hAnsi="Arial" w:cs="Arial"/>
        </w:rPr>
        <w:t>the year,</w:t>
      </w:r>
      <w:r w:rsidRPr="003319A0">
        <w:rPr>
          <w:rFonts w:ascii="Arial" w:hAnsi="Arial" w:cs="Arial"/>
        </w:rPr>
        <w:t xml:space="preserve"> the </w:t>
      </w:r>
      <w:r w:rsidR="003E22AA" w:rsidRPr="003319A0">
        <w:rPr>
          <w:rFonts w:ascii="Arial" w:hAnsi="Arial" w:cs="Arial"/>
        </w:rPr>
        <w:t>OPCC</w:t>
      </w:r>
      <w:r w:rsidRPr="003319A0">
        <w:rPr>
          <w:rFonts w:ascii="Arial" w:hAnsi="Arial" w:cs="Arial"/>
        </w:rPr>
        <w:t xml:space="preserve">’s investment balances </w:t>
      </w:r>
      <w:r w:rsidR="00147C76" w:rsidRPr="003319A0">
        <w:rPr>
          <w:rFonts w:ascii="Arial" w:hAnsi="Arial" w:cs="Arial"/>
        </w:rPr>
        <w:t>have</w:t>
      </w:r>
      <w:r w:rsidRPr="003319A0">
        <w:rPr>
          <w:rFonts w:ascii="Arial" w:hAnsi="Arial" w:cs="Arial"/>
        </w:rPr>
        <w:t xml:space="preserve"> range</w:t>
      </w:r>
      <w:r w:rsidR="00147C76" w:rsidRPr="003319A0">
        <w:rPr>
          <w:rFonts w:ascii="Arial" w:hAnsi="Arial" w:cs="Arial"/>
        </w:rPr>
        <w:t>d</w:t>
      </w:r>
      <w:r w:rsidRPr="003319A0">
        <w:rPr>
          <w:rFonts w:ascii="Arial" w:hAnsi="Arial" w:cs="Arial"/>
        </w:rPr>
        <w:t xml:space="preserve"> between £</w:t>
      </w:r>
      <w:r w:rsidR="00467B4E" w:rsidRPr="003319A0">
        <w:rPr>
          <w:rFonts w:ascii="Arial" w:hAnsi="Arial" w:cs="Arial"/>
        </w:rPr>
        <w:t>2</w:t>
      </w:r>
      <w:r w:rsidR="00557FDD" w:rsidRPr="003319A0">
        <w:rPr>
          <w:rFonts w:ascii="Arial" w:hAnsi="Arial" w:cs="Arial"/>
        </w:rPr>
        <w:t>6.9</w:t>
      </w:r>
      <w:r w:rsidR="00280CF9" w:rsidRPr="003319A0">
        <w:rPr>
          <w:rFonts w:ascii="Arial" w:hAnsi="Arial" w:cs="Arial"/>
        </w:rPr>
        <w:t>m</w:t>
      </w:r>
      <w:r w:rsidRPr="003319A0">
        <w:rPr>
          <w:rFonts w:ascii="Arial" w:hAnsi="Arial" w:cs="Arial"/>
        </w:rPr>
        <w:t xml:space="preserve"> and </w:t>
      </w:r>
      <w:r w:rsidR="00C55FD3" w:rsidRPr="003319A0">
        <w:rPr>
          <w:rFonts w:ascii="Arial" w:hAnsi="Arial" w:cs="Arial"/>
        </w:rPr>
        <w:t>£</w:t>
      </w:r>
      <w:r w:rsidR="00DA2E89" w:rsidRPr="003319A0">
        <w:rPr>
          <w:rFonts w:ascii="Arial" w:hAnsi="Arial" w:cs="Arial"/>
        </w:rPr>
        <w:t>10</w:t>
      </w:r>
      <w:r w:rsidR="005D7676" w:rsidRPr="003319A0">
        <w:rPr>
          <w:rFonts w:ascii="Arial" w:hAnsi="Arial" w:cs="Arial"/>
        </w:rPr>
        <w:t>7</w:t>
      </w:r>
      <w:r w:rsidR="0032325D" w:rsidRPr="003319A0">
        <w:rPr>
          <w:rFonts w:ascii="Arial" w:hAnsi="Arial" w:cs="Arial"/>
        </w:rPr>
        <w:t>.9</w:t>
      </w:r>
      <w:r w:rsidR="00280CF9" w:rsidRPr="003319A0">
        <w:rPr>
          <w:rFonts w:ascii="Arial" w:hAnsi="Arial" w:cs="Arial"/>
        </w:rPr>
        <w:t>m</w:t>
      </w:r>
      <w:r w:rsidR="00AF2316" w:rsidRPr="003319A0">
        <w:rPr>
          <w:rFonts w:ascii="Arial" w:hAnsi="Arial" w:cs="Arial"/>
        </w:rPr>
        <w:t xml:space="preserve"> due to timing differences between income and expenditure. </w:t>
      </w:r>
      <w:r w:rsidR="00977971" w:rsidRPr="003319A0">
        <w:rPr>
          <w:rFonts w:ascii="Arial" w:hAnsi="Arial" w:cs="Arial"/>
        </w:rPr>
        <w:t xml:space="preserve"> </w:t>
      </w:r>
      <w:r w:rsidR="00AF2316" w:rsidRPr="003319A0">
        <w:rPr>
          <w:rFonts w:ascii="Arial" w:hAnsi="Arial" w:cs="Arial"/>
        </w:rPr>
        <w:t>The year-end investment positio</w:t>
      </w:r>
      <w:r w:rsidR="00564821" w:rsidRPr="003319A0">
        <w:rPr>
          <w:rFonts w:ascii="Arial" w:hAnsi="Arial" w:cs="Arial"/>
        </w:rPr>
        <w:t>n and the year-on-year change are</w:t>
      </w:r>
      <w:r w:rsidR="00AF2316" w:rsidRPr="003319A0">
        <w:rPr>
          <w:rFonts w:ascii="Arial" w:hAnsi="Arial" w:cs="Arial"/>
        </w:rPr>
        <w:t xml:space="preserve"> shown in Table 4.</w:t>
      </w:r>
      <w:r w:rsidR="006C0E5D" w:rsidRPr="003319A0">
        <w:rPr>
          <w:rFonts w:ascii="Arial" w:hAnsi="Arial" w:cs="Arial"/>
        </w:rPr>
        <w:t xml:space="preserve">  </w:t>
      </w:r>
    </w:p>
    <w:tbl>
      <w:tblPr>
        <w:tblW w:w="10491" w:type="dxa"/>
        <w:tblInd w:w="-318" w:type="dxa"/>
        <w:tblLayout w:type="fixed"/>
        <w:tblLook w:val="0000" w:firstRow="0" w:lastRow="0" w:firstColumn="0" w:lastColumn="0" w:noHBand="0" w:noVBand="0"/>
        <w:tblCaption w:val="Table 4: Treasury investment position"/>
      </w:tblPr>
      <w:tblGrid>
        <w:gridCol w:w="3402"/>
        <w:gridCol w:w="1417"/>
        <w:gridCol w:w="1417"/>
        <w:gridCol w:w="1417"/>
        <w:gridCol w:w="1417"/>
        <w:gridCol w:w="1421"/>
      </w:tblGrid>
      <w:tr w:rsidR="00137D69" w:rsidRPr="00996333" w14:paraId="4B81CD4A" w14:textId="77777777" w:rsidTr="00E77DD8">
        <w:trPr>
          <w:cantSplit/>
          <w:trHeight w:val="254"/>
          <w:tblHeader/>
        </w:trPr>
        <w:tc>
          <w:tcPr>
            <w:tcW w:w="3402" w:type="dxa"/>
            <w:tcBorders>
              <w:top w:val="single" w:sz="4" w:space="0" w:color="auto"/>
              <w:left w:val="single" w:sz="4" w:space="0" w:color="auto"/>
              <w:right w:val="single" w:sz="4" w:space="0" w:color="auto"/>
            </w:tcBorders>
            <w:shd w:val="clear" w:color="auto" w:fill="auto"/>
            <w:noWrap/>
          </w:tcPr>
          <w:p w14:paraId="4A161C8A" w14:textId="0EE77C44" w:rsidR="00137D69" w:rsidRPr="00996333" w:rsidRDefault="007F4276" w:rsidP="007F4276">
            <w:pPr>
              <w:keepNext/>
              <w:spacing w:line="280" w:lineRule="atLeast"/>
              <w:rPr>
                <w:rFonts w:ascii="Arial" w:hAnsi="Arial" w:cs="Arial"/>
                <w:b/>
                <w:bCs/>
                <w:sz w:val="22"/>
                <w:szCs w:val="22"/>
              </w:rPr>
            </w:pPr>
            <w:r w:rsidRPr="00996333">
              <w:rPr>
                <w:rFonts w:ascii="Arial" w:hAnsi="Arial" w:cs="Arial"/>
                <w:b/>
                <w:bCs/>
                <w:szCs w:val="22"/>
              </w:rPr>
              <w:lastRenderedPageBreak/>
              <w:t>Table 4: Treasury investment position</w:t>
            </w:r>
          </w:p>
        </w:tc>
        <w:tc>
          <w:tcPr>
            <w:tcW w:w="1417" w:type="dxa"/>
            <w:tcBorders>
              <w:top w:val="single" w:sz="4" w:space="0" w:color="auto"/>
              <w:left w:val="single" w:sz="4" w:space="0" w:color="auto"/>
              <w:right w:val="single" w:sz="4" w:space="0" w:color="auto"/>
            </w:tcBorders>
            <w:shd w:val="clear" w:color="auto" w:fill="auto"/>
            <w:noWrap/>
          </w:tcPr>
          <w:p w14:paraId="4C78E9D7" w14:textId="77777777" w:rsidR="00137D69" w:rsidRDefault="00137D69" w:rsidP="00095CAC">
            <w:pPr>
              <w:keepNext/>
              <w:jc w:val="right"/>
              <w:rPr>
                <w:rFonts w:ascii="Arial" w:hAnsi="Arial" w:cs="Arial"/>
                <w:b/>
                <w:bCs/>
                <w:sz w:val="22"/>
                <w:szCs w:val="22"/>
              </w:rPr>
            </w:pPr>
            <w:r w:rsidRPr="00996333">
              <w:rPr>
                <w:rFonts w:ascii="Arial" w:hAnsi="Arial" w:cs="Arial"/>
                <w:b/>
                <w:bCs/>
                <w:sz w:val="22"/>
                <w:szCs w:val="22"/>
              </w:rPr>
              <w:t>31/03/20</w:t>
            </w:r>
            <w:r w:rsidR="00871ABD" w:rsidRPr="00996333">
              <w:rPr>
                <w:rFonts w:ascii="Arial" w:hAnsi="Arial" w:cs="Arial"/>
                <w:b/>
                <w:bCs/>
                <w:sz w:val="22"/>
                <w:szCs w:val="22"/>
              </w:rPr>
              <w:t>20</w:t>
            </w:r>
            <w:r w:rsidRPr="00996333">
              <w:rPr>
                <w:rFonts w:ascii="Arial" w:hAnsi="Arial" w:cs="Arial"/>
                <w:b/>
                <w:bCs/>
                <w:sz w:val="22"/>
                <w:szCs w:val="22"/>
              </w:rPr>
              <w:t xml:space="preserve">  </w:t>
            </w:r>
            <w:r w:rsidRPr="00996333">
              <w:rPr>
                <w:rFonts w:ascii="Arial" w:hAnsi="Arial" w:cs="Arial"/>
                <w:b/>
                <w:bCs/>
                <w:sz w:val="22"/>
                <w:szCs w:val="22"/>
              </w:rPr>
              <w:br/>
              <w:t>Balance</w:t>
            </w:r>
          </w:p>
          <w:p w14:paraId="513DF142" w14:textId="77777777" w:rsidR="003A22A3" w:rsidRDefault="003A22A3" w:rsidP="00095CAC">
            <w:pPr>
              <w:keepNext/>
              <w:jc w:val="right"/>
              <w:rPr>
                <w:rFonts w:ascii="Arial" w:hAnsi="Arial" w:cs="Arial"/>
                <w:b/>
                <w:bCs/>
                <w:sz w:val="22"/>
                <w:szCs w:val="22"/>
              </w:rPr>
            </w:pPr>
          </w:p>
          <w:p w14:paraId="265C81FA" w14:textId="77777777" w:rsidR="003A22A3" w:rsidRDefault="003A22A3" w:rsidP="00095CAC">
            <w:pPr>
              <w:keepNext/>
              <w:jc w:val="right"/>
              <w:rPr>
                <w:rFonts w:ascii="Arial" w:hAnsi="Arial" w:cs="Arial"/>
                <w:b/>
                <w:bCs/>
                <w:sz w:val="22"/>
                <w:szCs w:val="22"/>
              </w:rPr>
            </w:pPr>
          </w:p>
          <w:p w14:paraId="4D51A549" w14:textId="45F32CE9" w:rsidR="003A22A3" w:rsidRPr="00996333" w:rsidRDefault="003A22A3" w:rsidP="00095CAC">
            <w:pPr>
              <w:keepNext/>
              <w:jc w:val="right"/>
              <w:rPr>
                <w:rFonts w:ascii="Arial" w:hAnsi="Arial" w:cs="Arial"/>
                <w:b/>
                <w:bCs/>
                <w:sz w:val="22"/>
                <w:szCs w:val="22"/>
              </w:rPr>
            </w:pPr>
            <w:r w:rsidRPr="00996333">
              <w:rPr>
                <w:rFonts w:ascii="Arial" w:hAnsi="Arial" w:cs="Arial"/>
                <w:b/>
                <w:bCs/>
                <w:sz w:val="22"/>
                <w:szCs w:val="22"/>
              </w:rPr>
              <w:t>£m</w:t>
            </w:r>
          </w:p>
        </w:tc>
        <w:tc>
          <w:tcPr>
            <w:tcW w:w="1417" w:type="dxa"/>
            <w:tcBorders>
              <w:top w:val="single" w:sz="4" w:space="0" w:color="auto"/>
              <w:left w:val="single" w:sz="4" w:space="0" w:color="auto"/>
              <w:right w:val="single" w:sz="4" w:space="0" w:color="auto"/>
            </w:tcBorders>
            <w:shd w:val="clear" w:color="auto" w:fill="auto"/>
          </w:tcPr>
          <w:p w14:paraId="59D008A8" w14:textId="77777777" w:rsidR="00137D69" w:rsidRDefault="00137D69" w:rsidP="00095CAC">
            <w:pPr>
              <w:keepNext/>
              <w:jc w:val="right"/>
              <w:rPr>
                <w:rFonts w:ascii="Arial" w:hAnsi="Arial" w:cs="Arial"/>
                <w:b/>
                <w:bCs/>
                <w:sz w:val="22"/>
                <w:szCs w:val="22"/>
              </w:rPr>
            </w:pPr>
            <w:r w:rsidRPr="00996333">
              <w:rPr>
                <w:rFonts w:ascii="Arial" w:hAnsi="Arial" w:cs="Arial"/>
                <w:b/>
                <w:bCs/>
                <w:sz w:val="22"/>
                <w:szCs w:val="22"/>
              </w:rPr>
              <w:t>Net movement</w:t>
            </w:r>
          </w:p>
          <w:p w14:paraId="32932AFB" w14:textId="77777777" w:rsidR="003A22A3" w:rsidRDefault="003A22A3" w:rsidP="00095CAC">
            <w:pPr>
              <w:keepNext/>
              <w:jc w:val="right"/>
              <w:rPr>
                <w:rFonts w:ascii="Arial" w:hAnsi="Arial" w:cs="Arial"/>
                <w:b/>
                <w:bCs/>
                <w:sz w:val="22"/>
                <w:szCs w:val="22"/>
              </w:rPr>
            </w:pPr>
          </w:p>
          <w:p w14:paraId="2BA94C35" w14:textId="77777777" w:rsidR="003A22A3" w:rsidRDefault="003A22A3" w:rsidP="00095CAC">
            <w:pPr>
              <w:keepNext/>
              <w:jc w:val="right"/>
              <w:rPr>
                <w:rFonts w:ascii="Arial" w:hAnsi="Arial" w:cs="Arial"/>
                <w:b/>
                <w:bCs/>
                <w:sz w:val="22"/>
                <w:szCs w:val="22"/>
              </w:rPr>
            </w:pPr>
          </w:p>
          <w:p w14:paraId="503EC27A" w14:textId="18DD520A" w:rsidR="003A22A3" w:rsidRPr="00996333" w:rsidRDefault="003A22A3" w:rsidP="00095CAC">
            <w:pPr>
              <w:keepNext/>
              <w:jc w:val="right"/>
              <w:rPr>
                <w:rFonts w:ascii="Arial" w:hAnsi="Arial" w:cs="Arial"/>
                <w:b/>
                <w:bCs/>
                <w:sz w:val="22"/>
                <w:szCs w:val="22"/>
              </w:rPr>
            </w:pPr>
            <w:r w:rsidRPr="00996333">
              <w:rPr>
                <w:rFonts w:ascii="Arial" w:hAnsi="Arial" w:cs="Arial"/>
                <w:b/>
                <w:bCs/>
                <w:sz w:val="22"/>
                <w:szCs w:val="22"/>
              </w:rPr>
              <w:t>£m</w:t>
            </w:r>
          </w:p>
        </w:tc>
        <w:tc>
          <w:tcPr>
            <w:tcW w:w="1417" w:type="dxa"/>
            <w:tcBorders>
              <w:top w:val="single" w:sz="4" w:space="0" w:color="auto"/>
              <w:left w:val="single" w:sz="4" w:space="0" w:color="auto"/>
              <w:right w:val="single" w:sz="4" w:space="0" w:color="auto"/>
            </w:tcBorders>
            <w:shd w:val="clear" w:color="auto" w:fill="auto"/>
            <w:noWrap/>
          </w:tcPr>
          <w:p w14:paraId="2FDC0F5A" w14:textId="77777777" w:rsidR="00137D69" w:rsidRDefault="00137D69" w:rsidP="00095CAC">
            <w:pPr>
              <w:keepNext/>
              <w:jc w:val="right"/>
              <w:rPr>
                <w:rFonts w:ascii="Arial" w:hAnsi="Arial" w:cs="Arial"/>
                <w:b/>
                <w:bCs/>
                <w:sz w:val="22"/>
                <w:szCs w:val="22"/>
              </w:rPr>
            </w:pPr>
            <w:r w:rsidRPr="00996333">
              <w:rPr>
                <w:rFonts w:ascii="Arial" w:hAnsi="Arial" w:cs="Arial"/>
                <w:b/>
                <w:bCs/>
                <w:sz w:val="22"/>
                <w:szCs w:val="22"/>
              </w:rPr>
              <w:t>31/03/</w:t>
            </w:r>
            <w:r w:rsidR="00871ABD" w:rsidRPr="00996333">
              <w:rPr>
                <w:rFonts w:ascii="Arial" w:hAnsi="Arial" w:cs="Arial"/>
                <w:b/>
                <w:bCs/>
                <w:sz w:val="22"/>
                <w:szCs w:val="22"/>
              </w:rPr>
              <w:t>20</w:t>
            </w:r>
            <w:r w:rsidRPr="00996333">
              <w:rPr>
                <w:rFonts w:ascii="Arial" w:hAnsi="Arial" w:cs="Arial"/>
                <w:b/>
                <w:bCs/>
                <w:sz w:val="22"/>
                <w:szCs w:val="22"/>
              </w:rPr>
              <w:t>2</w:t>
            </w:r>
            <w:r w:rsidR="00095CAC" w:rsidRPr="00996333">
              <w:rPr>
                <w:rFonts w:ascii="Arial" w:hAnsi="Arial" w:cs="Arial"/>
                <w:b/>
                <w:bCs/>
                <w:sz w:val="22"/>
                <w:szCs w:val="22"/>
              </w:rPr>
              <w:t>1</w:t>
            </w:r>
            <w:r w:rsidRPr="00996333">
              <w:rPr>
                <w:rFonts w:ascii="Arial" w:hAnsi="Arial" w:cs="Arial"/>
                <w:b/>
                <w:bCs/>
                <w:sz w:val="22"/>
                <w:szCs w:val="22"/>
              </w:rPr>
              <w:t xml:space="preserve">  </w:t>
            </w:r>
            <w:r w:rsidRPr="00996333">
              <w:rPr>
                <w:rFonts w:ascii="Arial" w:hAnsi="Arial" w:cs="Arial"/>
                <w:b/>
                <w:bCs/>
                <w:sz w:val="22"/>
                <w:szCs w:val="22"/>
              </w:rPr>
              <w:br/>
              <w:t>Balance</w:t>
            </w:r>
          </w:p>
          <w:p w14:paraId="14DEE626" w14:textId="77777777" w:rsidR="003A22A3" w:rsidRDefault="003A22A3" w:rsidP="00095CAC">
            <w:pPr>
              <w:keepNext/>
              <w:jc w:val="right"/>
              <w:rPr>
                <w:rFonts w:ascii="Arial" w:hAnsi="Arial" w:cs="Arial"/>
                <w:b/>
                <w:bCs/>
                <w:sz w:val="22"/>
                <w:szCs w:val="22"/>
              </w:rPr>
            </w:pPr>
          </w:p>
          <w:p w14:paraId="38640507" w14:textId="77777777" w:rsidR="003A22A3" w:rsidRDefault="003A22A3" w:rsidP="00095CAC">
            <w:pPr>
              <w:keepNext/>
              <w:jc w:val="right"/>
              <w:rPr>
                <w:rFonts w:ascii="Arial" w:hAnsi="Arial" w:cs="Arial"/>
                <w:b/>
                <w:bCs/>
                <w:sz w:val="22"/>
                <w:szCs w:val="22"/>
              </w:rPr>
            </w:pPr>
          </w:p>
          <w:p w14:paraId="12B79DD0" w14:textId="7021B043" w:rsidR="003A22A3" w:rsidRPr="00996333" w:rsidRDefault="003A22A3" w:rsidP="00095CAC">
            <w:pPr>
              <w:keepNext/>
              <w:jc w:val="right"/>
              <w:rPr>
                <w:rFonts w:ascii="Arial" w:hAnsi="Arial" w:cs="Arial"/>
                <w:b/>
                <w:bCs/>
                <w:sz w:val="22"/>
                <w:szCs w:val="22"/>
              </w:rPr>
            </w:pPr>
            <w:r w:rsidRPr="00996333">
              <w:rPr>
                <w:rFonts w:ascii="Arial" w:hAnsi="Arial" w:cs="Arial"/>
                <w:b/>
                <w:bCs/>
                <w:sz w:val="22"/>
                <w:szCs w:val="22"/>
              </w:rPr>
              <w:t>£m</w:t>
            </w:r>
          </w:p>
        </w:tc>
        <w:tc>
          <w:tcPr>
            <w:tcW w:w="1417" w:type="dxa"/>
            <w:tcBorders>
              <w:top w:val="single" w:sz="4" w:space="0" w:color="auto"/>
              <w:left w:val="single" w:sz="4" w:space="0" w:color="auto"/>
              <w:right w:val="single" w:sz="4" w:space="0" w:color="auto"/>
            </w:tcBorders>
            <w:shd w:val="clear" w:color="auto" w:fill="auto"/>
          </w:tcPr>
          <w:p w14:paraId="61A49D54" w14:textId="77777777" w:rsidR="00137D69" w:rsidRDefault="00137D69" w:rsidP="00137D69">
            <w:pPr>
              <w:keepNext/>
              <w:jc w:val="right"/>
              <w:rPr>
                <w:rFonts w:ascii="Arial" w:hAnsi="Arial" w:cs="Arial"/>
                <w:b/>
                <w:bCs/>
                <w:sz w:val="22"/>
                <w:szCs w:val="22"/>
              </w:rPr>
            </w:pPr>
            <w:r w:rsidRPr="00996333">
              <w:rPr>
                <w:rFonts w:ascii="Arial" w:hAnsi="Arial" w:cs="Arial"/>
                <w:b/>
                <w:bCs/>
                <w:sz w:val="22"/>
                <w:szCs w:val="22"/>
              </w:rPr>
              <w:t>31/03/2</w:t>
            </w:r>
            <w:r w:rsidR="00095CAC" w:rsidRPr="00996333">
              <w:rPr>
                <w:rFonts w:ascii="Arial" w:hAnsi="Arial" w:cs="Arial"/>
                <w:b/>
                <w:bCs/>
                <w:sz w:val="22"/>
                <w:szCs w:val="22"/>
              </w:rPr>
              <w:t>1</w:t>
            </w:r>
            <w:r w:rsidR="00095CAC" w:rsidRPr="00996333">
              <w:rPr>
                <w:rFonts w:ascii="Arial" w:hAnsi="Arial" w:cs="Arial"/>
                <w:b/>
                <w:bCs/>
                <w:sz w:val="22"/>
                <w:szCs w:val="22"/>
              </w:rPr>
              <w:br/>
              <w:t>Income retur</w:t>
            </w:r>
            <w:r w:rsidR="003A22A3">
              <w:rPr>
                <w:rFonts w:ascii="Arial" w:hAnsi="Arial" w:cs="Arial"/>
                <w:b/>
                <w:bCs/>
                <w:sz w:val="22"/>
                <w:szCs w:val="22"/>
              </w:rPr>
              <w:t>n</w:t>
            </w:r>
          </w:p>
          <w:p w14:paraId="0F31A8F5" w14:textId="77777777" w:rsidR="003A22A3" w:rsidRDefault="003A22A3" w:rsidP="00137D69">
            <w:pPr>
              <w:keepNext/>
              <w:jc w:val="right"/>
              <w:rPr>
                <w:rFonts w:ascii="Arial" w:hAnsi="Arial" w:cs="Arial"/>
                <w:b/>
                <w:bCs/>
                <w:sz w:val="22"/>
                <w:szCs w:val="22"/>
              </w:rPr>
            </w:pPr>
          </w:p>
          <w:p w14:paraId="292DDFB9" w14:textId="151D2577" w:rsidR="003A22A3" w:rsidRPr="00996333" w:rsidRDefault="003A22A3" w:rsidP="00137D69">
            <w:pPr>
              <w:keepNext/>
              <w:jc w:val="right"/>
              <w:rPr>
                <w:rFonts w:ascii="Arial" w:hAnsi="Arial" w:cs="Arial"/>
                <w:b/>
                <w:bCs/>
                <w:sz w:val="22"/>
                <w:szCs w:val="22"/>
              </w:rPr>
            </w:pPr>
            <w:r>
              <w:rPr>
                <w:rFonts w:ascii="Arial" w:hAnsi="Arial" w:cs="Arial"/>
                <w:b/>
                <w:bCs/>
                <w:sz w:val="22"/>
                <w:szCs w:val="22"/>
              </w:rPr>
              <w:t>%</w:t>
            </w:r>
          </w:p>
        </w:tc>
        <w:tc>
          <w:tcPr>
            <w:tcW w:w="1421" w:type="dxa"/>
            <w:tcBorders>
              <w:top w:val="single" w:sz="4" w:space="0" w:color="auto"/>
              <w:left w:val="single" w:sz="4" w:space="0" w:color="auto"/>
              <w:right w:val="single" w:sz="4" w:space="0" w:color="auto"/>
            </w:tcBorders>
            <w:shd w:val="clear" w:color="auto" w:fill="auto"/>
          </w:tcPr>
          <w:p w14:paraId="4C8C9492" w14:textId="77777777" w:rsidR="00137D69" w:rsidRDefault="00137D69" w:rsidP="00AA6563">
            <w:pPr>
              <w:keepNext/>
              <w:jc w:val="right"/>
              <w:rPr>
                <w:rFonts w:ascii="Arial" w:hAnsi="Arial" w:cs="Arial"/>
                <w:b/>
                <w:bCs/>
                <w:sz w:val="22"/>
                <w:szCs w:val="22"/>
              </w:rPr>
            </w:pPr>
            <w:r w:rsidRPr="00996333">
              <w:rPr>
                <w:rFonts w:ascii="Arial" w:hAnsi="Arial" w:cs="Arial"/>
                <w:b/>
                <w:bCs/>
                <w:sz w:val="22"/>
                <w:szCs w:val="22"/>
              </w:rPr>
              <w:t>31/03/2</w:t>
            </w:r>
            <w:r w:rsidR="00095CAC" w:rsidRPr="00996333">
              <w:rPr>
                <w:rFonts w:ascii="Arial" w:hAnsi="Arial" w:cs="Arial"/>
                <w:b/>
                <w:bCs/>
                <w:sz w:val="22"/>
                <w:szCs w:val="22"/>
              </w:rPr>
              <w:t>1</w:t>
            </w:r>
            <w:r w:rsidRPr="00996333">
              <w:rPr>
                <w:rFonts w:ascii="Arial" w:hAnsi="Arial" w:cs="Arial"/>
                <w:b/>
                <w:bCs/>
                <w:sz w:val="22"/>
                <w:szCs w:val="22"/>
              </w:rPr>
              <w:br/>
              <w:t>W</w:t>
            </w:r>
            <w:r w:rsidR="00095CAC" w:rsidRPr="00996333">
              <w:rPr>
                <w:rFonts w:ascii="Arial" w:hAnsi="Arial" w:cs="Arial"/>
                <w:b/>
                <w:bCs/>
                <w:sz w:val="22"/>
                <w:szCs w:val="22"/>
              </w:rPr>
              <w:t>eighted average maturity</w:t>
            </w:r>
          </w:p>
          <w:p w14:paraId="101D34DD" w14:textId="482C8014" w:rsidR="003A22A3" w:rsidRPr="00996333" w:rsidRDefault="003A22A3" w:rsidP="00AA6563">
            <w:pPr>
              <w:keepNext/>
              <w:jc w:val="right"/>
              <w:rPr>
                <w:rFonts w:ascii="Arial" w:hAnsi="Arial" w:cs="Arial"/>
                <w:b/>
                <w:bCs/>
                <w:sz w:val="22"/>
                <w:szCs w:val="22"/>
              </w:rPr>
            </w:pPr>
            <w:r w:rsidRPr="00996333">
              <w:rPr>
                <w:rFonts w:ascii="Arial" w:hAnsi="Arial" w:cs="Arial"/>
                <w:b/>
                <w:bCs/>
                <w:sz w:val="22"/>
                <w:szCs w:val="22"/>
              </w:rPr>
              <w:t>(years)</w:t>
            </w:r>
          </w:p>
        </w:tc>
      </w:tr>
      <w:tr w:rsidR="00137D69" w:rsidRPr="00996333" w14:paraId="40655D42" w14:textId="77777777" w:rsidTr="00996333">
        <w:trPr>
          <w:cantSplit/>
          <w:trHeight w:val="255"/>
        </w:trPr>
        <w:tc>
          <w:tcPr>
            <w:tcW w:w="3402" w:type="dxa"/>
            <w:tcBorders>
              <w:top w:val="single" w:sz="4" w:space="0" w:color="auto"/>
              <w:left w:val="single" w:sz="4" w:space="0" w:color="auto"/>
              <w:right w:val="single" w:sz="4" w:space="0" w:color="auto"/>
            </w:tcBorders>
            <w:shd w:val="clear" w:color="auto" w:fill="auto"/>
            <w:noWrap/>
            <w:vAlign w:val="bottom"/>
          </w:tcPr>
          <w:p w14:paraId="4DAD62E7" w14:textId="77777777" w:rsidR="00137D69" w:rsidRPr="00996333" w:rsidRDefault="00137D69" w:rsidP="00137D69">
            <w:pPr>
              <w:keepNext/>
              <w:rPr>
                <w:rFonts w:ascii="Arial" w:hAnsi="Arial" w:cs="Arial"/>
                <w:bCs/>
                <w:color w:val="C00000"/>
                <w:sz w:val="22"/>
                <w:szCs w:val="22"/>
              </w:rPr>
            </w:pPr>
            <w:r w:rsidRPr="00996333">
              <w:rPr>
                <w:rFonts w:ascii="Arial" w:hAnsi="Arial" w:cs="Arial"/>
                <w:bCs/>
                <w:sz w:val="22"/>
                <w:szCs w:val="22"/>
              </w:rPr>
              <w:t xml:space="preserve">Short term investments </w:t>
            </w:r>
          </w:p>
        </w:tc>
        <w:tc>
          <w:tcPr>
            <w:tcW w:w="1417" w:type="dxa"/>
            <w:tcBorders>
              <w:top w:val="single" w:sz="4" w:space="0" w:color="auto"/>
              <w:left w:val="single" w:sz="4" w:space="0" w:color="auto"/>
              <w:right w:val="single" w:sz="4" w:space="0" w:color="auto"/>
            </w:tcBorders>
            <w:shd w:val="clear" w:color="auto" w:fill="auto"/>
            <w:noWrap/>
            <w:vAlign w:val="center"/>
          </w:tcPr>
          <w:p w14:paraId="0FB81BA7" w14:textId="77777777" w:rsidR="00137D69" w:rsidRPr="00996333" w:rsidRDefault="00137D69" w:rsidP="00137D69">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shd w:val="clear" w:color="auto" w:fill="auto"/>
            <w:vAlign w:val="center"/>
          </w:tcPr>
          <w:p w14:paraId="25098014" w14:textId="77777777" w:rsidR="00137D69" w:rsidRPr="00996333" w:rsidRDefault="00137D69" w:rsidP="00137D69">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shd w:val="clear" w:color="auto" w:fill="auto"/>
            <w:noWrap/>
            <w:vAlign w:val="center"/>
          </w:tcPr>
          <w:p w14:paraId="788351C2" w14:textId="77777777" w:rsidR="00137D69" w:rsidRPr="00996333" w:rsidRDefault="00137D69" w:rsidP="00137D69">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shd w:val="clear" w:color="auto" w:fill="auto"/>
            <w:vAlign w:val="center"/>
          </w:tcPr>
          <w:p w14:paraId="60E47F27" w14:textId="77777777" w:rsidR="00137D69" w:rsidRPr="00996333" w:rsidRDefault="00137D69" w:rsidP="00137D69">
            <w:pPr>
              <w:keepNext/>
              <w:jc w:val="right"/>
              <w:rPr>
                <w:rFonts w:ascii="Arial" w:hAnsi="Arial" w:cs="Arial"/>
                <w:sz w:val="22"/>
                <w:szCs w:val="22"/>
              </w:rPr>
            </w:pPr>
          </w:p>
        </w:tc>
        <w:tc>
          <w:tcPr>
            <w:tcW w:w="1421" w:type="dxa"/>
            <w:tcBorders>
              <w:top w:val="single" w:sz="4" w:space="0" w:color="auto"/>
              <w:left w:val="single" w:sz="4" w:space="0" w:color="auto"/>
              <w:right w:val="single" w:sz="4" w:space="0" w:color="auto"/>
            </w:tcBorders>
            <w:shd w:val="clear" w:color="auto" w:fill="auto"/>
            <w:vAlign w:val="center"/>
          </w:tcPr>
          <w:p w14:paraId="38EEE8CA" w14:textId="77777777" w:rsidR="00137D69" w:rsidRPr="00996333" w:rsidRDefault="00137D69" w:rsidP="00137D69">
            <w:pPr>
              <w:keepNext/>
              <w:jc w:val="right"/>
              <w:rPr>
                <w:rFonts w:ascii="Arial" w:hAnsi="Arial" w:cs="Arial"/>
                <w:sz w:val="22"/>
                <w:szCs w:val="22"/>
              </w:rPr>
            </w:pPr>
          </w:p>
        </w:tc>
      </w:tr>
      <w:tr w:rsidR="00137D69" w:rsidRPr="00996333" w14:paraId="2B77654F" w14:textId="77777777" w:rsidTr="00996333">
        <w:trPr>
          <w:cantSplit/>
          <w:trHeight w:val="255"/>
        </w:trPr>
        <w:tc>
          <w:tcPr>
            <w:tcW w:w="3402" w:type="dxa"/>
            <w:tcBorders>
              <w:left w:val="single" w:sz="4" w:space="0" w:color="auto"/>
              <w:right w:val="single" w:sz="4" w:space="0" w:color="auto"/>
            </w:tcBorders>
            <w:shd w:val="clear" w:color="auto" w:fill="auto"/>
            <w:noWrap/>
            <w:vAlign w:val="bottom"/>
          </w:tcPr>
          <w:p w14:paraId="0BB77895" w14:textId="3D2DE603" w:rsidR="00137D69" w:rsidRPr="00996333" w:rsidRDefault="00137D69" w:rsidP="00137D69">
            <w:pPr>
              <w:keepNext/>
              <w:numPr>
                <w:ilvl w:val="0"/>
                <w:numId w:val="1"/>
              </w:numPr>
              <w:tabs>
                <w:tab w:val="left" w:pos="288"/>
              </w:tabs>
              <w:ind w:left="318" w:hanging="284"/>
              <w:rPr>
                <w:rFonts w:ascii="Arial" w:hAnsi="Arial" w:cs="Arial"/>
                <w:bCs/>
                <w:sz w:val="22"/>
                <w:szCs w:val="22"/>
              </w:rPr>
            </w:pPr>
            <w:r w:rsidRPr="00996333">
              <w:rPr>
                <w:rFonts w:ascii="Arial" w:hAnsi="Arial" w:cs="Arial"/>
                <w:bCs/>
                <w:sz w:val="22"/>
                <w:szCs w:val="22"/>
              </w:rPr>
              <w:t xml:space="preserve">Banks and </w:t>
            </w:r>
            <w:r w:rsidR="00F365CF" w:rsidRPr="00996333">
              <w:rPr>
                <w:rFonts w:ascii="Arial" w:hAnsi="Arial" w:cs="Arial"/>
                <w:bCs/>
                <w:sz w:val="22"/>
                <w:szCs w:val="22"/>
              </w:rPr>
              <w:t>b</w:t>
            </w:r>
            <w:r w:rsidRPr="00996333">
              <w:rPr>
                <w:rFonts w:ascii="Arial" w:hAnsi="Arial" w:cs="Arial"/>
                <w:bCs/>
                <w:sz w:val="22"/>
                <w:szCs w:val="22"/>
              </w:rPr>
              <w:t xml:space="preserve">uilding </w:t>
            </w:r>
            <w:r w:rsidR="00F365CF" w:rsidRPr="00996333">
              <w:rPr>
                <w:rFonts w:ascii="Arial" w:hAnsi="Arial" w:cs="Arial"/>
                <w:bCs/>
                <w:sz w:val="22"/>
                <w:szCs w:val="22"/>
              </w:rPr>
              <w:t>s</w:t>
            </w:r>
            <w:r w:rsidRPr="00996333">
              <w:rPr>
                <w:rFonts w:ascii="Arial" w:hAnsi="Arial" w:cs="Arial"/>
                <w:bCs/>
                <w:sz w:val="22"/>
                <w:szCs w:val="22"/>
              </w:rPr>
              <w:t xml:space="preserve">ocieties </w:t>
            </w:r>
          </w:p>
        </w:tc>
        <w:tc>
          <w:tcPr>
            <w:tcW w:w="1417" w:type="dxa"/>
            <w:tcBorders>
              <w:left w:val="single" w:sz="4" w:space="0" w:color="auto"/>
              <w:right w:val="single" w:sz="4" w:space="0" w:color="auto"/>
            </w:tcBorders>
            <w:shd w:val="clear" w:color="auto" w:fill="auto"/>
            <w:noWrap/>
            <w:vAlign w:val="center"/>
          </w:tcPr>
          <w:p w14:paraId="1899AA2C" w14:textId="77777777" w:rsidR="00137D69" w:rsidRPr="00996333" w:rsidRDefault="00137D69" w:rsidP="00137D69">
            <w:pPr>
              <w:keepNext/>
              <w:jc w:val="right"/>
              <w:rPr>
                <w:rFonts w:ascii="Arial" w:hAnsi="Arial" w:cs="Arial"/>
                <w:sz w:val="22"/>
                <w:szCs w:val="22"/>
              </w:rPr>
            </w:pPr>
          </w:p>
        </w:tc>
        <w:tc>
          <w:tcPr>
            <w:tcW w:w="1417" w:type="dxa"/>
            <w:tcBorders>
              <w:left w:val="single" w:sz="4" w:space="0" w:color="auto"/>
              <w:right w:val="single" w:sz="4" w:space="0" w:color="auto"/>
            </w:tcBorders>
            <w:shd w:val="clear" w:color="auto" w:fill="auto"/>
            <w:vAlign w:val="center"/>
          </w:tcPr>
          <w:p w14:paraId="5A221CBF" w14:textId="77777777" w:rsidR="00137D69" w:rsidRPr="00996333" w:rsidRDefault="00137D69" w:rsidP="00137D69">
            <w:pPr>
              <w:keepNext/>
              <w:jc w:val="right"/>
              <w:rPr>
                <w:rFonts w:ascii="Arial" w:hAnsi="Arial" w:cs="Arial"/>
                <w:sz w:val="22"/>
                <w:szCs w:val="22"/>
              </w:rPr>
            </w:pPr>
          </w:p>
        </w:tc>
        <w:tc>
          <w:tcPr>
            <w:tcW w:w="1417" w:type="dxa"/>
            <w:tcBorders>
              <w:left w:val="single" w:sz="4" w:space="0" w:color="auto"/>
              <w:right w:val="single" w:sz="4" w:space="0" w:color="auto"/>
            </w:tcBorders>
            <w:shd w:val="clear" w:color="auto" w:fill="auto"/>
            <w:noWrap/>
            <w:vAlign w:val="center"/>
          </w:tcPr>
          <w:p w14:paraId="69B59F28" w14:textId="77777777" w:rsidR="00137D69" w:rsidRPr="00996333" w:rsidRDefault="00137D69" w:rsidP="00137D69">
            <w:pPr>
              <w:keepNext/>
              <w:jc w:val="right"/>
              <w:rPr>
                <w:rFonts w:ascii="Arial" w:hAnsi="Arial" w:cs="Arial"/>
                <w:sz w:val="22"/>
                <w:szCs w:val="22"/>
              </w:rPr>
            </w:pPr>
          </w:p>
        </w:tc>
        <w:tc>
          <w:tcPr>
            <w:tcW w:w="1417" w:type="dxa"/>
            <w:tcBorders>
              <w:left w:val="single" w:sz="4" w:space="0" w:color="auto"/>
              <w:right w:val="single" w:sz="4" w:space="0" w:color="auto"/>
            </w:tcBorders>
            <w:shd w:val="clear" w:color="auto" w:fill="auto"/>
            <w:vAlign w:val="center"/>
          </w:tcPr>
          <w:p w14:paraId="77A79E37" w14:textId="77777777" w:rsidR="00137D69" w:rsidRPr="00996333" w:rsidRDefault="00137D69" w:rsidP="00137D69">
            <w:pPr>
              <w:keepNext/>
              <w:jc w:val="right"/>
              <w:rPr>
                <w:rFonts w:ascii="Arial" w:hAnsi="Arial" w:cs="Arial"/>
                <w:sz w:val="22"/>
                <w:szCs w:val="22"/>
              </w:rPr>
            </w:pPr>
          </w:p>
        </w:tc>
        <w:tc>
          <w:tcPr>
            <w:tcW w:w="1421" w:type="dxa"/>
            <w:tcBorders>
              <w:left w:val="single" w:sz="4" w:space="0" w:color="auto"/>
              <w:right w:val="single" w:sz="4" w:space="0" w:color="auto"/>
            </w:tcBorders>
            <w:shd w:val="clear" w:color="auto" w:fill="auto"/>
            <w:vAlign w:val="center"/>
          </w:tcPr>
          <w:p w14:paraId="746D9844" w14:textId="77777777" w:rsidR="00137D69" w:rsidRPr="00996333" w:rsidRDefault="00137D69" w:rsidP="00137D69">
            <w:pPr>
              <w:keepNext/>
              <w:jc w:val="right"/>
              <w:rPr>
                <w:rFonts w:ascii="Arial" w:hAnsi="Arial" w:cs="Arial"/>
                <w:sz w:val="22"/>
                <w:szCs w:val="22"/>
              </w:rPr>
            </w:pPr>
          </w:p>
        </w:tc>
      </w:tr>
      <w:tr w:rsidR="00137D69" w:rsidRPr="00996333" w14:paraId="483FB46F" w14:textId="77777777" w:rsidTr="00996333">
        <w:trPr>
          <w:cantSplit/>
          <w:trHeight w:val="255"/>
        </w:trPr>
        <w:tc>
          <w:tcPr>
            <w:tcW w:w="3402" w:type="dxa"/>
            <w:tcBorders>
              <w:left w:val="single" w:sz="4" w:space="0" w:color="auto"/>
              <w:right w:val="single" w:sz="4" w:space="0" w:color="auto"/>
            </w:tcBorders>
            <w:shd w:val="clear" w:color="auto" w:fill="auto"/>
            <w:noWrap/>
            <w:vAlign w:val="bottom"/>
          </w:tcPr>
          <w:p w14:paraId="1E76643D" w14:textId="77777777" w:rsidR="00137D69" w:rsidRPr="00996333" w:rsidRDefault="00137D69" w:rsidP="00137D69">
            <w:pPr>
              <w:keepNext/>
              <w:numPr>
                <w:ilvl w:val="1"/>
                <w:numId w:val="1"/>
              </w:numPr>
              <w:ind w:hanging="1122"/>
              <w:rPr>
                <w:rFonts w:ascii="Arial" w:hAnsi="Arial" w:cs="Arial"/>
                <w:bCs/>
                <w:sz w:val="22"/>
                <w:szCs w:val="22"/>
              </w:rPr>
            </w:pPr>
            <w:r w:rsidRPr="00996333">
              <w:rPr>
                <w:rFonts w:ascii="Arial" w:hAnsi="Arial" w:cs="Arial"/>
                <w:bCs/>
                <w:sz w:val="22"/>
                <w:szCs w:val="22"/>
              </w:rPr>
              <w:t>Unsecured</w:t>
            </w:r>
          </w:p>
        </w:tc>
        <w:tc>
          <w:tcPr>
            <w:tcW w:w="1417" w:type="dxa"/>
            <w:tcBorders>
              <w:left w:val="single" w:sz="4" w:space="0" w:color="auto"/>
              <w:right w:val="single" w:sz="4" w:space="0" w:color="auto"/>
            </w:tcBorders>
            <w:shd w:val="clear" w:color="auto" w:fill="auto"/>
            <w:noWrap/>
            <w:vAlign w:val="center"/>
          </w:tcPr>
          <w:p w14:paraId="3EF03826" w14:textId="244E8801" w:rsidR="00137D69" w:rsidRPr="00996333" w:rsidRDefault="00137D69" w:rsidP="00137D69">
            <w:pPr>
              <w:keepNext/>
              <w:jc w:val="right"/>
              <w:rPr>
                <w:rFonts w:ascii="Arial" w:hAnsi="Arial" w:cs="Arial"/>
                <w:sz w:val="22"/>
                <w:szCs w:val="22"/>
              </w:rPr>
            </w:pPr>
            <w:r w:rsidRPr="00996333">
              <w:rPr>
                <w:rFonts w:ascii="Arial" w:hAnsi="Arial" w:cs="Arial"/>
                <w:sz w:val="22"/>
                <w:szCs w:val="22"/>
              </w:rPr>
              <w:t>8.0</w:t>
            </w:r>
            <w:r w:rsidR="00CB5B27" w:rsidRPr="00996333">
              <w:rPr>
                <w:rFonts w:ascii="Arial" w:hAnsi="Arial" w:cs="Arial"/>
                <w:sz w:val="22"/>
                <w:szCs w:val="22"/>
              </w:rPr>
              <w:t>5</w:t>
            </w:r>
          </w:p>
        </w:tc>
        <w:tc>
          <w:tcPr>
            <w:tcW w:w="1417" w:type="dxa"/>
            <w:tcBorders>
              <w:left w:val="single" w:sz="4" w:space="0" w:color="auto"/>
              <w:right w:val="single" w:sz="4" w:space="0" w:color="auto"/>
            </w:tcBorders>
            <w:shd w:val="clear" w:color="auto" w:fill="auto"/>
            <w:vAlign w:val="center"/>
          </w:tcPr>
          <w:p w14:paraId="20A6E84B" w14:textId="169FBC18" w:rsidR="00137D69" w:rsidRPr="00996333" w:rsidRDefault="00137D69" w:rsidP="00137D69">
            <w:pPr>
              <w:keepNext/>
              <w:jc w:val="right"/>
              <w:rPr>
                <w:rFonts w:ascii="Arial" w:hAnsi="Arial" w:cs="Arial"/>
                <w:sz w:val="22"/>
                <w:szCs w:val="22"/>
              </w:rPr>
            </w:pPr>
            <w:r w:rsidRPr="00996333">
              <w:rPr>
                <w:rFonts w:ascii="Arial" w:hAnsi="Arial" w:cs="Arial"/>
                <w:sz w:val="22"/>
                <w:szCs w:val="22"/>
              </w:rPr>
              <w:t>5.</w:t>
            </w:r>
            <w:r w:rsidR="00CB5B27" w:rsidRPr="00996333">
              <w:rPr>
                <w:rFonts w:ascii="Arial" w:hAnsi="Arial" w:cs="Arial"/>
                <w:sz w:val="22"/>
                <w:szCs w:val="22"/>
              </w:rPr>
              <w:t>73</w:t>
            </w:r>
          </w:p>
        </w:tc>
        <w:tc>
          <w:tcPr>
            <w:tcW w:w="1417" w:type="dxa"/>
            <w:tcBorders>
              <w:left w:val="single" w:sz="4" w:space="0" w:color="auto"/>
              <w:right w:val="single" w:sz="4" w:space="0" w:color="auto"/>
            </w:tcBorders>
            <w:shd w:val="clear" w:color="auto" w:fill="auto"/>
            <w:noWrap/>
            <w:vAlign w:val="center"/>
          </w:tcPr>
          <w:p w14:paraId="3E2A3A98" w14:textId="1A79002B" w:rsidR="00137D69" w:rsidRPr="00996333" w:rsidRDefault="003D3F89" w:rsidP="00137D69">
            <w:pPr>
              <w:keepNext/>
              <w:jc w:val="right"/>
              <w:rPr>
                <w:rFonts w:ascii="Arial" w:hAnsi="Arial" w:cs="Arial"/>
                <w:sz w:val="22"/>
                <w:szCs w:val="22"/>
              </w:rPr>
            </w:pPr>
            <w:r w:rsidRPr="00996333">
              <w:rPr>
                <w:rFonts w:ascii="Arial" w:hAnsi="Arial" w:cs="Arial"/>
                <w:sz w:val="22"/>
                <w:szCs w:val="22"/>
              </w:rPr>
              <w:t>13.78</w:t>
            </w:r>
          </w:p>
        </w:tc>
        <w:tc>
          <w:tcPr>
            <w:tcW w:w="1417" w:type="dxa"/>
            <w:tcBorders>
              <w:left w:val="single" w:sz="4" w:space="0" w:color="auto"/>
              <w:right w:val="single" w:sz="4" w:space="0" w:color="auto"/>
            </w:tcBorders>
            <w:shd w:val="clear" w:color="auto" w:fill="auto"/>
            <w:vAlign w:val="center"/>
          </w:tcPr>
          <w:p w14:paraId="7516BFA5" w14:textId="087ADAE7" w:rsidR="00137D69" w:rsidRPr="00996333" w:rsidRDefault="00137D69" w:rsidP="00137D69">
            <w:pPr>
              <w:keepNext/>
              <w:jc w:val="right"/>
              <w:rPr>
                <w:rFonts w:ascii="Arial" w:hAnsi="Arial" w:cs="Arial"/>
                <w:sz w:val="22"/>
                <w:szCs w:val="22"/>
              </w:rPr>
            </w:pPr>
            <w:r w:rsidRPr="00996333">
              <w:rPr>
                <w:rFonts w:ascii="Arial" w:hAnsi="Arial" w:cs="Arial"/>
                <w:sz w:val="22"/>
                <w:szCs w:val="22"/>
              </w:rPr>
              <w:t>0.</w:t>
            </w:r>
            <w:r w:rsidR="003D3F89" w:rsidRPr="00996333">
              <w:rPr>
                <w:rFonts w:ascii="Arial" w:hAnsi="Arial" w:cs="Arial"/>
                <w:sz w:val="22"/>
                <w:szCs w:val="22"/>
              </w:rPr>
              <w:t>07</w:t>
            </w:r>
          </w:p>
        </w:tc>
        <w:tc>
          <w:tcPr>
            <w:tcW w:w="1421" w:type="dxa"/>
            <w:tcBorders>
              <w:left w:val="single" w:sz="4" w:space="0" w:color="auto"/>
              <w:right w:val="single" w:sz="4" w:space="0" w:color="auto"/>
            </w:tcBorders>
            <w:shd w:val="clear" w:color="auto" w:fill="auto"/>
            <w:vAlign w:val="center"/>
          </w:tcPr>
          <w:p w14:paraId="04C30266" w14:textId="31AB3E21" w:rsidR="00137D69" w:rsidRPr="00996333" w:rsidRDefault="00137D69" w:rsidP="00137D69">
            <w:pPr>
              <w:keepNext/>
              <w:jc w:val="right"/>
              <w:rPr>
                <w:rFonts w:ascii="Arial" w:hAnsi="Arial" w:cs="Arial"/>
                <w:sz w:val="22"/>
                <w:szCs w:val="22"/>
              </w:rPr>
            </w:pPr>
            <w:r w:rsidRPr="00996333">
              <w:rPr>
                <w:rFonts w:ascii="Arial" w:hAnsi="Arial" w:cs="Arial"/>
                <w:sz w:val="22"/>
                <w:szCs w:val="22"/>
              </w:rPr>
              <w:t>0.0</w:t>
            </w:r>
            <w:r w:rsidR="003D3F89" w:rsidRPr="00996333">
              <w:rPr>
                <w:rFonts w:ascii="Arial" w:hAnsi="Arial" w:cs="Arial"/>
                <w:sz w:val="22"/>
                <w:szCs w:val="22"/>
              </w:rPr>
              <w:t>4</w:t>
            </w:r>
          </w:p>
        </w:tc>
      </w:tr>
      <w:tr w:rsidR="00137D69" w:rsidRPr="00996333" w14:paraId="350D9E9B" w14:textId="77777777" w:rsidTr="00996333">
        <w:trPr>
          <w:cantSplit/>
          <w:trHeight w:val="255"/>
        </w:trPr>
        <w:tc>
          <w:tcPr>
            <w:tcW w:w="3402" w:type="dxa"/>
            <w:tcBorders>
              <w:left w:val="single" w:sz="4" w:space="0" w:color="auto"/>
              <w:right w:val="single" w:sz="4" w:space="0" w:color="auto"/>
            </w:tcBorders>
            <w:shd w:val="clear" w:color="auto" w:fill="auto"/>
            <w:noWrap/>
            <w:vAlign w:val="center"/>
          </w:tcPr>
          <w:p w14:paraId="4EF9D4B3" w14:textId="77777777" w:rsidR="00137D69" w:rsidRPr="00996333" w:rsidRDefault="00137D69" w:rsidP="00137D69">
            <w:pPr>
              <w:keepNext/>
              <w:numPr>
                <w:ilvl w:val="0"/>
                <w:numId w:val="1"/>
              </w:numPr>
              <w:rPr>
                <w:rFonts w:ascii="Arial" w:hAnsi="Arial" w:cs="Arial"/>
                <w:bCs/>
                <w:sz w:val="22"/>
                <w:szCs w:val="22"/>
              </w:rPr>
            </w:pPr>
            <w:r w:rsidRPr="00996333">
              <w:rPr>
                <w:rFonts w:ascii="Arial" w:hAnsi="Arial" w:cs="Arial"/>
                <w:bCs/>
                <w:sz w:val="22"/>
                <w:szCs w:val="22"/>
              </w:rPr>
              <w:t>Secured</w:t>
            </w:r>
          </w:p>
        </w:tc>
        <w:tc>
          <w:tcPr>
            <w:tcW w:w="1417" w:type="dxa"/>
            <w:tcBorders>
              <w:left w:val="single" w:sz="4" w:space="0" w:color="auto"/>
              <w:right w:val="single" w:sz="4" w:space="0" w:color="auto"/>
            </w:tcBorders>
            <w:shd w:val="clear" w:color="auto" w:fill="auto"/>
            <w:noWrap/>
            <w:vAlign w:val="center"/>
          </w:tcPr>
          <w:p w14:paraId="6161B0B7" w14:textId="73C4492E" w:rsidR="00137D69" w:rsidRPr="00996333" w:rsidRDefault="00137D69" w:rsidP="00137D69">
            <w:pPr>
              <w:keepNext/>
              <w:jc w:val="right"/>
              <w:rPr>
                <w:rFonts w:ascii="Arial" w:hAnsi="Arial" w:cs="Arial"/>
                <w:sz w:val="22"/>
                <w:szCs w:val="22"/>
              </w:rPr>
            </w:pPr>
            <w:r w:rsidRPr="00996333">
              <w:rPr>
                <w:rFonts w:ascii="Arial" w:hAnsi="Arial" w:cs="Arial"/>
                <w:sz w:val="22"/>
                <w:szCs w:val="22"/>
              </w:rPr>
              <w:t>4.0</w:t>
            </w:r>
            <w:r w:rsidR="00CB5B27" w:rsidRPr="00996333">
              <w:rPr>
                <w:rFonts w:ascii="Arial" w:hAnsi="Arial" w:cs="Arial"/>
                <w:sz w:val="22"/>
                <w:szCs w:val="22"/>
              </w:rPr>
              <w:t>0</w:t>
            </w:r>
          </w:p>
        </w:tc>
        <w:tc>
          <w:tcPr>
            <w:tcW w:w="1417" w:type="dxa"/>
            <w:tcBorders>
              <w:left w:val="single" w:sz="4" w:space="0" w:color="auto"/>
              <w:right w:val="single" w:sz="4" w:space="0" w:color="auto"/>
            </w:tcBorders>
            <w:shd w:val="clear" w:color="auto" w:fill="auto"/>
            <w:vAlign w:val="center"/>
          </w:tcPr>
          <w:p w14:paraId="7BC54693" w14:textId="72D3A14C" w:rsidR="00137D69" w:rsidRPr="00996333" w:rsidRDefault="00CB5B27" w:rsidP="00137D69">
            <w:pPr>
              <w:keepNext/>
              <w:jc w:val="right"/>
              <w:rPr>
                <w:rFonts w:ascii="Arial" w:hAnsi="Arial" w:cs="Arial"/>
                <w:sz w:val="22"/>
                <w:szCs w:val="22"/>
              </w:rPr>
            </w:pPr>
            <w:r w:rsidRPr="00996333">
              <w:rPr>
                <w:rFonts w:ascii="Arial" w:hAnsi="Arial" w:cs="Arial"/>
                <w:sz w:val="22"/>
                <w:szCs w:val="22"/>
              </w:rPr>
              <w:t>-</w:t>
            </w:r>
          </w:p>
        </w:tc>
        <w:tc>
          <w:tcPr>
            <w:tcW w:w="1417" w:type="dxa"/>
            <w:tcBorders>
              <w:left w:val="single" w:sz="4" w:space="0" w:color="auto"/>
              <w:right w:val="single" w:sz="4" w:space="0" w:color="auto"/>
            </w:tcBorders>
            <w:shd w:val="clear" w:color="auto" w:fill="auto"/>
            <w:noWrap/>
            <w:vAlign w:val="center"/>
          </w:tcPr>
          <w:p w14:paraId="5A317D65" w14:textId="2F083475" w:rsidR="00137D69" w:rsidRPr="00996333" w:rsidRDefault="00137D69" w:rsidP="00137D69">
            <w:pPr>
              <w:keepNext/>
              <w:jc w:val="right"/>
              <w:rPr>
                <w:rFonts w:ascii="Arial" w:hAnsi="Arial" w:cs="Arial"/>
                <w:sz w:val="22"/>
                <w:szCs w:val="22"/>
              </w:rPr>
            </w:pPr>
            <w:r w:rsidRPr="00996333">
              <w:rPr>
                <w:rFonts w:ascii="Arial" w:hAnsi="Arial" w:cs="Arial"/>
                <w:sz w:val="22"/>
                <w:szCs w:val="22"/>
              </w:rPr>
              <w:t>4.0</w:t>
            </w:r>
            <w:r w:rsidR="003D3F89" w:rsidRPr="00996333">
              <w:rPr>
                <w:rFonts w:ascii="Arial" w:hAnsi="Arial" w:cs="Arial"/>
                <w:sz w:val="22"/>
                <w:szCs w:val="22"/>
              </w:rPr>
              <w:t>0</w:t>
            </w:r>
          </w:p>
        </w:tc>
        <w:tc>
          <w:tcPr>
            <w:tcW w:w="1417" w:type="dxa"/>
            <w:tcBorders>
              <w:left w:val="single" w:sz="4" w:space="0" w:color="auto"/>
              <w:right w:val="single" w:sz="4" w:space="0" w:color="auto"/>
            </w:tcBorders>
            <w:shd w:val="clear" w:color="auto" w:fill="auto"/>
            <w:vAlign w:val="center"/>
          </w:tcPr>
          <w:p w14:paraId="37A47F9B" w14:textId="43631CCB" w:rsidR="00137D69" w:rsidRPr="00996333" w:rsidRDefault="00137D69" w:rsidP="00137D69">
            <w:pPr>
              <w:keepNext/>
              <w:jc w:val="right"/>
              <w:rPr>
                <w:rFonts w:ascii="Arial" w:hAnsi="Arial" w:cs="Arial"/>
                <w:sz w:val="22"/>
                <w:szCs w:val="22"/>
              </w:rPr>
            </w:pPr>
            <w:r w:rsidRPr="00996333">
              <w:rPr>
                <w:rFonts w:ascii="Arial" w:hAnsi="Arial" w:cs="Arial"/>
                <w:sz w:val="22"/>
                <w:szCs w:val="22"/>
              </w:rPr>
              <w:t>0.</w:t>
            </w:r>
            <w:r w:rsidR="003D3F89" w:rsidRPr="00996333">
              <w:rPr>
                <w:rFonts w:ascii="Arial" w:hAnsi="Arial" w:cs="Arial"/>
                <w:sz w:val="22"/>
                <w:szCs w:val="22"/>
              </w:rPr>
              <w:t>28</w:t>
            </w:r>
          </w:p>
        </w:tc>
        <w:tc>
          <w:tcPr>
            <w:tcW w:w="1421" w:type="dxa"/>
            <w:tcBorders>
              <w:left w:val="single" w:sz="4" w:space="0" w:color="auto"/>
              <w:right w:val="single" w:sz="4" w:space="0" w:color="auto"/>
            </w:tcBorders>
            <w:shd w:val="clear" w:color="auto" w:fill="auto"/>
            <w:vAlign w:val="center"/>
          </w:tcPr>
          <w:p w14:paraId="3CC03713" w14:textId="5169B323" w:rsidR="00137D69" w:rsidRPr="00996333" w:rsidRDefault="00137D69" w:rsidP="00137D69">
            <w:pPr>
              <w:keepNext/>
              <w:jc w:val="right"/>
              <w:rPr>
                <w:rFonts w:ascii="Arial" w:hAnsi="Arial" w:cs="Arial"/>
                <w:sz w:val="22"/>
                <w:szCs w:val="22"/>
              </w:rPr>
            </w:pPr>
            <w:r w:rsidRPr="00996333">
              <w:rPr>
                <w:rFonts w:ascii="Arial" w:hAnsi="Arial" w:cs="Arial"/>
                <w:sz w:val="22"/>
                <w:szCs w:val="22"/>
              </w:rPr>
              <w:t>0.</w:t>
            </w:r>
            <w:r w:rsidR="003D3F89" w:rsidRPr="00996333">
              <w:rPr>
                <w:rFonts w:ascii="Arial" w:hAnsi="Arial" w:cs="Arial"/>
                <w:sz w:val="22"/>
                <w:szCs w:val="22"/>
              </w:rPr>
              <w:t>04</w:t>
            </w:r>
          </w:p>
        </w:tc>
      </w:tr>
      <w:tr w:rsidR="00137D69" w:rsidRPr="00996333" w14:paraId="7F4E9D85" w14:textId="77777777" w:rsidTr="00996333">
        <w:trPr>
          <w:cantSplit/>
          <w:trHeight w:val="255"/>
        </w:trPr>
        <w:tc>
          <w:tcPr>
            <w:tcW w:w="3402" w:type="dxa"/>
            <w:tcBorders>
              <w:left w:val="single" w:sz="4" w:space="0" w:color="auto"/>
              <w:right w:val="single" w:sz="4" w:space="0" w:color="auto"/>
            </w:tcBorders>
            <w:shd w:val="clear" w:color="auto" w:fill="auto"/>
            <w:noWrap/>
            <w:vAlign w:val="center"/>
          </w:tcPr>
          <w:p w14:paraId="668A7DD1" w14:textId="03ABBB55" w:rsidR="00137D69" w:rsidRPr="00996333" w:rsidRDefault="00137D69" w:rsidP="00137D69">
            <w:pPr>
              <w:keepNext/>
              <w:numPr>
                <w:ilvl w:val="0"/>
                <w:numId w:val="1"/>
              </w:numPr>
              <w:ind w:left="318" w:hanging="284"/>
              <w:rPr>
                <w:rFonts w:ascii="Arial" w:hAnsi="Arial" w:cs="Arial"/>
                <w:bCs/>
                <w:sz w:val="22"/>
                <w:szCs w:val="22"/>
              </w:rPr>
            </w:pPr>
            <w:r w:rsidRPr="00996333">
              <w:rPr>
                <w:rFonts w:ascii="Arial" w:hAnsi="Arial" w:cs="Arial"/>
                <w:bCs/>
                <w:sz w:val="22"/>
                <w:szCs w:val="22"/>
              </w:rPr>
              <w:t xml:space="preserve">Money </w:t>
            </w:r>
            <w:r w:rsidR="00C61B01" w:rsidRPr="00996333">
              <w:rPr>
                <w:rFonts w:ascii="Arial" w:hAnsi="Arial" w:cs="Arial"/>
                <w:bCs/>
                <w:sz w:val="22"/>
                <w:szCs w:val="22"/>
              </w:rPr>
              <w:t>m</w:t>
            </w:r>
            <w:r w:rsidRPr="00996333">
              <w:rPr>
                <w:rFonts w:ascii="Arial" w:hAnsi="Arial" w:cs="Arial"/>
                <w:bCs/>
                <w:sz w:val="22"/>
                <w:szCs w:val="22"/>
              </w:rPr>
              <w:t xml:space="preserve">arket </w:t>
            </w:r>
            <w:r w:rsidR="00C61B01" w:rsidRPr="00996333">
              <w:rPr>
                <w:rFonts w:ascii="Arial" w:hAnsi="Arial" w:cs="Arial"/>
                <w:bCs/>
                <w:sz w:val="22"/>
                <w:szCs w:val="22"/>
              </w:rPr>
              <w:t>f</w:t>
            </w:r>
            <w:r w:rsidRPr="00996333">
              <w:rPr>
                <w:rFonts w:ascii="Arial" w:hAnsi="Arial" w:cs="Arial"/>
                <w:bCs/>
                <w:sz w:val="22"/>
                <w:szCs w:val="22"/>
              </w:rPr>
              <w:t>unds</w:t>
            </w:r>
          </w:p>
        </w:tc>
        <w:tc>
          <w:tcPr>
            <w:tcW w:w="1417" w:type="dxa"/>
            <w:tcBorders>
              <w:left w:val="single" w:sz="4" w:space="0" w:color="auto"/>
              <w:right w:val="single" w:sz="4" w:space="0" w:color="auto"/>
            </w:tcBorders>
            <w:shd w:val="clear" w:color="auto" w:fill="auto"/>
            <w:noWrap/>
            <w:vAlign w:val="center"/>
          </w:tcPr>
          <w:p w14:paraId="6A09AF23" w14:textId="07DE30AD" w:rsidR="00137D69" w:rsidRPr="00996333" w:rsidRDefault="00137D69" w:rsidP="00137D69">
            <w:pPr>
              <w:keepNext/>
              <w:jc w:val="right"/>
              <w:rPr>
                <w:rFonts w:ascii="Arial" w:hAnsi="Arial" w:cs="Arial"/>
                <w:sz w:val="22"/>
                <w:szCs w:val="22"/>
              </w:rPr>
            </w:pPr>
            <w:r w:rsidRPr="00996333">
              <w:rPr>
                <w:rFonts w:ascii="Arial" w:hAnsi="Arial" w:cs="Arial"/>
                <w:sz w:val="22"/>
                <w:szCs w:val="22"/>
              </w:rPr>
              <w:t>20.</w:t>
            </w:r>
            <w:r w:rsidR="00CB5B27" w:rsidRPr="00996333">
              <w:rPr>
                <w:rFonts w:ascii="Arial" w:hAnsi="Arial" w:cs="Arial"/>
                <w:sz w:val="22"/>
                <w:szCs w:val="22"/>
              </w:rPr>
              <w:t>28</w:t>
            </w:r>
          </w:p>
        </w:tc>
        <w:tc>
          <w:tcPr>
            <w:tcW w:w="1417" w:type="dxa"/>
            <w:tcBorders>
              <w:left w:val="single" w:sz="4" w:space="0" w:color="auto"/>
              <w:right w:val="single" w:sz="4" w:space="0" w:color="auto"/>
            </w:tcBorders>
            <w:shd w:val="clear" w:color="auto" w:fill="auto"/>
            <w:vAlign w:val="center"/>
          </w:tcPr>
          <w:p w14:paraId="1090C75B" w14:textId="38C160BB" w:rsidR="00137D69" w:rsidRPr="00996333" w:rsidRDefault="00711D34" w:rsidP="00137D69">
            <w:pPr>
              <w:keepNext/>
              <w:jc w:val="right"/>
              <w:rPr>
                <w:rFonts w:ascii="Arial" w:hAnsi="Arial" w:cs="Arial"/>
                <w:sz w:val="22"/>
                <w:szCs w:val="22"/>
              </w:rPr>
            </w:pPr>
            <w:r w:rsidRPr="00996333">
              <w:rPr>
                <w:rFonts w:ascii="Arial" w:hAnsi="Arial" w:cs="Arial"/>
                <w:sz w:val="22"/>
                <w:szCs w:val="22"/>
              </w:rPr>
              <w:t>(12.61)</w:t>
            </w:r>
          </w:p>
        </w:tc>
        <w:tc>
          <w:tcPr>
            <w:tcW w:w="1417" w:type="dxa"/>
            <w:tcBorders>
              <w:left w:val="single" w:sz="4" w:space="0" w:color="auto"/>
              <w:right w:val="single" w:sz="4" w:space="0" w:color="auto"/>
            </w:tcBorders>
            <w:shd w:val="clear" w:color="auto" w:fill="auto"/>
            <w:noWrap/>
            <w:vAlign w:val="center"/>
          </w:tcPr>
          <w:p w14:paraId="1D3CA848" w14:textId="225619D6" w:rsidR="00137D69" w:rsidRPr="00996333" w:rsidRDefault="003D3F89" w:rsidP="00137D69">
            <w:pPr>
              <w:keepNext/>
              <w:jc w:val="right"/>
              <w:rPr>
                <w:rFonts w:ascii="Arial" w:hAnsi="Arial" w:cs="Arial"/>
                <w:sz w:val="22"/>
                <w:szCs w:val="22"/>
              </w:rPr>
            </w:pPr>
            <w:r w:rsidRPr="00996333">
              <w:rPr>
                <w:rFonts w:ascii="Arial" w:hAnsi="Arial" w:cs="Arial"/>
                <w:sz w:val="22"/>
                <w:szCs w:val="22"/>
              </w:rPr>
              <w:t>7.67</w:t>
            </w:r>
          </w:p>
        </w:tc>
        <w:tc>
          <w:tcPr>
            <w:tcW w:w="1417" w:type="dxa"/>
            <w:tcBorders>
              <w:left w:val="single" w:sz="4" w:space="0" w:color="auto"/>
              <w:right w:val="single" w:sz="4" w:space="0" w:color="auto"/>
            </w:tcBorders>
            <w:shd w:val="clear" w:color="auto" w:fill="auto"/>
            <w:vAlign w:val="center"/>
          </w:tcPr>
          <w:p w14:paraId="3B108ACD" w14:textId="54BA967E" w:rsidR="00137D69" w:rsidRPr="00996333" w:rsidRDefault="00137D69" w:rsidP="00137D69">
            <w:pPr>
              <w:keepNext/>
              <w:jc w:val="right"/>
              <w:rPr>
                <w:rFonts w:ascii="Arial" w:hAnsi="Arial" w:cs="Arial"/>
                <w:sz w:val="22"/>
                <w:szCs w:val="22"/>
              </w:rPr>
            </w:pPr>
            <w:r w:rsidRPr="00996333">
              <w:rPr>
                <w:rFonts w:ascii="Arial" w:hAnsi="Arial" w:cs="Arial"/>
                <w:sz w:val="22"/>
                <w:szCs w:val="22"/>
              </w:rPr>
              <w:t>0.</w:t>
            </w:r>
            <w:r w:rsidR="003D3F89" w:rsidRPr="00996333">
              <w:rPr>
                <w:rFonts w:ascii="Arial" w:hAnsi="Arial" w:cs="Arial"/>
                <w:sz w:val="22"/>
                <w:szCs w:val="22"/>
              </w:rPr>
              <w:t>00</w:t>
            </w:r>
          </w:p>
        </w:tc>
        <w:tc>
          <w:tcPr>
            <w:tcW w:w="1421" w:type="dxa"/>
            <w:tcBorders>
              <w:left w:val="single" w:sz="4" w:space="0" w:color="auto"/>
              <w:right w:val="single" w:sz="4" w:space="0" w:color="auto"/>
            </w:tcBorders>
            <w:shd w:val="clear" w:color="auto" w:fill="auto"/>
            <w:vAlign w:val="center"/>
          </w:tcPr>
          <w:p w14:paraId="04A9C09B" w14:textId="7069BED8" w:rsidR="00137D69" w:rsidRPr="00996333" w:rsidRDefault="00137D69" w:rsidP="00137D69">
            <w:pPr>
              <w:keepNext/>
              <w:jc w:val="right"/>
              <w:rPr>
                <w:rFonts w:ascii="Arial" w:hAnsi="Arial" w:cs="Arial"/>
                <w:sz w:val="22"/>
                <w:szCs w:val="22"/>
              </w:rPr>
            </w:pPr>
            <w:r w:rsidRPr="00996333">
              <w:rPr>
                <w:rFonts w:ascii="Arial" w:hAnsi="Arial" w:cs="Arial"/>
                <w:sz w:val="22"/>
                <w:szCs w:val="22"/>
              </w:rPr>
              <w:t>0.00</w:t>
            </w:r>
          </w:p>
        </w:tc>
      </w:tr>
      <w:tr w:rsidR="00137D69" w:rsidRPr="00996333" w14:paraId="50A7E43A" w14:textId="77777777" w:rsidTr="00996333">
        <w:trPr>
          <w:cantSplit/>
          <w:trHeight w:val="255"/>
        </w:trPr>
        <w:tc>
          <w:tcPr>
            <w:tcW w:w="3402" w:type="dxa"/>
            <w:tcBorders>
              <w:left w:val="single" w:sz="4" w:space="0" w:color="auto"/>
              <w:bottom w:val="single" w:sz="4" w:space="0" w:color="auto"/>
              <w:right w:val="single" w:sz="4" w:space="0" w:color="auto"/>
            </w:tcBorders>
            <w:shd w:val="clear" w:color="auto" w:fill="auto"/>
            <w:noWrap/>
            <w:vAlign w:val="bottom"/>
          </w:tcPr>
          <w:p w14:paraId="05FE05C2" w14:textId="6C66B17E" w:rsidR="00137D69" w:rsidRPr="00996333" w:rsidRDefault="00137D69" w:rsidP="00137D69">
            <w:pPr>
              <w:keepNext/>
              <w:numPr>
                <w:ilvl w:val="0"/>
                <w:numId w:val="1"/>
              </w:numPr>
              <w:ind w:left="318" w:hanging="284"/>
              <w:rPr>
                <w:rFonts w:ascii="Arial" w:hAnsi="Arial" w:cs="Arial"/>
                <w:bCs/>
                <w:sz w:val="22"/>
                <w:szCs w:val="22"/>
              </w:rPr>
            </w:pPr>
            <w:r w:rsidRPr="00996333">
              <w:rPr>
                <w:rFonts w:ascii="Arial" w:hAnsi="Arial" w:cs="Arial"/>
                <w:bCs/>
                <w:sz w:val="22"/>
                <w:szCs w:val="22"/>
              </w:rPr>
              <w:t xml:space="preserve">Local </w:t>
            </w:r>
            <w:r w:rsidR="00C61B01" w:rsidRPr="00996333">
              <w:rPr>
                <w:rFonts w:ascii="Arial" w:hAnsi="Arial" w:cs="Arial"/>
                <w:bCs/>
                <w:sz w:val="22"/>
                <w:szCs w:val="22"/>
              </w:rPr>
              <w:t>a</w:t>
            </w:r>
            <w:r w:rsidRPr="00996333">
              <w:rPr>
                <w:rFonts w:ascii="Arial" w:hAnsi="Arial" w:cs="Arial"/>
                <w:bCs/>
                <w:sz w:val="22"/>
                <w:szCs w:val="22"/>
              </w:rPr>
              <w:t>uthorities</w:t>
            </w:r>
          </w:p>
        </w:tc>
        <w:tc>
          <w:tcPr>
            <w:tcW w:w="1417" w:type="dxa"/>
            <w:tcBorders>
              <w:left w:val="single" w:sz="4" w:space="0" w:color="auto"/>
              <w:bottom w:val="single" w:sz="4" w:space="0" w:color="auto"/>
              <w:right w:val="single" w:sz="4" w:space="0" w:color="auto"/>
            </w:tcBorders>
            <w:shd w:val="clear" w:color="auto" w:fill="auto"/>
            <w:noWrap/>
            <w:vAlign w:val="center"/>
          </w:tcPr>
          <w:p w14:paraId="7D2FA27D" w14:textId="71FE0262" w:rsidR="00137D69" w:rsidRPr="00996333" w:rsidRDefault="00137D69" w:rsidP="00137D69">
            <w:pPr>
              <w:keepNext/>
              <w:jc w:val="right"/>
              <w:rPr>
                <w:rFonts w:ascii="Arial" w:hAnsi="Arial" w:cs="Arial"/>
                <w:sz w:val="22"/>
                <w:szCs w:val="22"/>
              </w:rPr>
            </w:pPr>
            <w:r w:rsidRPr="00996333">
              <w:rPr>
                <w:rFonts w:ascii="Arial" w:hAnsi="Arial" w:cs="Arial"/>
                <w:sz w:val="22"/>
                <w:szCs w:val="22"/>
              </w:rPr>
              <w:t>8.5</w:t>
            </w:r>
            <w:r w:rsidR="00CB5B27" w:rsidRPr="00996333">
              <w:rPr>
                <w:rFonts w:ascii="Arial" w:hAnsi="Arial" w:cs="Arial"/>
                <w:sz w:val="22"/>
                <w:szCs w:val="22"/>
              </w:rPr>
              <w:t>0</w:t>
            </w:r>
          </w:p>
        </w:tc>
        <w:tc>
          <w:tcPr>
            <w:tcW w:w="1417" w:type="dxa"/>
            <w:tcBorders>
              <w:left w:val="single" w:sz="4" w:space="0" w:color="auto"/>
              <w:bottom w:val="single" w:sz="4" w:space="0" w:color="auto"/>
              <w:right w:val="single" w:sz="4" w:space="0" w:color="auto"/>
            </w:tcBorders>
            <w:shd w:val="clear" w:color="auto" w:fill="auto"/>
            <w:vAlign w:val="center"/>
          </w:tcPr>
          <w:p w14:paraId="27798C66" w14:textId="2EDE69D4" w:rsidR="00137D69" w:rsidRPr="00996333" w:rsidRDefault="00711D34" w:rsidP="00137D69">
            <w:pPr>
              <w:keepNext/>
              <w:jc w:val="right"/>
              <w:rPr>
                <w:rFonts w:ascii="Arial" w:hAnsi="Arial" w:cs="Arial"/>
                <w:sz w:val="22"/>
                <w:szCs w:val="22"/>
              </w:rPr>
            </w:pPr>
            <w:r w:rsidRPr="00996333">
              <w:rPr>
                <w:rFonts w:ascii="Arial" w:hAnsi="Arial" w:cs="Arial"/>
                <w:sz w:val="22"/>
                <w:szCs w:val="22"/>
              </w:rPr>
              <w:t>28.00</w:t>
            </w:r>
          </w:p>
        </w:tc>
        <w:tc>
          <w:tcPr>
            <w:tcW w:w="1417" w:type="dxa"/>
            <w:tcBorders>
              <w:left w:val="single" w:sz="4" w:space="0" w:color="auto"/>
              <w:bottom w:val="single" w:sz="4" w:space="0" w:color="auto"/>
              <w:right w:val="single" w:sz="4" w:space="0" w:color="auto"/>
            </w:tcBorders>
            <w:shd w:val="clear" w:color="auto" w:fill="auto"/>
            <w:noWrap/>
            <w:vAlign w:val="center"/>
          </w:tcPr>
          <w:p w14:paraId="7D0BE99C" w14:textId="7DA59160" w:rsidR="00137D69" w:rsidRPr="00996333" w:rsidRDefault="003D3F89" w:rsidP="00137D69">
            <w:pPr>
              <w:keepNext/>
              <w:jc w:val="right"/>
              <w:rPr>
                <w:rFonts w:ascii="Arial" w:hAnsi="Arial" w:cs="Arial"/>
                <w:sz w:val="22"/>
                <w:szCs w:val="22"/>
              </w:rPr>
            </w:pPr>
            <w:r w:rsidRPr="00996333">
              <w:rPr>
                <w:rFonts w:ascii="Arial" w:hAnsi="Arial" w:cs="Arial"/>
                <w:sz w:val="22"/>
                <w:szCs w:val="22"/>
              </w:rPr>
              <w:t>36.50</w:t>
            </w:r>
          </w:p>
        </w:tc>
        <w:tc>
          <w:tcPr>
            <w:tcW w:w="1417" w:type="dxa"/>
            <w:tcBorders>
              <w:left w:val="single" w:sz="4" w:space="0" w:color="auto"/>
              <w:bottom w:val="single" w:sz="4" w:space="0" w:color="auto"/>
              <w:right w:val="single" w:sz="4" w:space="0" w:color="auto"/>
            </w:tcBorders>
            <w:shd w:val="clear" w:color="auto" w:fill="auto"/>
            <w:vAlign w:val="center"/>
          </w:tcPr>
          <w:p w14:paraId="4D0E0D97" w14:textId="74704FDE" w:rsidR="00137D69" w:rsidRPr="00996333" w:rsidRDefault="00137D69" w:rsidP="00137D69">
            <w:pPr>
              <w:keepNext/>
              <w:jc w:val="right"/>
              <w:rPr>
                <w:rFonts w:ascii="Arial" w:hAnsi="Arial" w:cs="Arial"/>
                <w:sz w:val="22"/>
                <w:szCs w:val="22"/>
              </w:rPr>
            </w:pPr>
            <w:r w:rsidRPr="00996333">
              <w:rPr>
                <w:rFonts w:ascii="Arial" w:hAnsi="Arial" w:cs="Arial"/>
                <w:sz w:val="22"/>
                <w:szCs w:val="22"/>
              </w:rPr>
              <w:t>0.</w:t>
            </w:r>
            <w:r w:rsidR="003D3F89" w:rsidRPr="00996333">
              <w:rPr>
                <w:rFonts w:ascii="Arial" w:hAnsi="Arial" w:cs="Arial"/>
                <w:sz w:val="22"/>
                <w:szCs w:val="22"/>
              </w:rPr>
              <w:t>22</w:t>
            </w:r>
          </w:p>
        </w:tc>
        <w:tc>
          <w:tcPr>
            <w:tcW w:w="1421" w:type="dxa"/>
            <w:tcBorders>
              <w:left w:val="single" w:sz="4" w:space="0" w:color="auto"/>
              <w:bottom w:val="single" w:sz="4" w:space="0" w:color="auto"/>
              <w:right w:val="single" w:sz="4" w:space="0" w:color="auto"/>
            </w:tcBorders>
            <w:shd w:val="clear" w:color="auto" w:fill="auto"/>
            <w:vAlign w:val="center"/>
          </w:tcPr>
          <w:p w14:paraId="2F2C46E1" w14:textId="06A74557" w:rsidR="00137D69" w:rsidRPr="00996333" w:rsidRDefault="00137D69" w:rsidP="00137D69">
            <w:pPr>
              <w:keepNext/>
              <w:jc w:val="right"/>
              <w:rPr>
                <w:rFonts w:ascii="Arial" w:hAnsi="Arial" w:cs="Arial"/>
                <w:sz w:val="22"/>
                <w:szCs w:val="22"/>
              </w:rPr>
            </w:pPr>
            <w:r w:rsidRPr="00996333">
              <w:rPr>
                <w:rFonts w:ascii="Arial" w:hAnsi="Arial" w:cs="Arial"/>
                <w:sz w:val="22"/>
                <w:szCs w:val="22"/>
              </w:rPr>
              <w:t>0.</w:t>
            </w:r>
            <w:r w:rsidR="003D3F89" w:rsidRPr="00996333">
              <w:rPr>
                <w:rFonts w:ascii="Arial" w:hAnsi="Arial" w:cs="Arial"/>
                <w:sz w:val="22"/>
                <w:szCs w:val="22"/>
              </w:rPr>
              <w:t>18</w:t>
            </w:r>
          </w:p>
        </w:tc>
      </w:tr>
      <w:tr w:rsidR="00137D69" w:rsidRPr="00996333" w14:paraId="6E931D9A" w14:textId="77777777" w:rsidTr="00996333">
        <w:trPr>
          <w:cantSplit/>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7BC4B" w14:textId="6B209F4D" w:rsidR="00137D69" w:rsidRPr="00996333" w:rsidRDefault="0022439C" w:rsidP="00137D69">
            <w:pPr>
              <w:keepNext/>
              <w:rPr>
                <w:rFonts w:ascii="Arial" w:hAnsi="Arial" w:cs="Arial"/>
                <w:b/>
                <w:sz w:val="22"/>
                <w:szCs w:val="22"/>
              </w:rPr>
            </w:pPr>
            <w:r w:rsidRPr="00996333">
              <w:rPr>
                <w:rFonts w:ascii="Arial" w:hAnsi="Arial" w:cs="Arial"/>
                <w:b/>
                <w:sz w:val="22"/>
                <w:szCs w:val="22"/>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F766B" w14:textId="38AE69E1" w:rsidR="00137D69" w:rsidRPr="00996333" w:rsidRDefault="00137D69" w:rsidP="00137D69">
            <w:pPr>
              <w:keepNext/>
              <w:jc w:val="right"/>
              <w:rPr>
                <w:rFonts w:ascii="Arial" w:hAnsi="Arial" w:cs="Arial"/>
                <w:b/>
                <w:sz w:val="22"/>
                <w:szCs w:val="22"/>
              </w:rPr>
            </w:pPr>
            <w:r w:rsidRPr="00996333">
              <w:rPr>
                <w:rFonts w:ascii="Arial" w:hAnsi="Arial" w:cs="Arial"/>
                <w:b/>
                <w:sz w:val="22"/>
                <w:szCs w:val="22"/>
              </w:rPr>
              <w:t>40.8</w:t>
            </w:r>
            <w:r w:rsidR="00CB5B27" w:rsidRPr="00996333">
              <w:rPr>
                <w:rFonts w:ascii="Arial" w:hAnsi="Arial" w:cs="Arial"/>
                <w:b/>
                <w:sz w:val="22"/>
                <w:szCs w:val="22"/>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EB360" w14:textId="219BF0DB" w:rsidR="00711D34" w:rsidRPr="00996333" w:rsidRDefault="00711D34" w:rsidP="00711D34">
            <w:pPr>
              <w:keepNext/>
              <w:jc w:val="right"/>
              <w:rPr>
                <w:rFonts w:ascii="Arial" w:hAnsi="Arial" w:cs="Arial"/>
                <w:b/>
                <w:sz w:val="22"/>
                <w:szCs w:val="22"/>
              </w:rPr>
            </w:pPr>
            <w:r w:rsidRPr="00996333">
              <w:rPr>
                <w:rFonts w:ascii="Arial" w:hAnsi="Arial" w:cs="Arial"/>
                <w:b/>
                <w:sz w:val="22"/>
                <w:szCs w:val="22"/>
              </w:rPr>
              <w:t>2</w:t>
            </w:r>
            <w:r w:rsidR="003D3F89" w:rsidRPr="00996333">
              <w:rPr>
                <w:rFonts w:ascii="Arial" w:hAnsi="Arial" w:cs="Arial"/>
                <w:b/>
                <w:sz w:val="22"/>
                <w:szCs w:val="22"/>
              </w:rPr>
              <w:t>1</w:t>
            </w:r>
            <w:r w:rsidRPr="00996333">
              <w:rPr>
                <w:rFonts w:ascii="Arial" w:hAnsi="Arial" w:cs="Arial"/>
                <w:b/>
                <w:sz w:val="22"/>
                <w:szCs w:val="22"/>
              </w:rPr>
              <w:t>.12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42ECF" w14:textId="0A74616B" w:rsidR="00137D69" w:rsidRPr="00996333" w:rsidRDefault="003D3F89" w:rsidP="00137D69">
            <w:pPr>
              <w:keepNext/>
              <w:jc w:val="right"/>
              <w:rPr>
                <w:rFonts w:ascii="Arial" w:hAnsi="Arial" w:cs="Arial"/>
                <w:b/>
                <w:sz w:val="22"/>
                <w:szCs w:val="22"/>
              </w:rPr>
            </w:pPr>
            <w:r w:rsidRPr="00996333">
              <w:rPr>
                <w:rFonts w:ascii="Arial" w:hAnsi="Arial" w:cs="Arial"/>
                <w:b/>
                <w:sz w:val="22"/>
                <w:szCs w:val="22"/>
              </w:rPr>
              <w:t>61.95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44993C" w14:textId="0978056A" w:rsidR="00137D69" w:rsidRPr="00996333" w:rsidRDefault="00137D69" w:rsidP="00137D69">
            <w:pPr>
              <w:keepNext/>
              <w:jc w:val="right"/>
              <w:rPr>
                <w:rFonts w:ascii="Arial" w:hAnsi="Arial" w:cs="Arial"/>
                <w:b/>
                <w:sz w:val="22"/>
                <w:szCs w:val="22"/>
              </w:rPr>
            </w:pPr>
            <w:r w:rsidRPr="00996333">
              <w:rPr>
                <w:rFonts w:ascii="Arial" w:hAnsi="Arial" w:cs="Arial"/>
                <w:b/>
                <w:sz w:val="22"/>
                <w:szCs w:val="22"/>
              </w:rPr>
              <w:t>0.</w:t>
            </w:r>
            <w:r w:rsidR="003D3F89" w:rsidRPr="00996333">
              <w:rPr>
                <w:rFonts w:ascii="Arial" w:hAnsi="Arial" w:cs="Arial"/>
                <w:b/>
                <w:sz w:val="22"/>
                <w:szCs w:val="22"/>
              </w:rPr>
              <w:t>16</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43B76B10" w14:textId="7311D50A" w:rsidR="00137D69" w:rsidRPr="00996333" w:rsidRDefault="00137D69" w:rsidP="00137D69">
            <w:pPr>
              <w:keepNext/>
              <w:jc w:val="right"/>
              <w:rPr>
                <w:rFonts w:ascii="Arial" w:hAnsi="Arial" w:cs="Arial"/>
                <w:b/>
                <w:sz w:val="22"/>
                <w:szCs w:val="22"/>
              </w:rPr>
            </w:pPr>
            <w:r w:rsidRPr="00996333">
              <w:rPr>
                <w:rFonts w:ascii="Arial" w:hAnsi="Arial" w:cs="Arial"/>
                <w:b/>
                <w:sz w:val="22"/>
                <w:szCs w:val="22"/>
              </w:rPr>
              <w:t>0.</w:t>
            </w:r>
            <w:r w:rsidR="00996333" w:rsidRPr="00996333">
              <w:rPr>
                <w:rFonts w:ascii="Arial" w:hAnsi="Arial" w:cs="Arial"/>
                <w:b/>
                <w:sz w:val="22"/>
                <w:szCs w:val="22"/>
              </w:rPr>
              <w:t>12</w:t>
            </w:r>
          </w:p>
        </w:tc>
      </w:tr>
      <w:tr w:rsidR="00137D69" w:rsidRPr="00996333" w14:paraId="4A1BC52E" w14:textId="77777777" w:rsidTr="00996333">
        <w:trPr>
          <w:cantSplit/>
          <w:trHeight w:val="255"/>
        </w:trPr>
        <w:tc>
          <w:tcPr>
            <w:tcW w:w="3402" w:type="dxa"/>
            <w:tcBorders>
              <w:top w:val="single" w:sz="4" w:space="0" w:color="auto"/>
              <w:left w:val="single" w:sz="4" w:space="0" w:color="auto"/>
              <w:right w:val="single" w:sz="4" w:space="0" w:color="auto"/>
            </w:tcBorders>
            <w:shd w:val="clear" w:color="auto" w:fill="auto"/>
            <w:noWrap/>
            <w:vAlign w:val="bottom"/>
          </w:tcPr>
          <w:p w14:paraId="1CE38027" w14:textId="77777777" w:rsidR="00137D69" w:rsidRPr="00996333" w:rsidRDefault="00137D69" w:rsidP="00137D69">
            <w:pPr>
              <w:keepNext/>
              <w:rPr>
                <w:rFonts w:ascii="Arial" w:hAnsi="Arial" w:cs="Arial"/>
                <w:bCs/>
                <w:sz w:val="22"/>
                <w:szCs w:val="22"/>
              </w:rPr>
            </w:pPr>
            <w:r w:rsidRPr="00996333">
              <w:rPr>
                <w:rFonts w:ascii="Arial" w:hAnsi="Arial" w:cs="Arial"/>
                <w:bCs/>
                <w:sz w:val="22"/>
                <w:szCs w:val="22"/>
              </w:rPr>
              <w:t xml:space="preserve">Long term investments </w:t>
            </w:r>
          </w:p>
        </w:tc>
        <w:tc>
          <w:tcPr>
            <w:tcW w:w="1417" w:type="dxa"/>
            <w:tcBorders>
              <w:top w:val="single" w:sz="4" w:space="0" w:color="auto"/>
              <w:left w:val="single" w:sz="4" w:space="0" w:color="auto"/>
              <w:right w:val="single" w:sz="4" w:space="0" w:color="auto"/>
            </w:tcBorders>
            <w:shd w:val="clear" w:color="auto" w:fill="auto"/>
            <w:noWrap/>
            <w:vAlign w:val="center"/>
          </w:tcPr>
          <w:p w14:paraId="5EB81E86" w14:textId="5F7838DD" w:rsidR="00137D69" w:rsidRPr="00996333" w:rsidRDefault="00137D69" w:rsidP="00137D69">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shd w:val="clear" w:color="auto" w:fill="auto"/>
            <w:vAlign w:val="center"/>
          </w:tcPr>
          <w:p w14:paraId="5877EA06" w14:textId="46A93546" w:rsidR="00137D69" w:rsidRPr="00996333" w:rsidRDefault="00137D69" w:rsidP="00137D69">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shd w:val="clear" w:color="auto" w:fill="auto"/>
            <w:noWrap/>
            <w:vAlign w:val="center"/>
          </w:tcPr>
          <w:p w14:paraId="0B59BEE0" w14:textId="31207EB2" w:rsidR="00137D69" w:rsidRPr="00996333" w:rsidRDefault="00137D69" w:rsidP="00137D69">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shd w:val="clear" w:color="auto" w:fill="auto"/>
            <w:vAlign w:val="center"/>
          </w:tcPr>
          <w:p w14:paraId="0CFC50EC" w14:textId="5FAAA8F4" w:rsidR="00137D69" w:rsidRPr="00996333" w:rsidRDefault="00137D69" w:rsidP="00137D69">
            <w:pPr>
              <w:keepNext/>
              <w:jc w:val="right"/>
              <w:rPr>
                <w:rFonts w:ascii="Arial" w:hAnsi="Arial" w:cs="Arial"/>
                <w:sz w:val="22"/>
                <w:szCs w:val="22"/>
              </w:rPr>
            </w:pPr>
          </w:p>
        </w:tc>
        <w:tc>
          <w:tcPr>
            <w:tcW w:w="1421" w:type="dxa"/>
            <w:tcBorders>
              <w:top w:val="single" w:sz="4" w:space="0" w:color="auto"/>
              <w:left w:val="single" w:sz="4" w:space="0" w:color="auto"/>
              <w:right w:val="single" w:sz="4" w:space="0" w:color="auto"/>
            </w:tcBorders>
            <w:shd w:val="clear" w:color="auto" w:fill="auto"/>
            <w:vAlign w:val="center"/>
          </w:tcPr>
          <w:p w14:paraId="46B93464" w14:textId="32E03DAB" w:rsidR="00137D69" w:rsidRPr="00996333" w:rsidRDefault="00137D69" w:rsidP="00137D69">
            <w:pPr>
              <w:keepNext/>
              <w:jc w:val="right"/>
              <w:rPr>
                <w:rFonts w:ascii="Arial" w:hAnsi="Arial" w:cs="Arial"/>
                <w:sz w:val="22"/>
                <w:szCs w:val="22"/>
              </w:rPr>
            </w:pPr>
          </w:p>
        </w:tc>
      </w:tr>
      <w:tr w:rsidR="00137D69" w:rsidRPr="00996333" w14:paraId="6516CDA4" w14:textId="77777777" w:rsidTr="00996333">
        <w:trPr>
          <w:cantSplit/>
          <w:trHeight w:val="255"/>
        </w:trPr>
        <w:tc>
          <w:tcPr>
            <w:tcW w:w="3402" w:type="dxa"/>
            <w:tcBorders>
              <w:left w:val="single" w:sz="4" w:space="0" w:color="auto"/>
              <w:bottom w:val="single" w:sz="4" w:space="0" w:color="auto"/>
              <w:right w:val="single" w:sz="4" w:space="0" w:color="auto"/>
            </w:tcBorders>
            <w:shd w:val="clear" w:color="auto" w:fill="auto"/>
            <w:noWrap/>
            <w:vAlign w:val="bottom"/>
          </w:tcPr>
          <w:p w14:paraId="12AAEBFB" w14:textId="0AFD69D5" w:rsidR="00137D69" w:rsidRPr="00996333" w:rsidRDefault="00137D69" w:rsidP="00137D69">
            <w:pPr>
              <w:keepNext/>
              <w:numPr>
                <w:ilvl w:val="0"/>
                <w:numId w:val="1"/>
              </w:numPr>
              <w:ind w:left="318" w:hanging="284"/>
              <w:rPr>
                <w:rFonts w:ascii="Arial" w:hAnsi="Arial" w:cs="Arial"/>
                <w:bCs/>
                <w:sz w:val="22"/>
                <w:szCs w:val="22"/>
              </w:rPr>
            </w:pPr>
            <w:r w:rsidRPr="00996333">
              <w:rPr>
                <w:rFonts w:ascii="Arial" w:hAnsi="Arial" w:cs="Arial"/>
                <w:bCs/>
                <w:sz w:val="22"/>
                <w:szCs w:val="22"/>
              </w:rPr>
              <w:t xml:space="preserve">Local </w:t>
            </w:r>
            <w:r w:rsidR="00C61B01" w:rsidRPr="00996333">
              <w:rPr>
                <w:rFonts w:ascii="Arial" w:hAnsi="Arial" w:cs="Arial"/>
                <w:bCs/>
                <w:sz w:val="22"/>
                <w:szCs w:val="22"/>
              </w:rPr>
              <w:t>a</w:t>
            </w:r>
            <w:r w:rsidRPr="00996333">
              <w:rPr>
                <w:rFonts w:ascii="Arial" w:hAnsi="Arial" w:cs="Arial"/>
                <w:bCs/>
                <w:sz w:val="22"/>
                <w:szCs w:val="22"/>
              </w:rPr>
              <w:t>uthorities</w:t>
            </w:r>
          </w:p>
        </w:tc>
        <w:tc>
          <w:tcPr>
            <w:tcW w:w="1417" w:type="dxa"/>
            <w:tcBorders>
              <w:left w:val="single" w:sz="4" w:space="0" w:color="auto"/>
              <w:bottom w:val="single" w:sz="4" w:space="0" w:color="auto"/>
              <w:right w:val="single" w:sz="4" w:space="0" w:color="auto"/>
            </w:tcBorders>
            <w:shd w:val="clear" w:color="auto" w:fill="auto"/>
            <w:noWrap/>
            <w:vAlign w:val="center"/>
          </w:tcPr>
          <w:p w14:paraId="422BAD1D" w14:textId="67B9037F" w:rsidR="00137D69" w:rsidRPr="00996333" w:rsidRDefault="00137D69" w:rsidP="00137D69">
            <w:pPr>
              <w:keepNext/>
              <w:jc w:val="right"/>
              <w:rPr>
                <w:rFonts w:ascii="Arial" w:hAnsi="Arial" w:cs="Arial"/>
                <w:sz w:val="22"/>
                <w:szCs w:val="22"/>
              </w:rPr>
            </w:pPr>
            <w:r w:rsidRPr="00996333">
              <w:rPr>
                <w:rFonts w:ascii="Arial" w:hAnsi="Arial" w:cs="Arial"/>
                <w:sz w:val="22"/>
                <w:szCs w:val="22"/>
              </w:rPr>
              <w:t>-</w:t>
            </w:r>
          </w:p>
        </w:tc>
        <w:tc>
          <w:tcPr>
            <w:tcW w:w="1417" w:type="dxa"/>
            <w:tcBorders>
              <w:left w:val="single" w:sz="4" w:space="0" w:color="auto"/>
              <w:bottom w:val="single" w:sz="4" w:space="0" w:color="auto"/>
              <w:right w:val="single" w:sz="4" w:space="0" w:color="auto"/>
            </w:tcBorders>
            <w:shd w:val="clear" w:color="auto" w:fill="auto"/>
            <w:vAlign w:val="center"/>
          </w:tcPr>
          <w:p w14:paraId="209CFC77" w14:textId="6984726F" w:rsidR="00137D69" w:rsidRPr="00996333" w:rsidRDefault="003D3F89" w:rsidP="00137D69">
            <w:pPr>
              <w:keepNext/>
              <w:jc w:val="right"/>
              <w:rPr>
                <w:rFonts w:ascii="Arial" w:hAnsi="Arial" w:cs="Arial"/>
                <w:sz w:val="22"/>
                <w:szCs w:val="22"/>
              </w:rPr>
            </w:pPr>
            <w:r w:rsidRPr="00996333">
              <w:rPr>
                <w:rFonts w:ascii="Arial" w:hAnsi="Arial" w:cs="Arial"/>
                <w:sz w:val="22"/>
                <w:szCs w:val="22"/>
              </w:rPr>
              <w:t>2.00</w:t>
            </w:r>
          </w:p>
        </w:tc>
        <w:tc>
          <w:tcPr>
            <w:tcW w:w="1417" w:type="dxa"/>
            <w:tcBorders>
              <w:left w:val="single" w:sz="4" w:space="0" w:color="auto"/>
              <w:bottom w:val="single" w:sz="4" w:space="0" w:color="auto"/>
              <w:right w:val="single" w:sz="4" w:space="0" w:color="auto"/>
            </w:tcBorders>
            <w:shd w:val="clear" w:color="auto" w:fill="auto"/>
            <w:noWrap/>
            <w:vAlign w:val="center"/>
          </w:tcPr>
          <w:p w14:paraId="418E2D48" w14:textId="6D3875C8" w:rsidR="00137D69" w:rsidRPr="00996333" w:rsidRDefault="003D3F89" w:rsidP="00137D69">
            <w:pPr>
              <w:keepNext/>
              <w:jc w:val="right"/>
              <w:rPr>
                <w:rFonts w:ascii="Arial" w:hAnsi="Arial" w:cs="Arial"/>
                <w:sz w:val="22"/>
                <w:szCs w:val="22"/>
              </w:rPr>
            </w:pPr>
            <w:r w:rsidRPr="00996333">
              <w:rPr>
                <w:rFonts w:ascii="Arial" w:hAnsi="Arial" w:cs="Arial"/>
                <w:sz w:val="22"/>
                <w:szCs w:val="22"/>
              </w:rPr>
              <w:t>2.00</w:t>
            </w:r>
          </w:p>
        </w:tc>
        <w:tc>
          <w:tcPr>
            <w:tcW w:w="1417" w:type="dxa"/>
            <w:tcBorders>
              <w:left w:val="single" w:sz="4" w:space="0" w:color="auto"/>
              <w:bottom w:val="single" w:sz="4" w:space="0" w:color="auto"/>
              <w:right w:val="single" w:sz="4" w:space="0" w:color="auto"/>
            </w:tcBorders>
            <w:shd w:val="clear" w:color="auto" w:fill="auto"/>
            <w:vAlign w:val="center"/>
          </w:tcPr>
          <w:p w14:paraId="066C0B03" w14:textId="27833A89" w:rsidR="00137D69" w:rsidRPr="00996333" w:rsidRDefault="003D3F89" w:rsidP="00137D69">
            <w:pPr>
              <w:keepNext/>
              <w:jc w:val="right"/>
              <w:rPr>
                <w:rFonts w:ascii="Arial" w:hAnsi="Arial" w:cs="Arial"/>
                <w:sz w:val="22"/>
                <w:szCs w:val="22"/>
              </w:rPr>
            </w:pPr>
            <w:r w:rsidRPr="00996333">
              <w:rPr>
                <w:rFonts w:ascii="Arial" w:hAnsi="Arial" w:cs="Arial"/>
                <w:sz w:val="22"/>
                <w:szCs w:val="22"/>
              </w:rPr>
              <w:t>1.60</w:t>
            </w:r>
          </w:p>
        </w:tc>
        <w:tc>
          <w:tcPr>
            <w:tcW w:w="1421" w:type="dxa"/>
            <w:tcBorders>
              <w:left w:val="single" w:sz="4" w:space="0" w:color="auto"/>
              <w:bottom w:val="single" w:sz="4" w:space="0" w:color="auto"/>
              <w:right w:val="single" w:sz="4" w:space="0" w:color="auto"/>
            </w:tcBorders>
            <w:shd w:val="clear" w:color="auto" w:fill="auto"/>
            <w:vAlign w:val="center"/>
          </w:tcPr>
          <w:p w14:paraId="79EF1C1F" w14:textId="1C501942" w:rsidR="00137D69" w:rsidRPr="00996333" w:rsidRDefault="00996333" w:rsidP="00137D69">
            <w:pPr>
              <w:keepNext/>
              <w:jc w:val="right"/>
              <w:rPr>
                <w:rFonts w:ascii="Arial" w:hAnsi="Arial" w:cs="Arial"/>
                <w:sz w:val="22"/>
                <w:szCs w:val="22"/>
              </w:rPr>
            </w:pPr>
            <w:r w:rsidRPr="00996333">
              <w:rPr>
                <w:rFonts w:ascii="Arial" w:hAnsi="Arial" w:cs="Arial"/>
                <w:sz w:val="22"/>
                <w:szCs w:val="22"/>
              </w:rPr>
              <w:t>2.04</w:t>
            </w:r>
          </w:p>
        </w:tc>
      </w:tr>
      <w:tr w:rsidR="00137D69" w:rsidRPr="00996333" w14:paraId="05D3A218" w14:textId="77777777" w:rsidTr="00996333">
        <w:trPr>
          <w:cantSplit/>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BFA80" w14:textId="7A30DAEC" w:rsidR="00137D69" w:rsidRPr="00996333" w:rsidRDefault="00EF2B8B" w:rsidP="00137D69">
            <w:pPr>
              <w:keepNext/>
              <w:rPr>
                <w:rFonts w:ascii="Arial" w:hAnsi="Arial" w:cs="Arial"/>
                <w:b/>
                <w:sz w:val="22"/>
                <w:szCs w:val="22"/>
              </w:rPr>
            </w:pPr>
            <w:r w:rsidRPr="00996333">
              <w:rPr>
                <w:rFonts w:ascii="Arial" w:hAnsi="Arial" w:cs="Arial"/>
                <w:b/>
                <w:sz w:val="22"/>
                <w:szCs w:val="22"/>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5C5E3" w14:textId="7AEE63B5" w:rsidR="00137D69" w:rsidRPr="00996333" w:rsidRDefault="00137D69" w:rsidP="00137D69">
            <w:pPr>
              <w:keepNext/>
              <w:jc w:val="right"/>
              <w:rPr>
                <w:rFonts w:ascii="Arial" w:hAnsi="Arial" w:cs="Arial"/>
                <w:b/>
                <w:sz w:val="22"/>
                <w:szCs w:val="22"/>
              </w:rPr>
            </w:pPr>
            <w:r w:rsidRPr="00996333">
              <w:rPr>
                <w:rFonts w:ascii="Arial" w:hAnsi="Arial" w:cs="Arial"/>
                <w:b/>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55096" w14:textId="2456D1AF" w:rsidR="00137D69" w:rsidRPr="00996333" w:rsidRDefault="003D3F89" w:rsidP="00137D69">
            <w:pPr>
              <w:keepNext/>
              <w:jc w:val="right"/>
              <w:rPr>
                <w:rFonts w:ascii="Arial" w:hAnsi="Arial" w:cs="Arial"/>
                <w:b/>
                <w:sz w:val="22"/>
                <w:szCs w:val="22"/>
              </w:rPr>
            </w:pPr>
            <w:r w:rsidRPr="00996333">
              <w:rPr>
                <w:rFonts w:ascii="Arial" w:hAnsi="Arial" w:cs="Arial"/>
                <w:b/>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14A09" w14:textId="2DB95C46" w:rsidR="00137D69" w:rsidRPr="00996333" w:rsidRDefault="00CB6426" w:rsidP="00137D69">
            <w:pPr>
              <w:keepNext/>
              <w:jc w:val="right"/>
              <w:rPr>
                <w:rFonts w:ascii="Arial" w:hAnsi="Arial" w:cs="Arial"/>
                <w:b/>
                <w:sz w:val="22"/>
                <w:szCs w:val="22"/>
              </w:rPr>
            </w:pPr>
            <w:r>
              <w:rPr>
                <w:rFonts w:ascii="Arial" w:hAnsi="Arial" w:cs="Arial"/>
                <w:b/>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D1EFF1" w14:textId="5E8F941D" w:rsidR="00137D69" w:rsidRPr="00996333" w:rsidRDefault="003D3F89" w:rsidP="00137D69">
            <w:pPr>
              <w:keepNext/>
              <w:jc w:val="right"/>
              <w:rPr>
                <w:rFonts w:ascii="Arial" w:hAnsi="Arial" w:cs="Arial"/>
                <w:b/>
                <w:sz w:val="22"/>
                <w:szCs w:val="22"/>
              </w:rPr>
            </w:pPr>
            <w:r w:rsidRPr="00996333">
              <w:rPr>
                <w:rFonts w:ascii="Arial" w:hAnsi="Arial" w:cs="Arial"/>
                <w:b/>
                <w:sz w:val="22"/>
                <w:szCs w:val="22"/>
              </w:rPr>
              <w:t>1.60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36EEE4FD" w14:textId="4C0687C9" w:rsidR="00137D69" w:rsidRPr="00996333" w:rsidRDefault="00996333" w:rsidP="00137D69">
            <w:pPr>
              <w:keepNext/>
              <w:jc w:val="right"/>
              <w:rPr>
                <w:rFonts w:ascii="Arial" w:hAnsi="Arial" w:cs="Arial"/>
                <w:b/>
                <w:sz w:val="22"/>
                <w:szCs w:val="22"/>
              </w:rPr>
            </w:pPr>
            <w:r w:rsidRPr="00996333">
              <w:rPr>
                <w:rFonts w:ascii="Arial" w:hAnsi="Arial" w:cs="Arial"/>
                <w:b/>
                <w:sz w:val="22"/>
                <w:szCs w:val="22"/>
              </w:rPr>
              <w:t>2.04</w:t>
            </w:r>
          </w:p>
        </w:tc>
      </w:tr>
      <w:tr w:rsidR="00137D69" w:rsidRPr="00996333" w14:paraId="3693178C" w14:textId="77777777" w:rsidTr="00996333">
        <w:trPr>
          <w:cantSplit/>
          <w:trHeight w:val="255"/>
        </w:trPr>
        <w:tc>
          <w:tcPr>
            <w:tcW w:w="3402" w:type="dxa"/>
            <w:tcBorders>
              <w:top w:val="single" w:sz="4" w:space="0" w:color="auto"/>
              <w:left w:val="single" w:sz="4" w:space="0" w:color="auto"/>
              <w:right w:val="single" w:sz="4" w:space="0" w:color="auto"/>
            </w:tcBorders>
            <w:shd w:val="clear" w:color="auto" w:fill="auto"/>
            <w:noWrap/>
            <w:vAlign w:val="bottom"/>
          </w:tcPr>
          <w:p w14:paraId="22FE2094" w14:textId="6EA83931" w:rsidR="00137D69" w:rsidRPr="00996333" w:rsidRDefault="00137D69" w:rsidP="00137D69">
            <w:pPr>
              <w:keepNext/>
              <w:rPr>
                <w:rFonts w:ascii="Arial" w:hAnsi="Arial" w:cs="Arial"/>
                <w:bCs/>
                <w:sz w:val="22"/>
                <w:szCs w:val="22"/>
              </w:rPr>
            </w:pPr>
            <w:r w:rsidRPr="00996333">
              <w:rPr>
                <w:rFonts w:ascii="Arial" w:hAnsi="Arial" w:cs="Arial"/>
                <w:bCs/>
                <w:sz w:val="22"/>
                <w:szCs w:val="22"/>
              </w:rPr>
              <w:t>Higher yielding investments</w:t>
            </w:r>
          </w:p>
        </w:tc>
        <w:tc>
          <w:tcPr>
            <w:tcW w:w="1417" w:type="dxa"/>
            <w:tcBorders>
              <w:top w:val="single" w:sz="4" w:space="0" w:color="auto"/>
              <w:left w:val="single" w:sz="4" w:space="0" w:color="auto"/>
              <w:right w:val="single" w:sz="4" w:space="0" w:color="auto"/>
            </w:tcBorders>
            <w:shd w:val="clear" w:color="auto" w:fill="auto"/>
            <w:noWrap/>
            <w:vAlign w:val="center"/>
          </w:tcPr>
          <w:p w14:paraId="0A34878A" w14:textId="267403C7" w:rsidR="00137D69" w:rsidRPr="00996333" w:rsidRDefault="00137D69" w:rsidP="00137D69">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shd w:val="clear" w:color="auto" w:fill="auto"/>
            <w:vAlign w:val="center"/>
          </w:tcPr>
          <w:p w14:paraId="1C406E56" w14:textId="08C5F813" w:rsidR="00137D69" w:rsidRPr="00996333" w:rsidRDefault="00137D69" w:rsidP="00137D69">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shd w:val="clear" w:color="auto" w:fill="auto"/>
            <w:noWrap/>
            <w:vAlign w:val="center"/>
          </w:tcPr>
          <w:p w14:paraId="6ED58B5E" w14:textId="788B082F" w:rsidR="00137D69" w:rsidRPr="00996333" w:rsidRDefault="00137D69" w:rsidP="00137D69">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shd w:val="clear" w:color="auto" w:fill="auto"/>
            <w:vAlign w:val="center"/>
          </w:tcPr>
          <w:p w14:paraId="115082D9" w14:textId="7C021FCD" w:rsidR="00137D69" w:rsidRPr="00996333" w:rsidRDefault="00137D69" w:rsidP="00137D69">
            <w:pPr>
              <w:keepNext/>
              <w:jc w:val="right"/>
              <w:rPr>
                <w:rFonts w:ascii="Arial" w:hAnsi="Arial" w:cs="Arial"/>
                <w:sz w:val="22"/>
                <w:szCs w:val="22"/>
              </w:rPr>
            </w:pPr>
          </w:p>
        </w:tc>
        <w:tc>
          <w:tcPr>
            <w:tcW w:w="1421" w:type="dxa"/>
            <w:tcBorders>
              <w:top w:val="single" w:sz="4" w:space="0" w:color="auto"/>
              <w:left w:val="single" w:sz="4" w:space="0" w:color="auto"/>
              <w:right w:val="single" w:sz="4" w:space="0" w:color="auto"/>
            </w:tcBorders>
            <w:shd w:val="clear" w:color="auto" w:fill="auto"/>
            <w:vAlign w:val="center"/>
          </w:tcPr>
          <w:p w14:paraId="58B86F4F" w14:textId="0470F20A" w:rsidR="00137D69" w:rsidRPr="00996333" w:rsidRDefault="00137D69" w:rsidP="00137D69">
            <w:pPr>
              <w:keepNext/>
              <w:jc w:val="right"/>
              <w:rPr>
                <w:rFonts w:ascii="Arial" w:hAnsi="Arial" w:cs="Arial"/>
                <w:sz w:val="22"/>
                <w:szCs w:val="22"/>
              </w:rPr>
            </w:pPr>
          </w:p>
        </w:tc>
      </w:tr>
      <w:tr w:rsidR="00084837" w:rsidRPr="00996333" w14:paraId="2DF180A0" w14:textId="77777777" w:rsidTr="00996333">
        <w:trPr>
          <w:cantSplit/>
          <w:trHeight w:val="255"/>
        </w:trPr>
        <w:tc>
          <w:tcPr>
            <w:tcW w:w="3402" w:type="dxa"/>
            <w:tcBorders>
              <w:left w:val="single" w:sz="4" w:space="0" w:color="auto"/>
              <w:right w:val="single" w:sz="4" w:space="0" w:color="auto"/>
            </w:tcBorders>
            <w:shd w:val="clear" w:color="auto" w:fill="auto"/>
            <w:noWrap/>
            <w:vAlign w:val="bottom"/>
          </w:tcPr>
          <w:p w14:paraId="5C05DD21" w14:textId="67A0BF3C" w:rsidR="00084837" w:rsidRPr="00996333" w:rsidRDefault="00084837" w:rsidP="00137D69">
            <w:pPr>
              <w:keepNext/>
              <w:numPr>
                <w:ilvl w:val="0"/>
                <w:numId w:val="1"/>
              </w:numPr>
              <w:ind w:left="318" w:hanging="284"/>
              <w:rPr>
                <w:rFonts w:ascii="Arial" w:hAnsi="Arial" w:cs="Arial"/>
                <w:bCs/>
                <w:sz w:val="22"/>
                <w:szCs w:val="22"/>
              </w:rPr>
            </w:pPr>
            <w:r w:rsidRPr="00996333">
              <w:rPr>
                <w:rFonts w:ascii="Arial" w:hAnsi="Arial" w:cs="Arial"/>
                <w:bCs/>
                <w:sz w:val="22"/>
                <w:szCs w:val="22"/>
              </w:rPr>
              <w:t>Pooled funds:</w:t>
            </w:r>
          </w:p>
        </w:tc>
        <w:tc>
          <w:tcPr>
            <w:tcW w:w="1417" w:type="dxa"/>
            <w:tcBorders>
              <w:left w:val="single" w:sz="4" w:space="0" w:color="auto"/>
              <w:right w:val="single" w:sz="4" w:space="0" w:color="auto"/>
            </w:tcBorders>
            <w:shd w:val="clear" w:color="auto" w:fill="auto"/>
            <w:noWrap/>
            <w:vAlign w:val="center"/>
          </w:tcPr>
          <w:p w14:paraId="6801315F" w14:textId="77777777" w:rsidR="00084837" w:rsidRPr="00996333" w:rsidRDefault="00084837" w:rsidP="00137D69">
            <w:pPr>
              <w:keepNext/>
              <w:jc w:val="right"/>
              <w:rPr>
                <w:rFonts w:ascii="Arial" w:hAnsi="Arial" w:cs="Arial"/>
                <w:sz w:val="22"/>
                <w:szCs w:val="22"/>
              </w:rPr>
            </w:pPr>
          </w:p>
        </w:tc>
        <w:tc>
          <w:tcPr>
            <w:tcW w:w="1417" w:type="dxa"/>
            <w:tcBorders>
              <w:left w:val="single" w:sz="4" w:space="0" w:color="auto"/>
              <w:right w:val="single" w:sz="4" w:space="0" w:color="auto"/>
            </w:tcBorders>
            <w:shd w:val="clear" w:color="auto" w:fill="auto"/>
            <w:vAlign w:val="center"/>
          </w:tcPr>
          <w:p w14:paraId="10D0096B" w14:textId="77777777" w:rsidR="00084837" w:rsidRPr="00996333" w:rsidRDefault="00084837" w:rsidP="00137D69">
            <w:pPr>
              <w:keepNext/>
              <w:jc w:val="right"/>
              <w:rPr>
                <w:rFonts w:ascii="Arial" w:hAnsi="Arial" w:cs="Arial"/>
                <w:sz w:val="22"/>
                <w:szCs w:val="22"/>
              </w:rPr>
            </w:pPr>
          </w:p>
        </w:tc>
        <w:tc>
          <w:tcPr>
            <w:tcW w:w="1417" w:type="dxa"/>
            <w:tcBorders>
              <w:left w:val="single" w:sz="4" w:space="0" w:color="auto"/>
              <w:right w:val="single" w:sz="4" w:space="0" w:color="auto"/>
            </w:tcBorders>
            <w:shd w:val="clear" w:color="auto" w:fill="auto"/>
            <w:noWrap/>
            <w:vAlign w:val="center"/>
          </w:tcPr>
          <w:p w14:paraId="180603AC" w14:textId="77777777" w:rsidR="00084837" w:rsidRPr="00996333" w:rsidRDefault="00084837" w:rsidP="00137D69">
            <w:pPr>
              <w:keepNext/>
              <w:jc w:val="right"/>
              <w:rPr>
                <w:rFonts w:ascii="Arial" w:hAnsi="Arial" w:cs="Arial"/>
                <w:sz w:val="22"/>
                <w:szCs w:val="22"/>
              </w:rPr>
            </w:pPr>
          </w:p>
        </w:tc>
        <w:tc>
          <w:tcPr>
            <w:tcW w:w="1417" w:type="dxa"/>
            <w:tcBorders>
              <w:left w:val="single" w:sz="4" w:space="0" w:color="auto"/>
              <w:right w:val="single" w:sz="4" w:space="0" w:color="auto"/>
            </w:tcBorders>
            <w:shd w:val="clear" w:color="auto" w:fill="auto"/>
            <w:vAlign w:val="center"/>
          </w:tcPr>
          <w:p w14:paraId="39C7A0FF" w14:textId="77777777" w:rsidR="00084837" w:rsidRPr="00996333" w:rsidRDefault="00084837" w:rsidP="00137D69">
            <w:pPr>
              <w:keepNext/>
              <w:jc w:val="right"/>
              <w:rPr>
                <w:rFonts w:ascii="Arial" w:hAnsi="Arial" w:cs="Arial"/>
                <w:sz w:val="22"/>
                <w:szCs w:val="22"/>
              </w:rPr>
            </w:pPr>
          </w:p>
        </w:tc>
        <w:tc>
          <w:tcPr>
            <w:tcW w:w="1421" w:type="dxa"/>
            <w:tcBorders>
              <w:left w:val="single" w:sz="4" w:space="0" w:color="auto"/>
              <w:right w:val="single" w:sz="4" w:space="0" w:color="auto"/>
            </w:tcBorders>
            <w:shd w:val="clear" w:color="auto" w:fill="auto"/>
            <w:vAlign w:val="center"/>
          </w:tcPr>
          <w:p w14:paraId="3A78235D" w14:textId="77777777" w:rsidR="00084837" w:rsidRPr="00996333" w:rsidRDefault="00084837" w:rsidP="00137D69">
            <w:pPr>
              <w:keepNext/>
              <w:jc w:val="right"/>
              <w:rPr>
                <w:rFonts w:ascii="Arial" w:hAnsi="Arial" w:cs="Arial"/>
                <w:sz w:val="22"/>
                <w:szCs w:val="22"/>
              </w:rPr>
            </w:pPr>
          </w:p>
        </w:tc>
      </w:tr>
      <w:tr w:rsidR="00137D69" w:rsidRPr="00996333" w14:paraId="5A706832" w14:textId="77777777" w:rsidTr="00996333">
        <w:trPr>
          <w:cantSplit/>
          <w:trHeight w:val="255"/>
        </w:trPr>
        <w:tc>
          <w:tcPr>
            <w:tcW w:w="3402" w:type="dxa"/>
            <w:tcBorders>
              <w:left w:val="single" w:sz="4" w:space="0" w:color="auto"/>
              <w:right w:val="single" w:sz="4" w:space="0" w:color="auto"/>
            </w:tcBorders>
            <w:shd w:val="clear" w:color="auto" w:fill="auto"/>
            <w:noWrap/>
            <w:vAlign w:val="bottom"/>
          </w:tcPr>
          <w:p w14:paraId="43FB1446" w14:textId="6DB1242D" w:rsidR="00137D69" w:rsidRPr="00996333" w:rsidRDefault="00137D69" w:rsidP="00137D69">
            <w:pPr>
              <w:keepNext/>
              <w:numPr>
                <w:ilvl w:val="0"/>
                <w:numId w:val="1"/>
              </w:numPr>
              <w:ind w:left="318" w:hanging="284"/>
              <w:rPr>
                <w:rFonts w:ascii="Arial" w:hAnsi="Arial" w:cs="Arial"/>
                <w:bCs/>
                <w:sz w:val="22"/>
                <w:szCs w:val="22"/>
              </w:rPr>
            </w:pPr>
            <w:r w:rsidRPr="00996333">
              <w:rPr>
                <w:rFonts w:ascii="Arial" w:hAnsi="Arial" w:cs="Arial"/>
                <w:bCs/>
                <w:sz w:val="22"/>
                <w:szCs w:val="22"/>
              </w:rPr>
              <w:t xml:space="preserve">Pooled </w:t>
            </w:r>
            <w:r w:rsidR="00C61B01" w:rsidRPr="00996333">
              <w:rPr>
                <w:rFonts w:ascii="Arial" w:hAnsi="Arial" w:cs="Arial"/>
                <w:bCs/>
                <w:sz w:val="22"/>
                <w:szCs w:val="22"/>
              </w:rPr>
              <w:t>p</w:t>
            </w:r>
            <w:r w:rsidRPr="00996333">
              <w:rPr>
                <w:rFonts w:ascii="Arial" w:hAnsi="Arial" w:cs="Arial"/>
                <w:bCs/>
                <w:sz w:val="22"/>
                <w:szCs w:val="22"/>
              </w:rPr>
              <w:t>roperty</w:t>
            </w:r>
            <w:r w:rsidR="008B7B4A" w:rsidRPr="00996333">
              <w:rPr>
                <w:rFonts w:ascii="Arial" w:hAnsi="Arial" w:cs="Arial"/>
                <w:bCs/>
                <w:sz w:val="22"/>
                <w:szCs w:val="22"/>
              </w:rPr>
              <w:t>*</w:t>
            </w:r>
          </w:p>
        </w:tc>
        <w:tc>
          <w:tcPr>
            <w:tcW w:w="1417" w:type="dxa"/>
            <w:tcBorders>
              <w:left w:val="single" w:sz="4" w:space="0" w:color="auto"/>
              <w:right w:val="single" w:sz="4" w:space="0" w:color="auto"/>
            </w:tcBorders>
            <w:shd w:val="clear" w:color="auto" w:fill="auto"/>
            <w:noWrap/>
            <w:vAlign w:val="center"/>
          </w:tcPr>
          <w:p w14:paraId="1245A709" w14:textId="1620B562" w:rsidR="00137D69" w:rsidRPr="00996333" w:rsidRDefault="00137D69" w:rsidP="00137D69">
            <w:pPr>
              <w:keepNext/>
              <w:jc w:val="right"/>
              <w:rPr>
                <w:rFonts w:ascii="Arial" w:hAnsi="Arial" w:cs="Arial"/>
                <w:sz w:val="22"/>
                <w:szCs w:val="22"/>
              </w:rPr>
            </w:pPr>
            <w:r w:rsidRPr="00996333">
              <w:rPr>
                <w:rFonts w:ascii="Arial" w:hAnsi="Arial" w:cs="Arial"/>
                <w:sz w:val="22"/>
                <w:szCs w:val="22"/>
              </w:rPr>
              <w:t>4.0</w:t>
            </w:r>
            <w:r w:rsidR="00CB5B27" w:rsidRPr="00996333">
              <w:rPr>
                <w:rFonts w:ascii="Arial" w:hAnsi="Arial" w:cs="Arial"/>
                <w:sz w:val="22"/>
                <w:szCs w:val="22"/>
              </w:rPr>
              <w:t>0</w:t>
            </w:r>
          </w:p>
        </w:tc>
        <w:tc>
          <w:tcPr>
            <w:tcW w:w="1417" w:type="dxa"/>
            <w:tcBorders>
              <w:left w:val="single" w:sz="4" w:space="0" w:color="auto"/>
              <w:right w:val="single" w:sz="4" w:space="0" w:color="auto"/>
            </w:tcBorders>
            <w:shd w:val="clear" w:color="auto" w:fill="auto"/>
            <w:vAlign w:val="center"/>
          </w:tcPr>
          <w:p w14:paraId="1525C370" w14:textId="58BDC30D" w:rsidR="00137D69" w:rsidRPr="00996333" w:rsidRDefault="003D3F89" w:rsidP="00137D69">
            <w:pPr>
              <w:keepNext/>
              <w:jc w:val="right"/>
              <w:rPr>
                <w:rFonts w:ascii="Arial" w:hAnsi="Arial" w:cs="Arial"/>
                <w:sz w:val="22"/>
                <w:szCs w:val="22"/>
              </w:rPr>
            </w:pPr>
            <w:r w:rsidRPr="00996333">
              <w:rPr>
                <w:rFonts w:ascii="Arial" w:hAnsi="Arial" w:cs="Arial"/>
                <w:sz w:val="22"/>
                <w:szCs w:val="22"/>
              </w:rPr>
              <w:t>-</w:t>
            </w:r>
          </w:p>
        </w:tc>
        <w:tc>
          <w:tcPr>
            <w:tcW w:w="1417" w:type="dxa"/>
            <w:tcBorders>
              <w:left w:val="single" w:sz="4" w:space="0" w:color="auto"/>
              <w:right w:val="single" w:sz="4" w:space="0" w:color="auto"/>
            </w:tcBorders>
            <w:shd w:val="clear" w:color="auto" w:fill="auto"/>
            <w:noWrap/>
            <w:vAlign w:val="center"/>
          </w:tcPr>
          <w:p w14:paraId="64C757E2" w14:textId="2A0B6BC6" w:rsidR="00137D69" w:rsidRPr="00996333" w:rsidRDefault="00137D69" w:rsidP="00137D69">
            <w:pPr>
              <w:keepNext/>
              <w:jc w:val="right"/>
              <w:rPr>
                <w:rFonts w:ascii="Arial" w:hAnsi="Arial" w:cs="Arial"/>
                <w:sz w:val="22"/>
                <w:szCs w:val="22"/>
              </w:rPr>
            </w:pPr>
            <w:r w:rsidRPr="00996333">
              <w:rPr>
                <w:rFonts w:ascii="Arial" w:hAnsi="Arial" w:cs="Arial"/>
                <w:sz w:val="22"/>
                <w:szCs w:val="22"/>
              </w:rPr>
              <w:t>4.0</w:t>
            </w:r>
            <w:r w:rsidR="003D3F89" w:rsidRPr="00996333">
              <w:rPr>
                <w:rFonts w:ascii="Arial" w:hAnsi="Arial" w:cs="Arial"/>
                <w:sz w:val="22"/>
                <w:szCs w:val="22"/>
              </w:rPr>
              <w:t>0</w:t>
            </w:r>
          </w:p>
        </w:tc>
        <w:tc>
          <w:tcPr>
            <w:tcW w:w="1417" w:type="dxa"/>
            <w:tcBorders>
              <w:left w:val="single" w:sz="4" w:space="0" w:color="auto"/>
              <w:right w:val="single" w:sz="4" w:space="0" w:color="auto"/>
            </w:tcBorders>
            <w:shd w:val="clear" w:color="auto" w:fill="auto"/>
            <w:vAlign w:val="center"/>
          </w:tcPr>
          <w:p w14:paraId="4E835BC8" w14:textId="316A120E" w:rsidR="00137D69" w:rsidRPr="00996333" w:rsidRDefault="003D3F89" w:rsidP="00137D69">
            <w:pPr>
              <w:keepNext/>
              <w:jc w:val="right"/>
              <w:rPr>
                <w:rFonts w:ascii="Arial" w:hAnsi="Arial" w:cs="Arial"/>
                <w:sz w:val="22"/>
                <w:szCs w:val="22"/>
              </w:rPr>
            </w:pPr>
            <w:r w:rsidRPr="00996333">
              <w:rPr>
                <w:rFonts w:ascii="Arial" w:hAnsi="Arial" w:cs="Arial"/>
                <w:sz w:val="22"/>
                <w:szCs w:val="22"/>
              </w:rPr>
              <w:t>4.34</w:t>
            </w:r>
          </w:p>
        </w:tc>
        <w:tc>
          <w:tcPr>
            <w:tcW w:w="1421" w:type="dxa"/>
            <w:tcBorders>
              <w:left w:val="single" w:sz="4" w:space="0" w:color="auto"/>
              <w:right w:val="single" w:sz="4" w:space="0" w:color="auto"/>
            </w:tcBorders>
            <w:shd w:val="clear" w:color="auto" w:fill="auto"/>
            <w:vAlign w:val="center"/>
          </w:tcPr>
          <w:p w14:paraId="2064E9F7" w14:textId="63E45AEB" w:rsidR="00137D69" w:rsidRPr="00996333" w:rsidRDefault="00137D69" w:rsidP="00137D69">
            <w:pPr>
              <w:keepNext/>
              <w:jc w:val="right"/>
              <w:rPr>
                <w:rFonts w:ascii="Arial" w:hAnsi="Arial" w:cs="Arial"/>
                <w:sz w:val="22"/>
                <w:szCs w:val="22"/>
              </w:rPr>
            </w:pPr>
            <w:r w:rsidRPr="00996333">
              <w:rPr>
                <w:rFonts w:ascii="Arial" w:hAnsi="Arial" w:cs="Arial"/>
                <w:sz w:val="22"/>
                <w:szCs w:val="22"/>
              </w:rPr>
              <w:t>N/A</w:t>
            </w:r>
          </w:p>
        </w:tc>
      </w:tr>
      <w:tr w:rsidR="00137D69" w:rsidRPr="00996333" w14:paraId="612E967D" w14:textId="77777777" w:rsidTr="00996333">
        <w:trPr>
          <w:cantSplit/>
          <w:trHeight w:val="255"/>
        </w:trPr>
        <w:tc>
          <w:tcPr>
            <w:tcW w:w="3402" w:type="dxa"/>
            <w:tcBorders>
              <w:left w:val="single" w:sz="4" w:space="0" w:color="auto"/>
              <w:right w:val="single" w:sz="4" w:space="0" w:color="auto"/>
            </w:tcBorders>
            <w:shd w:val="clear" w:color="auto" w:fill="auto"/>
            <w:noWrap/>
            <w:vAlign w:val="bottom"/>
          </w:tcPr>
          <w:p w14:paraId="255A1A3C" w14:textId="71FF18C0" w:rsidR="00137D69" w:rsidRPr="00996333" w:rsidRDefault="00137D69" w:rsidP="00137D69">
            <w:pPr>
              <w:keepNext/>
              <w:numPr>
                <w:ilvl w:val="0"/>
                <w:numId w:val="1"/>
              </w:numPr>
              <w:ind w:left="318" w:hanging="284"/>
              <w:rPr>
                <w:rFonts w:ascii="Arial" w:hAnsi="Arial" w:cs="Arial"/>
                <w:bCs/>
                <w:sz w:val="22"/>
                <w:szCs w:val="22"/>
              </w:rPr>
            </w:pPr>
            <w:r w:rsidRPr="00996333">
              <w:rPr>
                <w:rFonts w:ascii="Arial" w:hAnsi="Arial" w:cs="Arial"/>
                <w:bCs/>
                <w:sz w:val="22"/>
                <w:szCs w:val="22"/>
              </w:rPr>
              <w:t xml:space="preserve">Pooled </w:t>
            </w:r>
            <w:r w:rsidR="00C61B01" w:rsidRPr="00996333">
              <w:rPr>
                <w:rFonts w:ascii="Arial" w:hAnsi="Arial" w:cs="Arial"/>
                <w:bCs/>
                <w:sz w:val="22"/>
                <w:szCs w:val="22"/>
              </w:rPr>
              <w:t>e</w:t>
            </w:r>
            <w:r w:rsidRPr="00996333">
              <w:rPr>
                <w:rFonts w:ascii="Arial" w:hAnsi="Arial" w:cs="Arial"/>
                <w:bCs/>
                <w:sz w:val="22"/>
                <w:szCs w:val="22"/>
              </w:rPr>
              <w:t>quity</w:t>
            </w:r>
            <w:r w:rsidR="0022439C" w:rsidRPr="00996333">
              <w:rPr>
                <w:rFonts w:ascii="Arial" w:hAnsi="Arial" w:cs="Arial"/>
                <w:bCs/>
                <w:sz w:val="22"/>
                <w:szCs w:val="22"/>
              </w:rPr>
              <w:t>*</w:t>
            </w:r>
          </w:p>
        </w:tc>
        <w:tc>
          <w:tcPr>
            <w:tcW w:w="1417" w:type="dxa"/>
            <w:tcBorders>
              <w:left w:val="single" w:sz="4" w:space="0" w:color="auto"/>
              <w:right w:val="single" w:sz="4" w:space="0" w:color="auto"/>
            </w:tcBorders>
            <w:shd w:val="clear" w:color="auto" w:fill="auto"/>
            <w:noWrap/>
            <w:vAlign w:val="center"/>
          </w:tcPr>
          <w:p w14:paraId="0CAD41FF" w14:textId="7FDB1F81" w:rsidR="00137D69" w:rsidRPr="00996333" w:rsidRDefault="00137D69" w:rsidP="00137D69">
            <w:pPr>
              <w:keepNext/>
              <w:jc w:val="right"/>
              <w:rPr>
                <w:rFonts w:ascii="Arial" w:hAnsi="Arial" w:cs="Arial"/>
                <w:sz w:val="22"/>
                <w:szCs w:val="22"/>
              </w:rPr>
            </w:pPr>
            <w:r w:rsidRPr="00996333">
              <w:rPr>
                <w:rFonts w:ascii="Arial" w:hAnsi="Arial" w:cs="Arial"/>
                <w:sz w:val="22"/>
                <w:szCs w:val="22"/>
              </w:rPr>
              <w:t>2.0</w:t>
            </w:r>
            <w:r w:rsidR="00CB5B27" w:rsidRPr="00996333">
              <w:rPr>
                <w:rFonts w:ascii="Arial" w:hAnsi="Arial" w:cs="Arial"/>
                <w:sz w:val="22"/>
                <w:szCs w:val="22"/>
              </w:rPr>
              <w:t>0</w:t>
            </w:r>
          </w:p>
        </w:tc>
        <w:tc>
          <w:tcPr>
            <w:tcW w:w="1417" w:type="dxa"/>
            <w:tcBorders>
              <w:left w:val="single" w:sz="4" w:space="0" w:color="auto"/>
              <w:right w:val="single" w:sz="4" w:space="0" w:color="auto"/>
            </w:tcBorders>
            <w:shd w:val="clear" w:color="auto" w:fill="auto"/>
            <w:vAlign w:val="center"/>
          </w:tcPr>
          <w:p w14:paraId="6DC99113" w14:textId="2ACAEE63" w:rsidR="00137D69" w:rsidRPr="00996333" w:rsidRDefault="00137D69" w:rsidP="00137D69">
            <w:pPr>
              <w:keepNext/>
              <w:jc w:val="right"/>
              <w:rPr>
                <w:rFonts w:ascii="Arial" w:hAnsi="Arial" w:cs="Arial"/>
                <w:sz w:val="22"/>
                <w:szCs w:val="22"/>
              </w:rPr>
            </w:pPr>
            <w:r w:rsidRPr="00996333">
              <w:rPr>
                <w:rFonts w:ascii="Arial" w:hAnsi="Arial" w:cs="Arial"/>
                <w:sz w:val="22"/>
                <w:szCs w:val="22"/>
              </w:rPr>
              <w:t>-</w:t>
            </w:r>
          </w:p>
        </w:tc>
        <w:tc>
          <w:tcPr>
            <w:tcW w:w="1417" w:type="dxa"/>
            <w:tcBorders>
              <w:left w:val="single" w:sz="4" w:space="0" w:color="auto"/>
              <w:right w:val="single" w:sz="4" w:space="0" w:color="auto"/>
            </w:tcBorders>
            <w:shd w:val="clear" w:color="auto" w:fill="auto"/>
            <w:noWrap/>
            <w:vAlign w:val="center"/>
          </w:tcPr>
          <w:p w14:paraId="68CF8401" w14:textId="133256FC" w:rsidR="00137D69" w:rsidRPr="00996333" w:rsidRDefault="00137D69" w:rsidP="00137D69">
            <w:pPr>
              <w:keepNext/>
              <w:jc w:val="right"/>
              <w:rPr>
                <w:rFonts w:ascii="Arial" w:hAnsi="Arial" w:cs="Arial"/>
                <w:sz w:val="22"/>
                <w:szCs w:val="22"/>
              </w:rPr>
            </w:pPr>
            <w:r w:rsidRPr="00996333">
              <w:rPr>
                <w:rFonts w:ascii="Arial" w:hAnsi="Arial" w:cs="Arial"/>
                <w:sz w:val="22"/>
                <w:szCs w:val="22"/>
              </w:rPr>
              <w:t>2.0</w:t>
            </w:r>
            <w:r w:rsidR="003D3F89" w:rsidRPr="00996333">
              <w:rPr>
                <w:rFonts w:ascii="Arial" w:hAnsi="Arial" w:cs="Arial"/>
                <w:sz w:val="22"/>
                <w:szCs w:val="22"/>
              </w:rPr>
              <w:t>0</w:t>
            </w:r>
          </w:p>
        </w:tc>
        <w:tc>
          <w:tcPr>
            <w:tcW w:w="1417" w:type="dxa"/>
            <w:tcBorders>
              <w:left w:val="single" w:sz="4" w:space="0" w:color="auto"/>
              <w:right w:val="single" w:sz="4" w:space="0" w:color="auto"/>
            </w:tcBorders>
            <w:shd w:val="clear" w:color="auto" w:fill="auto"/>
            <w:vAlign w:val="center"/>
          </w:tcPr>
          <w:p w14:paraId="7C080F2C" w14:textId="23C4DE9D" w:rsidR="00137D69" w:rsidRPr="00996333" w:rsidRDefault="003D3F89" w:rsidP="00137D69">
            <w:pPr>
              <w:keepNext/>
              <w:jc w:val="right"/>
              <w:rPr>
                <w:rFonts w:ascii="Arial" w:hAnsi="Arial" w:cs="Arial"/>
                <w:sz w:val="22"/>
                <w:szCs w:val="22"/>
              </w:rPr>
            </w:pPr>
            <w:r w:rsidRPr="00996333">
              <w:rPr>
                <w:rFonts w:ascii="Arial" w:hAnsi="Arial" w:cs="Arial"/>
                <w:sz w:val="22"/>
                <w:szCs w:val="22"/>
              </w:rPr>
              <w:t>6.09</w:t>
            </w:r>
          </w:p>
        </w:tc>
        <w:tc>
          <w:tcPr>
            <w:tcW w:w="1421" w:type="dxa"/>
            <w:tcBorders>
              <w:left w:val="single" w:sz="4" w:space="0" w:color="auto"/>
              <w:right w:val="single" w:sz="4" w:space="0" w:color="auto"/>
            </w:tcBorders>
            <w:shd w:val="clear" w:color="auto" w:fill="auto"/>
            <w:vAlign w:val="center"/>
          </w:tcPr>
          <w:p w14:paraId="5C3B1201" w14:textId="05EDBBE3" w:rsidR="00137D69" w:rsidRPr="00996333" w:rsidRDefault="00137D69" w:rsidP="00137D69">
            <w:pPr>
              <w:keepNext/>
              <w:jc w:val="right"/>
              <w:rPr>
                <w:rFonts w:ascii="Arial" w:hAnsi="Arial" w:cs="Arial"/>
                <w:sz w:val="22"/>
                <w:szCs w:val="22"/>
              </w:rPr>
            </w:pPr>
            <w:r w:rsidRPr="00996333">
              <w:rPr>
                <w:rFonts w:ascii="Arial" w:hAnsi="Arial" w:cs="Arial"/>
                <w:sz w:val="22"/>
                <w:szCs w:val="22"/>
              </w:rPr>
              <w:t>N/A</w:t>
            </w:r>
          </w:p>
        </w:tc>
      </w:tr>
      <w:tr w:rsidR="00137D69" w:rsidRPr="00996333" w14:paraId="181407E5" w14:textId="77777777" w:rsidTr="00996333">
        <w:trPr>
          <w:cantSplit/>
          <w:trHeight w:val="255"/>
        </w:trPr>
        <w:tc>
          <w:tcPr>
            <w:tcW w:w="3402" w:type="dxa"/>
            <w:tcBorders>
              <w:left w:val="single" w:sz="4" w:space="0" w:color="auto"/>
              <w:bottom w:val="single" w:sz="4" w:space="0" w:color="auto"/>
              <w:right w:val="single" w:sz="4" w:space="0" w:color="auto"/>
            </w:tcBorders>
            <w:shd w:val="clear" w:color="auto" w:fill="auto"/>
            <w:noWrap/>
            <w:vAlign w:val="bottom"/>
          </w:tcPr>
          <w:p w14:paraId="7CD3C00E" w14:textId="212518AF" w:rsidR="00137D69" w:rsidRPr="00996333" w:rsidRDefault="00137D69" w:rsidP="00137D69">
            <w:pPr>
              <w:keepNext/>
              <w:numPr>
                <w:ilvl w:val="0"/>
                <w:numId w:val="1"/>
              </w:numPr>
              <w:ind w:left="318" w:hanging="284"/>
              <w:rPr>
                <w:rFonts w:ascii="Arial" w:hAnsi="Arial" w:cs="Arial"/>
                <w:bCs/>
                <w:sz w:val="22"/>
                <w:szCs w:val="22"/>
              </w:rPr>
            </w:pPr>
            <w:r w:rsidRPr="00996333">
              <w:rPr>
                <w:rFonts w:ascii="Arial" w:hAnsi="Arial" w:cs="Arial"/>
                <w:bCs/>
                <w:sz w:val="22"/>
                <w:szCs w:val="22"/>
              </w:rPr>
              <w:t xml:space="preserve">Pooled </w:t>
            </w:r>
            <w:r w:rsidR="00C61B01" w:rsidRPr="00996333">
              <w:rPr>
                <w:rFonts w:ascii="Arial" w:hAnsi="Arial" w:cs="Arial"/>
                <w:bCs/>
                <w:sz w:val="22"/>
                <w:szCs w:val="22"/>
              </w:rPr>
              <w:t>m</w:t>
            </w:r>
            <w:r w:rsidRPr="00996333">
              <w:rPr>
                <w:rFonts w:ascii="Arial" w:hAnsi="Arial" w:cs="Arial"/>
                <w:bCs/>
                <w:sz w:val="22"/>
                <w:szCs w:val="22"/>
              </w:rPr>
              <w:t>ulti-</w:t>
            </w:r>
            <w:r w:rsidR="00C61B01" w:rsidRPr="00996333">
              <w:rPr>
                <w:rFonts w:ascii="Arial" w:hAnsi="Arial" w:cs="Arial"/>
                <w:bCs/>
                <w:sz w:val="22"/>
                <w:szCs w:val="22"/>
              </w:rPr>
              <w:t>a</w:t>
            </w:r>
            <w:r w:rsidRPr="00996333">
              <w:rPr>
                <w:rFonts w:ascii="Arial" w:hAnsi="Arial" w:cs="Arial"/>
                <w:bCs/>
                <w:sz w:val="22"/>
                <w:szCs w:val="22"/>
              </w:rPr>
              <w:t>sset</w:t>
            </w:r>
            <w:r w:rsidR="0022439C" w:rsidRPr="00996333">
              <w:rPr>
                <w:rFonts w:ascii="Arial" w:hAnsi="Arial" w:cs="Arial"/>
                <w:bCs/>
                <w:sz w:val="22"/>
                <w:szCs w:val="22"/>
              </w:rPr>
              <w:t>*</w:t>
            </w:r>
          </w:p>
        </w:tc>
        <w:tc>
          <w:tcPr>
            <w:tcW w:w="1417" w:type="dxa"/>
            <w:tcBorders>
              <w:left w:val="single" w:sz="4" w:space="0" w:color="auto"/>
              <w:bottom w:val="single" w:sz="4" w:space="0" w:color="auto"/>
              <w:right w:val="single" w:sz="4" w:space="0" w:color="auto"/>
            </w:tcBorders>
            <w:shd w:val="clear" w:color="auto" w:fill="auto"/>
            <w:noWrap/>
            <w:vAlign w:val="center"/>
          </w:tcPr>
          <w:p w14:paraId="627BDE15" w14:textId="14548CD4" w:rsidR="00137D69" w:rsidRPr="00996333" w:rsidRDefault="00137D69" w:rsidP="00137D69">
            <w:pPr>
              <w:keepNext/>
              <w:jc w:val="right"/>
              <w:rPr>
                <w:rFonts w:ascii="Arial" w:hAnsi="Arial" w:cs="Arial"/>
                <w:sz w:val="22"/>
                <w:szCs w:val="22"/>
              </w:rPr>
            </w:pPr>
            <w:r w:rsidRPr="00996333">
              <w:rPr>
                <w:rFonts w:ascii="Arial" w:hAnsi="Arial" w:cs="Arial"/>
                <w:sz w:val="22"/>
                <w:szCs w:val="22"/>
              </w:rPr>
              <w:t>1.5</w:t>
            </w:r>
            <w:r w:rsidR="00CB5B27" w:rsidRPr="00996333">
              <w:rPr>
                <w:rFonts w:ascii="Arial" w:hAnsi="Arial" w:cs="Arial"/>
                <w:sz w:val="22"/>
                <w:szCs w:val="22"/>
              </w:rPr>
              <w:t>0</w:t>
            </w:r>
          </w:p>
        </w:tc>
        <w:tc>
          <w:tcPr>
            <w:tcW w:w="1417" w:type="dxa"/>
            <w:tcBorders>
              <w:left w:val="single" w:sz="4" w:space="0" w:color="auto"/>
              <w:bottom w:val="single" w:sz="4" w:space="0" w:color="auto"/>
              <w:right w:val="single" w:sz="4" w:space="0" w:color="auto"/>
            </w:tcBorders>
            <w:shd w:val="clear" w:color="auto" w:fill="auto"/>
            <w:vAlign w:val="center"/>
          </w:tcPr>
          <w:p w14:paraId="4503B55A" w14:textId="7845F9C2" w:rsidR="00137D69" w:rsidRPr="00996333" w:rsidRDefault="00137D69" w:rsidP="00137D69">
            <w:pPr>
              <w:keepNext/>
              <w:jc w:val="right"/>
              <w:rPr>
                <w:rFonts w:ascii="Arial" w:hAnsi="Arial" w:cs="Arial"/>
                <w:sz w:val="22"/>
                <w:szCs w:val="22"/>
              </w:rPr>
            </w:pPr>
            <w:r w:rsidRPr="00996333">
              <w:rPr>
                <w:rFonts w:ascii="Arial" w:hAnsi="Arial" w:cs="Arial"/>
                <w:sz w:val="22"/>
                <w:szCs w:val="22"/>
              </w:rPr>
              <w:t>1.5</w:t>
            </w:r>
            <w:r w:rsidR="003D3F89" w:rsidRPr="00996333">
              <w:rPr>
                <w:rFonts w:ascii="Arial" w:hAnsi="Arial" w:cs="Arial"/>
                <w:sz w:val="22"/>
                <w:szCs w:val="22"/>
              </w:rPr>
              <w:t>0</w:t>
            </w:r>
          </w:p>
        </w:tc>
        <w:tc>
          <w:tcPr>
            <w:tcW w:w="1417" w:type="dxa"/>
            <w:tcBorders>
              <w:left w:val="single" w:sz="4" w:space="0" w:color="auto"/>
              <w:bottom w:val="single" w:sz="4" w:space="0" w:color="auto"/>
              <w:right w:val="single" w:sz="4" w:space="0" w:color="auto"/>
            </w:tcBorders>
            <w:shd w:val="clear" w:color="auto" w:fill="auto"/>
            <w:noWrap/>
            <w:vAlign w:val="center"/>
          </w:tcPr>
          <w:p w14:paraId="3A5122D9" w14:textId="788ED9E2" w:rsidR="00137D69" w:rsidRPr="00996333" w:rsidRDefault="003D3F89" w:rsidP="00137D69">
            <w:pPr>
              <w:keepNext/>
              <w:jc w:val="right"/>
              <w:rPr>
                <w:rFonts w:ascii="Arial" w:hAnsi="Arial" w:cs="Arial"/>
                <w:sz w:val="22"/>
                <w:szCs w:val="22"/>
              </w:rPr>
            </w:pPr>
            <w:r w:rsidRPr="00996333">
              <w:rPr>
                <w:rFonts w:ascii="Arial" w:hAnsi="Arial" w:cs="Arial"/>
                <w:sz w:val="22"/>
                <w:szCs w:val="22"/>
              </w:rPr>
              <w:t>3.00</w:t>
            </w:r>
          </w:p>
        </w:tc>
        <w:tc>
          <w:tcPr>
            <w:tcW w:w="1417" w:type="dxa"/>
            <w:tcBorders>
              <w:left w:val="single" w:sz="4" w:space="0" w:color="auto"/>
              <w:bottom w:val="single" w:sz="4" w:space="0" w:color="auto"/>
              <w:right w:val="single" w:sz="4" w:space="0" w:color="auto"/>
            </w:tcBorders>
            <w:shd w:val="clear" w:color="auto" w:fill="auto"/>
            <w:vAlign w:val="center"/>
          </w:tcPr>
          <w:p w14:paraId="55B2C0EA" w14:textId="577F6F1B" w:rsidR="00137D69" w:rsidRPr="00996333" w:rsidRDefault="003D3F89" w:rsidP="00137D69">
            <w:pPr>
              <w:keepNext/>
              <w:jc w:val="right"/>
              <w:rPr>
                <w:rFonts w:ascii="Arial" w:hAnsi="Arial" w:cs="Arial"/>
                <w:sz w:val="22"/>
                <w:szCs w:val="22"/>
              </w:rPr>
            </w:pPr>
            <w:r w:rsidRPr="00996333">
              <w:rPr>
                <w:rFonts w:ascii="Arial" w:hAnsi="Arial" w:cs="Arial"/>
                <w:sz w:val="22"/>
                <w:szCs w:val="22"/>
              </w:rPr>
              <w:t>4.51</w:t>
            </w:r>
          </w:p>
        </w:tc>
        <w:tc>
          <w:tcPr>
            <w:tcW w:w="1421" w:type="dxa"/>
            <w:tcBorders>
              <w:left w:val="single" w:sz="4" w:space="0" w:color="auto"/>
              <w:bottom w:val="single" w:sz="4" w:space="0" w:color="auto"/>
              <w:right w:val="single" w:sz="4" w:space="0" w:color="auto"/>
            </w:tcBorders>
            <w:shd w:val="clear" w:color="auto" w:fill="auto"/>
            <w:vAlign w:val="center"/>
          </w:tcPr>
          <w:p w14:paraId="459FA1EE" w14:textId="3E2229AB" w:rsidR="00137D69" w:rsidRPr="00996333" w:rsidRDefault="00137D69" w:rsidP="00137D69">
            <w:pPr>
              <w:keepNext/>
              <w:jc w:val="right"/>
              <w:rPr>
                <w:rFonts w:ascii="Arial" w:hAnsi="Arial" w:cs="Arial"/>
                <w:sz w:val="22"/>
                <w:szCs w:val="22"/>
              </w:rPr>
            </w:pPr>
            <w:r w:rsidRPr="00996333">
              <w:rPr>
                <w:rFonts w:ascii="Arial" w:hAnsi="Arial" w:cs="Arial"/>
                <w:sz w:val="22"/>
                <w:szCs w:val="22"/>
              </w:rPr>
              <w:t>N/A</w:t>
            </w:r>
          </w:p>
        </w:tc>
      </w:tr>
      <w:tr w:rsidR="00137D69" w:rsidRPr="00996333" w14:paraId="33725710" w14:textId="77777777" w:rsidTr="00996333">
        <w:trPr>
          <w:cantSplit/>
          <w:trHeight w:val="25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0295A" w14:textId="57E379E4" w:rsidR="00137D69" w:rsidRPr="00996333" w:rsidRDefault="00EF2B8B" w:rsidP="00137D69">
            <w:pPr>
              <w:keepNext/>
              <w:rPr>
                <w:rFonts w:ascii="Arial" w:hAnsi="Arial" w:cs="Arial"/>
                <w:b/>
                <w:sz w:val="22"/>
                <w:szCs w:val="22"/>
              </w:rPr>
            </w:pPr>
            <w:r w:rsidRPr="00996333">
              <w:rPr>
                <w:rFonts w:ascii="Arial" w:hAnsi="Arial" w:cs="Arial"/>
                <w:b/>
                <w:sz w:val="22"/>
                <w:szCs w:val="22"/>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F49C5" w14:textId="0AAB6953" w:rsidR="00137D69" w:rsidRPr="00996333" w:rsidRDefault="00137D69" w:rsidP="00137D69">
            <w:pPr>
              <w:keepNext/>
              <w:jc w:val="right"/>
              <w:rPr>
                <w:rFonts w:ascii="Arial" w:hAnsi="Arial" w:cs="Arial"/>
                <w:b/>
                <w:sz w:val="22"/>
                <w:szCs w:val="22"/>
              </w:rPr>
            </w:pPr>
            <w:r w:rsidRPr="00996333">
              <w:rPr>
                <w:rFonts w:ascii="Arial" w:hAnsi="Arial" w:cs="Arial"/>
                <w:b/>
                <w:sz w:val="22"/>
                <w:szCs w:val="22"/>
              </w:rPr>
              <w:t>7.5</w:t>
            </w:r>
            <w:r w:rsidR="00CB5B27" w:rsidRPr="00996333">
              <w:rPr>
                <w:rFonts w:ascii="Arial" w:hAnsi="Arial" w:cs="Arial"/>
                <w:b/>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CDEFDF" w14:textId="2F8B6F67" w:rsidR="00137D69" w:rsidRPr="00996333" w:rsidRDefault="003D3F89" w:rsidP="00137D69">
            <w:pPr>
              <w:keepNext/>
              <w:jc w:val="right"/>
              <w:rPr>
                <w:rFonts w:ascii="Arial" w:hAnsi="Arial" w:cs="Arial"/>
                <w:b/>
                <w:sz w:val="22"/>
                <w:szCs w:val="22"/>
              </w:rPr>
            </w:pPr>
            <w:r w:rsidRPr="00996333">
              <w:rPr>
                <w:rFonts w:ascii="Arial" w:hAnsi="Arial" w:cs="Arial"/>
                <w:b/>
                <w:sz w:val="22"/>
                <w:szCs w:val="22"/>
              </w:rPr>
              <w:t>1</w:t>
            </w:r>
            <w:r w:rsidR="00137D69" w:rsidRPr="00996333">
              <w:rPr>
                <w:rFonts w:ascii="Arial" w:hAnsi="Arial" w:cs="Arial"/>
                <w:b/>
                <w:sz w:val="22"/>
                <w:szCs w:val="22"/>
              </w:rPr>
              <w:t>.5</w:t>
            </w:r>
            <w:r w:rsidRPr="00996333">
              <w:rPr>
                <w:rFonts w:ascii="Arial" w:hAnsi="Arial" w:cs="Arial"/>
                <w:b/>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807AB" w14:textId="2D959F39" w:rsidR="00137D69" w:rsidRPr="00996333" w:rsidRDefault="003D3F89" w:rsidP="00137D69">
            <w:pPr>
              <w:keepNext/>
              <w:jc w:val="right"/>
              <w:rPr>
                <w:rFonts w:ascii="Arial" w:hAnsi="Arial" w:cs="Arial"/>
                <w:b/>
                <w:sz w:val="22"/>
                <w:szCs w:val="22"/>
              </w:rPr>
            </w:pPr>
            <w:r w:rsidRPr="00996333">
              <w:rPr>
                <w:rFonts w:ascii="Arial" w:hAnsi="Arial" w:cs="Arial"/>
                <w:b/>
                <w:sz w:val="22"/>
                <w:szCs w:val="22"/>
              </w:rPr>
              <w:t>9.00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CAF3CE" w14:textId="07B8A340" w:rsidR="00137D69" w:rsidRPr="00996333" w:rsidRDefault="00137D69" w:rsidP="00137D69">
            <w:pPr>
              <w:keepNext/>
              <w:jc w:val="right"/>
              <w:rPr>
                <w:rFonts w:ascii="Arial" w:hAnsi="Arial" w:cs="Arial"/>
                <w:b/>
                <w:sz w:val="22"/>
                <w:szCs w:val="22"/>
              </w:rPr>
            </w:pPr>
            <w:r w:rsidRPr="00996333">
              <w:rPr>
                <w:rFonts w:ascii="Arial" w:hAnsi="Arial" w:cs="Arial"/>
                <w:b/>
                <w:sz w:val="22"/>
                <w:szCs w:val="22"/>
              </w:rPr>
              <w:t>4.</w:t>
            </w:r>
            <w:r w:rsidR="003D3F89" w:rsidRPr="00996333">
              <w:rPr>
                <w:rFonts w:ascii="Arial" w:hAnsi="Arial" w:cs="Arial"/>
                <w:b/>
                <w:sz w:val="22"/>
                <w:szCs w:val="22"/>
              </w:rPr>
              <w:t>78</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FF7E0A8" w14:textId="4379820F" w:rsidR="00137D69" w:rsidRPr="00996333" w:rsidRDefault="00137D69" w:rsidP="00137D69">
            <w:pPr>
              <w:keepNext/>
              <w:jc w:val="right"/>
              <w:rPr>
                <w:rFonts w:ascii="Arial" w:hAnsi="Arial" w:cs="Arial"/>
                <w:b/>
                <w:sz w:val="22"/>
                <w:szCs w:val="22"/>
              </w:rPr>
            </w:pPr>
            <w:r w:rsidRPr="00996333">
              <w:rPr>
                <w:rFonts w:ascii="Arial" w:hAnsi="Arial" w:cs="Arial"/>
                <w:b/>
                <w:sz w:val="22"/>
                <w:szCs w:val="22"/>
              </w:rPr>
              <w:t>N/A</w:t>
            </w:r>
          </w:p>
        </w:tc>
      </w:tr>
      <w:tr w:rsidR="00137D69" w:rsidRPr="00EF2B8B" w14:paraId="28A5E7ED" w14:textId="77777777" w:rsidTr="00996333">
        <w:trPr>
          <w:cantSplit/>
          <w:trHeight w:val="567"/>
        </w:trPr>
        <w:tc>
          <w:tcPr>
            <w:tcW w:w="3402" w:type="dxa"/>
            <w:tcBorders>
              <w:left w:val="single" w:sz="4" w:space="0" w:color="auto"/>
              <w:bottom w:val="single" w:sz="4" w:space="0" w:color="auto"/>
              <w:right w:val="single" w:sz="4" w:space="0" w:color="auto"/>
            </w:tcBorders>
            <w:shd w:val="clear" w:color="auto" w:fill="auto"/>
            <w:noWrap/>
            <w:vAlign w:val="center"/>
          </w:tcPr>
          <w:p w14:paraId="4482C5F9" w14:textId="45589394" w:rsidR="00137D69" w:rsidRPr="00996333" w:rsidRDefault="005B7E15" w:rsidP="00137D69">
            <w:pPr>
              <w:keepNext/>
              <w:rPr>
                <w:rFonts w:ascii="Arial" w:hAnsi="Arial" w:cs="Arial"/>
                <w:b/>
                <w:sz w:val="22"/>
                <w:szCs w:val="22"/>
              </w:rPr>
            </w:pPr>
            <w:r w:rsidRPr="00996333">
              <w:rPr>
                <w:rFonts w:ascii="Arial" w:hAnsi="Arial" w:cs="Arial"/>
                <w:b/>
                <w:sz w:val="22"/>
                <w:szCs w:val="22"/>
              </w:rPr>
              <w:t>Total investments</w:t>
            </w:r>
          </w:p>
        </w:tc>
        <w:tc>
          <w:tcPr>
            <w:tcW w:w="1417" w:type="dxa"/>
            <w:tcBorders>
              <w:left w:val="single" w:sz="4" w:space="0" w:color="auto"/>
              <w:bottom w:val="single" w:sz="4" w:space="0" w:color="auto"/>
              <w:right w:val="single" w:sz="4" w:space="0" w:color="auto"/>
            </w:tcBorders>
            <w:shd w:val="clear" w:color="auto" w:fill="auto"/>
            <w:noWrap/>
            <w:vAlign w:val="center"/>
          </w:tcPr>
          <w:p w14:paraId="67F1AE08" w14:textId="6CF4537E" w:rsidR="00137D69" w:rsidRPr="00996333" w:rsidRDefault="00137D69" w:rsidP="00137D69">
            <w:pPr>
              <w:keepNext/>
              <w:jc w:val="right"/>
              <w:rPr>
                <w:rFonts w:ascii="Arial" w:hAnsi="Arial" w:cs="Arial"/>
                <w:b/>
                <w:sz w:val="22"/>
                <w:szCs w:val="22"/>
              </w:rPr>
            </w:pPr>
            <w:r w:rsidRPr="00996333">
              <w:rPr>
                <w:rFonts w:ascii="Arial" w:hAnsi="Arial" w:cs="Arial"/>
                <w:b/>
                <w:sz w:val="22"/>
                <w:szCs w:val="22"/>
              </w:rPr>
              <w:t>48.3</w:t>
            </w:r>
            <w:r w:rsidR="00CB5B27" w:rsidRPr="00996333">
              <w:rPr>
                <w:rFonts w:ascii="Arial" w:hAnsi="Arial" w:cs="Arial"/>
                <w:b/>
                <w:sz w:val="22"/>
                <w:szCs w:val="22"/>
              </w:rPr>
              <w:t>3</w:t>
            </w:r>
          </w:p>
        </w:tc>
        <w:tc>
          <w:tcPr>
            <w:tcW w:w="1417" w:type="dxa"/>
            <w:tcBorders>
              <w:left w:val="single" w:sz="4" w:space="0" w:color="auto"/>
              <w:bottom w:val="single" w:sz="4" w:space="0" w:color="auto"/>
              <w:right w:val="single" w:sz="4" w:space="0" w:color="auto"/>
            </w:tcBorders>
            <w:shd w:val="clear" w:color="auto" w:fill="auto"/>
            <w:vAlign w:val="center"/>
          </w:tcPr>
          <w:p w14:paraId="3DAE5B2C" w14:textId="4240BF48" w:rsidR="00137D69" w:rsidRPr="00996333" w:rsidRDefault="003D3F89" w:rsidP="00137D69">
            <w:pPr>
              <w:keepNext/>
              <w:jc w:val="right"/>
              <w:rPr>
                <w:rFonts w:ascii="Arial" w:hAnsi="Arial" w:cs="Arial"/>
                <w:b/>
                <w:sz w:val="22"/>
                <w:szCs w:val="22"/>
              </w:rPr>
            </w:pPr>
            <w:r w:rsidRPr="00996333">
              <w:rPr>
                <w:rFonts w:ascii="Arial" w:hAnsi="Arial" w:cs="Arial"/>
                <w:b/>
                <w:sz w:val="22"/>
                <w:szCs w:val="22"/>
              </w:rPr>
              <w:t>24.62</w:t>
            </w:r>
          </w:p>
        </w:tc>
        <w:tc>
          <w:tcPr>
            <w:tcW w:w="1417" w:type="dxa"/>
            <w:tcBorders>
              <w:left w:val="single" w:sz="4" w:space="0" w:color="auto"/>
              <w:bottom w:val="single" w:sz="4" w:space="0" w:color="auto"/>
              <w:right w:val="single" w:sz="4" w:space="0" w:color="auto"/>
            </w:tcBorders>
            <w:shd w:val="clear" w:color="auto" w:fill="auto"/>
            <w:noWrap/>
            <w:vAlign w:val="center"/>
          </w:tcPr>
          <w:p w14:paraId="64EC80E5" w14:textId="37F8EB34" w:rsidR="00137D69" w:rsidRPr="00996333" w:rsidRDefault="003D3F89" w:rsidP="00137D69">
            <w:pPr>
              <w:keepNext/>
              <w:jc w:val="right"/>
              <w:rPr>
                <w:rFonts w:ascii="Arial" w:hAnsi="Arial" w:cs="Arial"/>
                <w:b/>
                <w:sz w:val="22"/>
                <w:szCs w:val="22"/>
              </w:rPr>
            </w:pPr>
            <w:r w:rsidRPr="00996333">
              <w:rPr>
                <w:rFonts w:ascii="Arial" w:hAnsi="Arial" w:cs="Arial"/>
                <w:b/>
                <w:sz w:val="22"/>
                <w:szCs w:val="22"/>
              </w:rPr>
              <w:t>72.95</w:t>
            </w:r>
          </w:p>
        </w:tc>
        <w:tc>
          <w:tcPr>
            <w:tcW w:w="1417" w:type="dxa"/>
            <w:tcBorders>
              <w:left w:val="single" w:sz="4" w:space="0" w:color="auto"/>
              <w:bottom w:val="single" w:sz="4" w:space="0" w:color="auto"/>
              <w:right w:val="single" w:sz="4" w:space="0" w:color="auto"/>
            </w:tcBorders>
            <w:shd w:val="clear" w:color="auto" w:fill="auto"/>
            <w:vAlign w:val="center"/>
          </w:tcPr>
          <w:p w14:paraId="6019D031" w14:textId="635E961A" w:rsidR="00137D69" w:rsidRPr="00996333" w:rsidRDefault="003D3F89" w:rsidP="00137D69">
            <w:pPr>
              <w:keepNext/>
              <w:jc w:val="right"/>
              <w:rPr>
                <w:rFonts w:ascii="Arial" w:hAnsi="Arial" w:cs="Arial"/>
                <w:b/>
                <w:sz w:val="22"/>
                <w:szCs w:val="22"/>
              </w:rPr>
            </w:pPr>
            <w:r w:rsidRPr="00996333">
              <w:rPr>
                <w:rFonts w:ascii="Arial" w:hAnsi="Arial" w:cs="Arial"/>
                <w:b/>
                <w:sz w:val="22"/>
                <w:szCs w:val="22"/>
              </w:rPr>
              <w:t>0.77</w:t>
            </w:r>
          </w:p>
        </w:tc>
        <w:tc>
          <w:tcPr>
            <w:tcW w:w="1421" w:type="dxa"/>
            <w:tcBorders>
              <w:left w:val="single" w:sz="4" w:space="0" w:color="auto"/>
              <w:bottom w:val="single" w:sz="4" w:space="0" w:color="auto"/>
              <w:right w:val="single" w:sz="4" w:space="0" w:color="auto"/>
            </w:tcBorders>
            <w:shd w:val="clear" w:color="auto" w:fill="auto"/>
            <w:vAlign w:val="center"/>
          </w:tcPr>
          <w:p w14:paraId="5954E36E" w14:textId="3AA42BA7" w:rsidR="00137D69" w:rsidRPr="00996333" w:rsidRDefault="00137D69" w:rsidP="00137D69">
            <w:pPr>
              <w:keepNext/>
              <w:jc w:val="right"/>
              <w:rPr>
                <w:rFonts w:ascii="Arial" w:hAnsi="Arial" w:cs="Arial"/>
                <w:b/>
                <w:sz w:val="22"/>
                <w:szCs w:val="22"/>
              </w:rPr>
            </w:pPr>
            <w:r w:rsidRPr="00996333">
              <w:rPr>
                <w:rFonts w:ascii="Arial" w:hAnsi="Arial" w:cs="Arial"/>
                <w:b/>
                <w:sz w:val="22"/>
                <w:szCs w:val="22"/>
              </w:rPr>
              <w:t>0.</w:t>
            </w:r>
            <w:r w:rsidR="00996333" w:rsidRPr="00996333">
              <w:rPr>
                <w:rFonts w:ascii="Arial" w:hAnsi="Arial" w:cs="Arial"/>
                <w:b/>
                <w:sz w:val="22"/>
                <w:szCs w:val="22"/>
              </w:rPr>
              <w:t>18</w:t>
            </w:r>
          </w:p>
        </w:tc>
      </w:tr>
    </w:tbl>
    <w:p w14:paraId="65BA6F40" w14:textId="329BAC89" w:rsidR="00DE6341" w:rsidRPr="00060720" w:rsidRDefault="00DE6341" w:rsidP="00DE6341">
      <w:pPr>
        <w:pStyle w:val="ListParagraph"/>
        <w:spacing w:after="240"/>
        <w:rPr>
          <w:rFonts w:ascii="Arial" w:hAnsi="Arial" w:cs="Arial"/>
          <w:sz w:val="20"/>
          <w:szCs w:val="20"/>
        </w:rPr>
      </w:pPr>
      <w:r w:rsidRPr="00060720">
        <w:rPr>
          <w:rFonts w:ascii="Arial" w:hAnsi="Arial" w:cs="Arial"/>
          <w:sz w:val="20"/>
          <w:szCs w:val="20"/>
        </w:rPr>
        <w:t xml:space="preserve">* The rates provided for pooled fund investments are reflective of </w:t>
      </w:r>
      <w:r w:rsidR="00136AB8" w:rsidRPr="00060720">
        <w:rPr>
          <w:rFonts w:ascii="Arial" w:hAnsi="Arial" w:cs="Arial"/>
          <w:sz w:val="20"/>
          <w:szCs w:val="20"/>
        </w:rPr>
        <w:t>annualised income</w:t>
      </w:r>
      <w:r w:rsidR="00B57A7B" w:rsidRPr="00060720">
        <w:rPr>
          <w:rFonts w:ascii="Arial" w:hAnsi="Arial" w:cs="Arial"/>
          <w:sz w:val="20"/>
          <w:szCs w:val="20"/>
        </w:rPr>
        <w:t xml:space="preserve"> returns</w:t>
      </w:r>
      <w:r w:rsidR="00515E42" w:rsidRPr="00060720">
        <w:rPr>
          <w:rFonts w:ascii="Arial" w:hAnsi="Arial" w:cs="Arial"/>
          <w:sz w:val="20"/>
          <w:szCs w:val="20"/>
        </w:rPr>
        <w:t xml:space="preserve"> over the year to 31 March 202</w:t>
      </w:r>
      <w:r w:rsidR="00A33177" w:rsidRPr="00060720">
        <w:rPr>
          <w:rFonts w:ascii="Arial" w:hAnsi="Arial" w:cs="Arial"/>
          <w:sz w:val="20"/>
          <w:szCs w:val="20"/>
        </w:rPr>
        <w:t>1 based on the market value of investments at the start of the year</w:t>
      </w:r>
      <w:r w:rsidRPr="00060720">
        <w:rPr>
          <w:rFonts w:ascii="Arial" w:hAnsi="Arial" w:cs="Arial"/>
          <w:sz w:val="20"/>
          <w:szCs w:val="20"/>
        </w:rPr>
        <w:t>.</w:t>
      </w:r>
    </w:p>
    <w:p w14:paraId="3C4ACD15" w14:textId="3CCA67BE" w:rsidR="00DE6341" w:rsidRPr="00060720" w:rsidRDefault="00DE6341" w:rsidP="00DE6341">
      <w:pPr>
        <w:pStyle w:val="ListParagraph"/>
        <w:spacing w:after="240"/>
        <w:rPr>
          <w:rFonts w:ascii="Arial" w:hAnsi="Arial" w:cs="Arial"/>
          <w:sz w:val="20"/>
          <w:szCs w:val="20"/>
        </w:rPr>
      </w:pPr>
      <w:r w:rsidRPr="00060720">
        <w:rPr>
          <w:rFonts w:ascii="Arial" w:hAnsi="Arial" w:cs="Arial"/>
          <w:sz w:val="20"/>
          <w:szCs w:val="20"/>
        </w:rPr>
        <w:t>Note: the figures</w:t>
      </w:r>
      <w:r w:rsidR="00E572BE">
        <w:rPr>
          <w:rFonts w:ascii="Arial" w:hAnsi="Arial" w:cs="Arial"/>
          <w:sz w:val="20"/>
          <w:szCs w:val="20"/>
        </w:rPr>
        <w:t xml:space="preserve"> in</w:t>
      </w:r>
      <w:r w:rsidRPr="00060720">
        <w:rPr>
          <w:rFonts w:ascii="Arial" w:hAnsi="Arial" w:cs="Arial"/>
          <w:sz w:val="20"/>
          <w:szCs w:val="20"/>
        </w:rPr>
        <w:t xml:space="preserve"> </w:t>
      </w:r>
      <w:r w:rsidR="00060720" w:rsidRPr="00060720">
        <w:rPr>
          <w:rFonts w:ascii="Arial" w:hAnsi="Arial" w:cs="Arial"/>
          <w:sz w:val="20"/>
          <w:szCs w:val="20"/>
        </w:rPr>
        <w:t>T</w:t>
      </w:r>
      <w:r w:rsidRPr="00060720">
        <w:rPr>
          <w:rFonts w:ascii="Arial" w:hAnsi="Arial" w:cs="Arial"/>
          <w:sz w:val="20"/>
          <w:szCs w:val="20"/>
        </w:rPr>
        <w:t xml:space="preserve">able </w:t>
      </w:r>
      <w:r w:rsidR="00060720" w:rsidRPr="00060720">
        <w:rPr>
          <w:rFonts w:ascii="Arial" w:hAnsi="Arial" w:cs="Arial"/>
          <w:sz w:val="20"/>
          <w:szCs w:val="20"/>
        </w:rPr>
        <w:t>4</w:t>
      </w:r>
      <w:r w:rsidRPr="00060720">
        <w:rPr>
          <w:rFonts w:ascii="Arial" w:hAnsi="Arial" w:cs="Arial"/>
          <w:sz w:val="20"/>
          <w:szCs w:val="20"/>
        </w:rPr>
        <w:t xml:space="preserve"> are from the balance sheet in the OPCC’s statement of accounts, but adjusted to exclude operational cash, accrued interest and other accounting adjustments.</w:t>
      </w:r>
    </w:p>
    <w:p w14:paraId="249BE56D" w14:textId="6E03DCA6" w:rsidR="00ED0957" w:rsidRPr="003471A9" w:rsidRDefault="00ED0957" w:rsidP="003C3808">
      <w:pPr>
        <w:pStyle w:val="ListParagraph"/>
        <w:numPr>
          <w:ilvl w:val="1"/>
          <w:numId w:val="2"/>
        </w:numPr>
        <w:spacing w:after="240"/>
        <w:ind w:left="720" w:hanging="720"/>
        <w:rPr>
          <w:rFonts w:ascii="Arial" w:hAnsi="Arial" w:cs="Arial"/>
        </w:rPr>
      </w:pPr>
      <w:r w:rsidRPr="003471A9">
        <w:rPr>
          <w:rFonts w:ascii="Arial" w:hAnsi="Arial" w:cs="Arial"/>
        </w:rPr>
        <w:t>The OPCC made a payment of £</w:t>
      </w:r>
      <w:r w:rsidR="0008073E" w:rsidRPr="003471A9">
        <w:rPr>
          <w:rFonts w:ascii="Arial" w:hAnsi="Arial" w:cs="Arial"/>
        </w:rPr>
        <w:t>11.6</w:t>
      </w:r>
      <w:r w:rsidRPr="003471A9">
        <w:rPr>
          <w:rFonts w:ascii="Arial" w:hAnsi="Arial" w:cs="Arial"/>
        </w:rPr>
        <w:t xml:space="preserve">m on </w:t>
      </w:r>
      <w:r w:rsidR="008A0012" w:rsidRPr="003471A9">
        <w:rPr>
          <w:rFonts w:ascii="Arial" w:hAnsi="Arial" w:cs="Arial"/>
        </w:rPr>
        <w:t>1 April 2020 to prepay its employer’s LGPS pension contributions for on</w:t>
      </w:r>
      <w:r w:rsidR="00E47A5F">
        <w:rPr>
          <w:rFonts w:ascii="Arial" w:hAnsi="Arial" w:cs="Arial"/>
        </w:rPr>
        <w:t>e</w:t>
      </w:r>
      <w:r w:rsidR="008A0012" w:rsidRPr="003471A9">
        <w:rPr>
          <w:rFonts w:ascii="Arial" w:hAnsi="Arial" w:cs="Arial"/>
        </w:rPr>
        <w:t xml:space="preserve"> year.  By making this payment in advance</w:t>
      </w:r>
      <w:r w:rsidR="00283119" w:rsidRPr="003471A9">
        <w:rPr>
          <w:rFonts w:ascii="Arial" w:hAnsi="Arial" w:cs="Arial"/>
        </w:rPr>
        <w:t xml:space="preserve"> the OPCC was </w:t>
      </w:r>
      <w:r w:rsidR="00500D31" w:rsidRPr="003471A9">
        <w:rPr>
          <w:rFonts w:ascii="Arial" w:hAnsi="Arial" w:cs="Arial"/>
        </w:rPr>
        <w:t>able to generate an estimated saving of £</w:t>
      </w:r>
      <w:r w:rsidR="00613762" w:rsidRPr="003471A9">
        <w:rPr>
          <w:rFonts w:ascii="Arial" w:hAnsi="Arial" w:cs="Arial"/>
        </w:rPr>
        <w:t>0</w:t>
      </w:r>
      <w:r w:rsidR="00500D31" w:rsidRPr="003471A9">
        <w:rPr>
          <w:rFonts w:ascii="Arial" w:hAnsi="Arial" w:cs="Arial"/>
        </w:rPr>
        <w:t>.</w:t>
      </w:r>
      <w:r w:rsidR="00613762" w:rsidRPr="003471A9">
        <w:rPr>
          <w:rFonts w:ascii="Arial" w:hAnsi="Arial" w:cs="Arial"/>
        </w:rPr>
        <w:t>25</w:t>
      </w:r>
      <w:r w:rsidR="00500D31" w:rsidRPr="003471A9">
        <w:rPr>
          <w:rFonts w:ascii="Arial" w:hAnsi="Arial" w:cs="Arial"/>
        </w:rPr>
        <w:t xml:space="preserve">m </w:t>
      </w:r>
      <w:r w:rsidR="00FD72F7" w:rsidRPr="003471A9">
        <w:rPr>
          <w:rFonts w:ascii="Arial" w:hAnsi="Arial" w:cs="Arial"/>
        </w:rPr>
        <w:t>over the year on its pension contributions.</w:t>
      </w:r>
    </w:p>
    <w:p w14:paraId="1E14E8E7" w14:textId="5F7DD10E" w:rsidR="005E19DF" w:rsidRPr="003471A9" w:rsidRDefault="00CB6426" w:rsidP="003C3808">
      <w:pPr>
        <w:pStyle w:val="ListParagraph"/>
        <w:numPr>
          <w:ilvl w:val="1"/>
          <w:numId w:val="2"/>
        </w:numPr>
        <w:spacing w:after="240"/>
        <w:ind w:left="720" w:hanging="720"/>
        <w:rPr>
          <w:rFonts w:ascii="Arial" w:hAnsi="Arial" w:cs="Arial"/>
        </w:rPr>
      </w:pPr>
      <w:r w:rsidRPr="003471A9">
        <w:rPr>
          <w:rFonts w:ascii="Arial" w:hAnsi="Arial" w:cs="Arial"/>
        </w:rPr>
        <w:t xml:space="preserve">Investment balances have increased </w:t>
      </w:r>
      <w:r w:rsidR="00CA0F1F">
        <w:rPr>
          <w:rFonts w:ascii="Arial" w:hAnsi="Arial" w:cs="Arial"/>
        </w:rPr>
        <w:t>for the reasons set out above in paragraph 5.2.</w:t>
      </w:r>
      <w:r w:rsidR="00EE476F" w:rsidRPr="003471A9">
        <w:rPr>
          <w:rFonts w:ascii="Arial" w:hAnsi="Arial" w:cs="Arial"/>
        </w:rPr>
        <w:t>The</w:t>
      </w:r>
      <w:r w:rsidR="00E4529C" w:rsidRPr="003471A9">
        <w:rPr>
          <w:rFonts w:ascii="Arial" w:hAnsi="Arial" w:cs="Arial"/>
        </w:rPr>
        <w:t xml:space="preserve"> </w:t>
      </w:r>
      <w:r w:rsidR="004B5D54" w:rsidRPr="003471A9">
        <w:rPr>
          <w:rFonts w:ascii="Arial" w:hAnsi="Arial" w:cs="Arial"/>
        </w:rPr>
        <w:t>availability of appropriate longer term investments combined with the prudent management of</w:t>
      </w:r>
      <w:r w:rsidR="00E05BD6" w:rsidRPr="003471A9">
        <w:rPr>
          <w:rFonts w:ascii="Arial" w:hAnsi="Arial" w:cs="Arial"/>
        </w:rPr>
        <w:t xml:space="preserve"> shorter term investment balances during an </w:t>
      </w:r>
      <w:r w:rsidR="00785AB0" w:rsidRPr="003471A9">
        <w:rPr>
          <w:rFonts w:ascii="Arial" w:hAnsi="Arial" w:cs="Arial"/>
        </w:rPr>
        <w:t xml:space="preserve">uncertain economic market </w:t>
      </w:r>
      <w:r w:rsidR="00064F5A" w:rsidRPr="003471A9">
        <w:rPr>
          <w:rFonts w:ascii="Arial" w:hAnsi="Arial" w:cs="Arial"/>
        </w:rPr>
        <w:t xml:space="preserve">meant that </w:t>
      </w:r>
      <w:r w:rsidR="00234403" w:rsidRPr="003471A9">
        <w:rPr>
          <w:rFonts w:ascii="Arial" w:hAnsi="Arial" w:cs="Arial"/>
        </w:rPr>
        <w:t xml:space="preserve">the majority of the additional investment balances were held as short term investments </w:t>
      </w:r>
      <w:r w:rsidR="00354FDC" w:rsidRPr="003471A9">
        <w:rPr>
          <w:rFonts w:ascii="Arial" w:hAnsi="Arial" w:cs="Arial"/>
        </w:rPr>
        <w:t>at 31 March 2021</w:t>
      </w:r>
      <w:r w:rsidR="00D55EC2">
        <w:rPr>
          <w:rFonts w:ascii="Arial" w:hAnsi="Arial" w:cs="Arial"/>
        </w:rPr>
        <w:t>, with local authorities wh</w:t>
      </w:r>
      <w:r w:rsidR="00195A5E">
        <w:rPr>
          <w:rFonts w:ascii="Arial" w:hAnsi="Arial" w:cs="Arial"/>
        </w:rPr>
        <w:t>ich do not attract bail-in risk</w:t>
      </w:r>
      <w:r w:rsidR="00354FDC" w:rsidRPr="003471A9">
        <w:rPr>
          <w:rFonts w:ascii="Arial" w:hAnsi="Arial" w:cs="Arial"/>
        </w:rPr>
        <w:t xml:space="preserve">.  </w:t>
      </w:r>
      <w:r w:rsidR="00237FB9" w:rsidRPr="003471A9">
        <w:rPr>
          <w:rFonts w:ascii="Arial" w:hAnsi="Arial" w:cs="Arial"/>
        </w:rPr>
        <w:t>Looking forward into the forthcoming year</w:t>
      </w:r>
      <w:r w:rsidR="00ED3AFC" w:rsidRPr="003471A9">
        <w:rPr>
          <w:rFonts w:ascii="Arial" w:hAnsi="Arial" w:cs="Arial"/>
        </w:rPr>
        <w:t xml:space="preserve">, the </w:t>
      </w:r>
      <w:r w:rsidR="003950E7" w:rsidRPr="003471A9">
        <w:rPr>
          <w:rFonts w:ascii="Arial" w:hAnsi="Arial" w:cs="Arial"/>
        </w:rPr>
        <w:t>stable</w:t>
      </w:r>
      <w:r w:rsidR="002B22F8" w:rsidRPr="003471A9">
        <w:rPr>
          <w:rFonts w:ascii="Arial" w:hAnsi="Arial" w:cs="Arial"/>
        </w:rPr>
        <w:t xml:space="preserve"> core of these additional</w:t>
      </w:r>
      <w:r w:rsidR="00ED3AFC" w:rsidRPr="003471A9">
        <w:rPr>
          <w:rFonts w:ascii="Arial" w:hAnsi="Arial" w:cs="Arial"/>
        </w:rPr>
        <w:t xml:space="preserve"> balances </w:t>
      </w:r>
      <w:r w:rsidR="002B22F8" w:rsidRPr="003471A9">
        <w:rPr>
          <w:rFonts w:ascii="Arial" w:hAnsi="Arial" w:cs="Arial"/>
        </w:rPr>
        <w:t>will be invested for the longer term as appropriate investment opportunities become available.</w:t>
      </w:r>
    </w:p>
    <w:p w14:paraId="1CAA6883" w14:textId="27522155" w:rsidR="00155FC6" w:rsidRPr="007B7754" w:rsidRDefault="00FA1B13" w:rsidP="003C3808">
      <w:pPr>
        <w:pStyle w:val="ListParagraph"/>
        <w:numPr>
          <w:ilvl w:val="1"/>
          <w:numId w:val="2"/>
        </w:numPr>
        <w:spacing w:after="240"/>
        <w:ind w:left="720" w:hanging="720"/>
        <w:rPr>
          <w:rFonts w:ascii="Arial" w:hAnsi="Arial" w:cs="Arial"/>
        </w:rPr>
      </w:pPr>
      <w:r w:rsidRPr="007B7754">
        <w:rPr>
          <w:rFonts w:ascii="Arial" w:hAnsi="Arial" w:cs="Arial"/>
        </w:rPr>
        <w:t xml:space="preserve">The CIPFA Code and government guidance both require the OPCC to invest its funds prudently, and to have regard to the security and liquidity of its investments before seeking the highest rate of return, or yield.  The OPCC’s objective when investing money is therefore to strike an appropriate balance between risk and return, minimising the risk of incurring losses from defaults </w:t>
      </w:r>
      <w:r w:rsidRPr="007B7754">
        <w:rPr>
          <w:rFonts w:ascii="Arial" w:hAnsi="Arial" w:cs="Arial"/>
        </w:rPr>
        <w:lastRenderedPageBreak/>
        <w:t>a</w:t>
      </w:r>
      <w:r w:rsidR="00370A7F" w:rsidRPr="007B7754">
        <w:rPr>
          <w:rFonts w:ascii="Arial" w:hAnsi="Arial" w:cs="Arial"/>
        </w:rPr>
        <w:t>longside</w:t>
      </w:r>
      <w:r w:rsidRPr="007B7754">
        <w:rPr>
          <w:rFonts w:ascii="Arial" w:hAnsi="Arial" w:cs="Arial"/>
        </w:rPr>
        <w:t xml:space="preserve"> the risk of receiving unsuitably low investment income</w:t>
      </w:r>
      <w:r w:rsidR="00BF117E" w:rsidRPr="007B7754">
        <w:rPr>
          <w:rFonts w:ascii="Arial" w:hAnsi="Arial" w:cs="Arial"/>
        </w:rPr>
        <w:t>.</w:t>
      </w:r>
      <w:r w:rsidR="00370A7F" w:rsidRPr="007B7754">
        <w:rPr>
          <w:rFonts w:ascii="Arial" w:hAnsi="Arial" w:cs="Arial"/>
        </w:rPr>
        <w:t xml:space="preserve">  The OPCC’s Treasury Management Strategy Statement (TMSS) </w:t>
      </w:r>
      <w:r w:rsidR="007B7754" w:rsidRPr="007B7754">
        <w:rPr>
          <w:rFonts w:ascii="Arial" w:hAnsi="Arial" w:cs="Arial"/>
        </w:rPr>
        <w:t>sets out how it will manage and mitigate these risks.</w:t>
      </w:r>
    </w:p>
    <w:p w14:paraId="507820D0" w14:textId="78C9E4A4" w:rsidR="00DE6341" w:rsidRPr="001C4FB0" w:rsidRDefault="007B7754" w:rsidP="003C3808">
      <w:pPr>
        <w:pStyle w:val="ListParagraph"/>
        <w:numPr>
          <w:ilvl w:val="1"/>
          <w:numId w:val="2"/>
        </w:numPr>
        <w:spacing w:after="240"/>
        <w:ind w:left="720" w:hanging="720"/>
        <w:rPr>
          <w:rFonts w:ascii="Arial" w:hAnsi="Arial" w:cs="Arial"/>
        </w:rPr>
      </w:pPr>
      <w:r w:rsidRPr="001C4FB0">
        <w:rPr>
          <w:rFonts w:ascii="Arial" w:hAnsi="Arial" w:cs="Arial"/>
        </w:rPr>
        <w:t>The s</w:t>
      </w:r>
      <w:r w:rsidR="00FA1B13" w:rsidRPr="001C4FB0">
        <w:rPr>
          <w:rFonts w:ascii="Arial" w:hAnsi="Arial" w:cs="Arial"/>
        </w:rPr>
        <w:t xml:space="preserve">ecurity of </w:t>
      </w:r>
      <w:r w:rsidRPr="001C4FB0">
        <w:rPr>
          <w:rFonts w:ascii="Arial" w:hAnsi="Arial" w:cs="Arial"/>
        </w:rPr>
        <w:t xml:space="preserve">investments has </w:t>
      </w:r>
      <w:r w:rsidR="00FA1B13" w:rsidRPr="001C4FB0">
        <w:rPr>
          <w:rFonts w:ascii="Arial" w:hAnsi="Arial" w:cs="Arial"/>
        </w:rPr>
        <w:t>been maintained by following the counterparty policy</w:t>
      </w:r>
      <w:r w:rsidR="00302389" w:rsidRPr="001C4FB0">
        <w:rPr>
          <w:rFonts w:ascii="Arial" w:hAnsi="Arial" w:cs="Arial"/>
        </w:rPr>
        <w:t xml:space="preserve"> and investment limits within the</w:t>
      </w:r>
      <w:r w:rsidR="00FA1B13" w:rsidRPr="001C4FB0">
        <w:rPr>
          <w:rFonts w:ascii="Arial" w:hAnsi="Arial" w:cs="Arial"/>
        </w:rPr>
        <w:t xml:space="preserve"> TMSS</w:t>
      </w:r>
      <w:r w:rsidR="00AE10F0" w:rsidRPr="001C4FB0">
        <w:rPr>
          <w:rFonts w:ascii="Arial" w:hAnsi="Arial" w:cs="Arial"/>
        </w:rPr>
        <w:t xml:space="preserve">, taking </w:t>
      </w:r>
      <w:r w:rsidR="006F4FB2" w:rsidRPr="001C4FB0">
        <w:rPr>
          <w:rFonts w:ascii="Arial" w:hAnsi="Arial" w:cs="Arial"/>
        </w:rPr>
        <w:t xml:space="preserve">advice from </w:t>
      </w:r>
      <w:proofErr w:type="spellStart"/>
      <w:r w:rsidR="006F4FB2" w:rsidRPr="001C4FB0">
        <w:rPr>
          <w:rFonts w:ascii="Arial" w:hAnsi="Arial" w:cs="Arial"/>
        </w:rPr>
        <w:t>Arlingclose</w:t>
      </w:r>
      <w:proofErr w:type="spellEnd"/>
      <w:r w:rsidR="00AE10F0" w:rsidRPr="001C4FB0">
        <w:rPr>
          <w:rFonts w:ascii="Arial" w:hAnsi="Arial" w:cs="Arial"/>
        </w:rPr>
        <w:t xml:space="preserve"> on changes in counterparty credit worthiness, and making use </w:t>
      </w:r>
      <w:r w:rsidR="00277004" w:rsidRPr="001C4FB0">
        <w:rPr>
          <w:rFonts w:ascii="Arial" w:hAnsi="Arial" w:cs="Arial"/>
        </w:rPr>
        <w:t>of secured investment products that provide collateral</w:t>
      </w:r>
      <w:r w:rsidR="0005315E" w:rsidRPr="001C4FB0">
        <w:rPr>
          <w:rFonts w:ascii="Arial" w:hAnsi="Arial" w:cs="Arial"/>
        </w:rPr>
        <w:t>. T</w:t>
      </w:r>
      <w:r w:rsidR="00D17140" w:rsidRPr="001C4FB0">
        <w:rPr>
          <w:rFonts w:ascii="Arial" w:hAnsi="Arial" w:cs="Arial"/>
        </w:rPr>
        <w:t>he OPCC should</w:t>
      </w:r>
      <w:r w:rsidR="00277004" w:rsidRPr="001C4FB0">
        <w:rPr>
          <w:rFonts w:ascii="Arial" w:hAnsi="Arial" w:cs="Arial"/>
        </w:rPr>
        <w:t xml:space="preserve"> invest in</w:t>
      </w:r>
      <w:r w:rsidR="00D17140" w:rsidRPr="001C4FB0">
        <w:rPr>
          <w:rFonts w:ascii="Arial" w:hAnsi="Arial" w:cs="Arial"/>
        </w:rPr>
        <w:t xml:space="preserve"> liquid</w:t>
      </w:r>
      <w:r w:rsidR="00D43AED" w:rsidRPr="001C4FB0">
        <w:rPr>
          <w:rFonts w:ascii="Arial" w:hAnsi="Arial" w:cs="Arial"/>
        </w:rPr>
        <w:t xml:space="preserve"> </w:t>
      </w:r>
      <w:r w:rsidR="00D17140" w:rsidRPr="001C4FB0">
        <w:rPr>
          <w:rFonts w:ascii="Arial" w:hAnsi="Arial" w:cs="Arial"/>
        </w:rPr>
        <w:t>investments</w:t>
      </w:r>
      <w:r w:rsidR="00D43AED" w:rsidRPr="001C4FB0">
        <w:rPr>
          <w:rFonts w:ascii="Arial" w:hAnsi="Arial" w:cs="Arial"/>
        </w:rPr>
        <w:t xml:space="preserve"> to ensure money is available when required to meet its financial obligations, spreading these </w:t>
      </w:r>
      <w:r w:rsidR="001C4FB0" w:rsidRPr="001C4FB0">
        <w:rPr>
          <w:rFonts w:ascii="Arial" w:hAnsi="Arial" w:cs="Arial"/>
        </w:rPr>
        <w:t>investments across a number of counterparties to mitigate operational risk</w:t>
      </w:r>
      <w:r w:rsidR="00ED0190" w:rsidRPr="001C4FB0">
        <w:rPr>
          <w:rFonts w:ascii="Arial" w:hAnsi="Arial" w:cs="Arial"/>
        </w:rPr>
        <w:t xml:space="preserve">. </w:t>
      </w:r>
    </w:p>
    <w:p w14:paraId="54AA32B5" w14:textId="7455709E" w:rsidR="000040CD" w:rsidRPr="009A78D1" w:rsidRDefault="001C4FB0" w:rsidP="003C3808">
      <w:pPr>
        <w:pStyle w:val="ListParagraph"/>
        <w:numPr>
          <w:ilvl w:val="1"/>
          <w:numId w:val="2"/>
        </w:numPr>
        <w:spacing w:after="240"/>
        <w:ind w:left="720" w:hanging="720"/>
        <w:rPr>
          <w:rFonts w:ascii="Arial" w:hAnsi="Arial" w:cs="Arial"/>
        </w:rPr>
      </w:pPr>
      <w:r w:rsidRPr="009A78D1">
        <w:rPr>
          <w:rFonts w:ascii="Arial" w:hAnsi="Arial" w:cs="Arial"/>
        </w:rPr>
        <w:t>In delivering investment returns, the OPCC has operated against a backdrop in which</w:t>
      </w:r>
      <w:r w:rsidR="00BD19BD" w:rsidRPr="009A78D1">
        <w:rPr>
          <w:rFonts w:ascii="Arial" w:hAnsi="Arial" w:cs="Arial"/>
        </w:rPr>
        <w:t xml:space="preserve"> t</w:t>
      </w:r>
      <w:r w:rsidR="000040CD" w:rsidRPr="009A78D1">
        <w:rPr>
          <w:rFonts w:ascii="Arial" w:hAnsi="Arial" w:cs="Arial"/>
        </w:rPr>
        <w:t xml:space="preserve">he UK Bank Rate was cut </w:t>
      </w:r>
      <w:r w:rsidR="00BD19BD" w:rsidRPr="009A78D1">
        <w:rPr>
          <w:rFonts w:ascii="Arial" w:hAnsi="Arial" w:cs="Arial"/>
        </w:rPr>
        <w:t>t</w:t>
      </w:r>
      <w:r w:rsidR="000040CD" w:rsidRPr="009A78D1">
        <w:rPr>
          <w:rFonts w:ascii="Arial" w:hAnsi="Arial" w:cs="Arial"/>
        </w:rPr>
        <w:t xml:space="preserve">o 0.10% in March 2020 </w:t>
      </w:r>
      <w:r w:rsidR="00BD19BD" w:rsidRPr="009A78D1">
        <w:rPr>
          <w:rFonts w:ascii="Arial" w:hAnsi="Arial" w:cs="Arial"/>
        </w:rPr>
        <w:t xml:space="preserve">in response to </w:t>
      </w:r>
      <w:r w:rsidR="000040CD" w:rsidRPr="009A78D1">
        <w:rPr>
          <w:rFonts w:ascii="Arial" w:hAnsi="Arial" w:cs="Arial"/>
        </w:rPr>
        <w:t>the coronavirus pandemic</w:t>
      </w:r>
      <w:r w:rsidR="00BD19BD" w:rsidRPr="009A78D1">
        <w:rPr>
          <w:rFonts w:ascii="Arial" w:hAnsi="Arial" w:cs="Arial"/>
        </w:rPr>
        <w:t xml:space="preserve">.  It has remained at this </w:t>
      </w:r>
      <w:r w:rsidR="00582675" w:rsidRPr="009A78D1">
        <w:rPr>
          <w:rFonts w:ascii="Arial" w:hAnsi="Arial" w:cs="Arial"/>
        </w:rPr>
        <w:t>rate throughout the year, having an impact on rates across the market.  Returns had been at or around 0% for liquid investment options such as Money Market Funds (MMFs), bank call accounts</w:t>
      </w:r>
      <w:r w:rsidR="00D41357" w:rsidRPr="009A78D1">
        <w:rPr>
          <w:rFonts w:ascii="Arial" w:hAnsi="Arial" w:cs="Arial"/>
        </w:rPr>
        <w:t xml:space="preserve"> and the UK Government’s Debt Management Account Deposit Facility (DMADF) and have not been significantly higher for other short-term options like fixed duration loans to local</w:t>
      </w:r>
      <w:r w:rsidR="000040CD" w:rsidRPr="009A78D1">
        <w:rPr>
          <w:rFonts w:ascii="Arial" w:hAnsi="Arial" w:cs="Arial"/>
        </w:rPr>
        <w:t xml:space="preserve"> </w:t>
      </w:r>
      <w:r w:rsidR="009A78D1" w:rsidRPr="009A78D1">
        <w:rPr>
          <w:rFonts w:ascii="Arial" w:hAnsi="Arial" w:cs="Arial"/>
        </w:rPr>
        <w:t>authorities and bank notice accounts.  Investment income has therefore largely come from investments arranged at fixed rates of interest prior to the pandemic and through the OPCC’s investments in pooled funds.</w:t>
      </w:r>
      <w:r w:rsidR="000040CD" w:rsidRPr="009A78D1">
        <w:rPr>
          <w:rFonts w:ascii="Arial" w:hAnsi="Arial" w:cs="Arial"/>
        </w:rPr>
        <w:t xml:space="preserve"> </w:t>
      </w:r>
    </w:p>
    <w:p w14:paraId="486E6B11" w14:textId="3AB9B96E" w:rsidR="00DE6341" w:rsidRPr="00422205" w:rsidRDefault="00DE6341" w:rsidP="003C3808">
      <w:pPr>
        <w:pStyle w:val="ListParagraph"/>
        <w:numPr>
          <w:ilvl w:val="1"/>
          <w:numId w:val="2"/>
        </w:numPr>
        <w:spacing w:after="240"/>
        <w:ind w:left="720" w:hanging="720"/>
        <w:rPr>
          <w:rFonts w:ascii="Arial" w:hAnsi="Arial" w:cs="Arial"/>
        </w:rPr>
      </w:pPr>
      <w:r w:rsidRPr="00422205">
        <w:rPr>
          <w:rFonts w:ascii="Arial" w:hAnsi="Arial" w:cs="Arial"/>
        </w:rPr>
        <w:t>The OPCC</w:t>
      </w:r>
      <w:r w:rsidR="00847D4F" w:rsidRPr="00422205">
        <w:rPr>
          <w:rFonts w:ascii="Arial" w:hAnsi="Arial" w:cs="Arial"/>
        </w:rPr>
        <w:t xml:space="preserve"> benchmarks the performance of its internally managed</w:t>
      </w:r>
      <w:r w:rsidRPr="00422205">
        <w:rPr>
          <w:rFonts w:ascii="Arial" w:hAnsi="Arial" w:cs="Arial"/>
        </w:rPr>
        <w:t xml:space="preserve"> investments</w:t>
      </w:r>
      <w:r w:rsidR="00847D4F" w:rsidRPr="00422205">
        <w:rPr>
          <w:rFonts w:ascii="Arial" w:hAnsi="Arial" w:cs="Arial"/>
        </w:rPr>
        <w:t xml:space="preserve"> against that of other</w:t>
      </w:r>
      <w:r w:rsidRPr="00422205">
        <w:rPr>
          <w:rFonts w:ascii="Arial" w:hAnsi="Arial" w:cs="Arial"/>
        </w:rPr>
        <w:t xml:space="preserve"> </w:t>
      </w:r>
      <w:proofErr w:type="spellStart"/>
      <w:r w:rsidRPr="00422205">
        <w:rPr>
          <w:rFonts w:ascii="Arial" w:hAnsi="Arial" w:cs="Arial"/>
        </w:rPr>
        <w:t>Arlingclose</w:t>
      </w:r>
      <w:proofErr w:type="spellEnd"/>
      <w:r w:rsidR="00847D4F" w:rsidRPr="00422205">
        <w:rPr>
          <w:rFonts w:ascii="Arial" w:hAnsi="Arial" w:cs="Arial"/>
        </w:rPr>
        <w:t xml:space="preserve"> clients.  Internally managed </w:t>
      </w:r>
      <w:r w:rsidRPr="00422205">
        <w:rPr>
          <w:rFonts w:ascii="Arial" w:hAnsi="Arial" w:cs="Arial"/>
        </w:rPr>
        <w:t>investment</w:t>
      </w:r>
      <w:r w:rsidR="00847D4F" w:rsidRPr="00422205">
        <w:rPr>
          <w:rFonts w:ascii="Arial" w:hAnsi="Arial" w:cs="Arial"/>
        </w:rPr>
        <w:t>s</w:t>
      </w:r>
      <w:r w:rsidR="00B342C5" w:rsidRPr="00422205">
        <w:rPr>
          <w:rFonts w:ascii="Arial" w:hAnsi="Arial" w:cs="Arial"/>
        </w:rPr>
        <w:t xml:space="preserve"> include all investments except externally managed pooled funds but do include MMFs.  The performance of these investments against relevant measures of security, liquidity and yield are shown</w:t>
      </w:r>
      <w:r w:rsidR="003F25FC" w:rsidRPr="00422205">
        <w:rPr>
          <w:rFonts w:ascii="Arial" w:hAnsi="Arial" w:cs="Arial"/>
        </w:rPr>
        <w:t xml:space="preserve"> in Table 5</w:t>
      </w:r>
      <w:r w:rsidR="00C64A60" w:rsidRPr="00422205">
        <w:rPr>
          <w:rFonts w:ascii="Arial" w:hAnsi="Arial" w:cs="Arial"/>
        </w:rPr>
        <w:t>, providing</w:t>
      </w:r>
      <w:r w:rsidR="00DF3173" w:rsidRPr="00422205">
        <w:rPr>
          <w:rFonts w:ascii="Arial" w:hAnsi="Arial" w:cs="Arial"/>
        </w:rPr>
        <w:t xml:space="preserve"> data for the quarter ended 31 March 202</w:t>
      </w:r>
      <w:r w:rsidR="00C64A60" w:rsidRPr="00422205">
        <w:rPr>
          <w:rFonts w:ascii="Arial" w:hAnsi="Arial" w:cs="Arial"/>
        </w:rPr>
        <w:t>1 and at the same date in 2020 for comparison.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5: Investment benchmarking (excluding pooled funds)"/>
      </w:tblPr>
      <w:tblGrid>
        <w:gridCol w:w="2802"/>
        <w:gridCol w:w="1417"/>
        <w:gridCol w:w="1417"/>
        <w:gridCol w:w="1417"/>
        <w:gridCol w:w="1417"/>
      </w:tblGrid>
      <w:tr w:rsidR="003F25FC" w:rsidRPr="00422205" w14:paraId="1E4A18BD" w14:textId="77777777" w:rsidTr="00E77DD8">
        <w:trPr>
          <w:tblHeader/>
        </w:trPr>
        <w:tc>
          <w:tcPr>
            <w:tcW w:w="2802" w:type="dxa"/>
            <w:tcBorders>
              <w:top w:val="single" w:sz="4" w:space="0" w:color="auto"/>
              <w:bottom w:val="single" w:sz="4" w:space="0" w:color="auto"/>
            </w:tcBorders>
            <w:shd w:val="clear" w:color="auto" w:fill="auto"/>
          </w:tcPr>
          <w:p w14:paraId="4E294602" w14:textId="279149AB" w:rsidR="003F25FC" w:rsidRPr="00422205" w:rsidRDefault="00C64A60" w:rsidP="00977206">
            <w:pPr>
              <w:pStyle w:val="ListParagraph"/>
              <w:keepNext/>
              <w:keepLines/>
              <w:ind w:left="0"/>
              <w:rPr>
                <w:rFonts w:ascii="Arial" w:hAnsi="Arial" w:cs="Arial"/>
                <w:b/>
                <w:bCs/>
              </w:rPr>
            </w:pPr>
            <w:r w:rsidRPr="00422205">
              <w:rPr>
                <w:rFonts w:ascii="Arial" w:hAnsi="Arial" w:cs="Arial"/>
                <w:b/>
                <w:bCs/>
              </w:rPr>
              <w:t>Table 5: Investment benchmarking (</w:t>
            </w:r>
            <w:r w:rsidR="00153E59" w:rsidRPr="00422205">
              <w:rPr>
                <w:rFonts w:ascii="Arial" w:hAnsi="Arial" w:cs="Arial"/>
                <w:b/>
                <w:bCs/>
              </w:rPr>
              <w:t>excluding pooled funds</w:t>
            </w:r>
            <w:r w:rsidRPr="00422205">
              <w:rPr>
                <w:rFonts w:ascii="Arial" w:hAnsi="Arial" w:cs="Arial"/>
                <w:b/>
                <w:bCs/>
              </w:rPr>
              <w:t>)</w:t>
            </w:r>
          </w:p>
        </w:tc>
        <w:tc>
          <w:tcPr>
            <w:tcW w:w="1417" w:type="dxa"/>
            <w:tcBorders>
              <w:top w:val="single" w:sz="4" w:space="0" w:color="auto"/>
              <w:bottom w:val="single" w:sz="4" w:space="0" w:color="auto"/>
            </w:tcBorders>
            <w:shd w:val="clear" w:color="auto" w:fill="auto"/>
          </w:tcPr>
          <w:p w14:paraId="206F8DD3" w14:textId="739498A7" w:rsidR="003F25FC" w:rsidRPr="00422205" w:rsidRDefault="003F25FC" w:rsidP="00153E59">
            <w:pPr>
              <w:pStyle w:val="ListParagraph"/>
              <w:keepNext/>
              <w:keepLines/>
              <w:ind w:left="0"/>
              <w:jc w:val="center"/>
              <w:rPr>
                <w:rFonts w:ascii="Arial" w:hAnsi="Arial" w:cs="Arial"/>
                <w:b/>
                <w:bCs/>
              </w:rPr>
            </w:pPr>
            <w:r w:rsidRPr="00422205">
              <w:rPr>
                <w:rFonts w:ascii="Arial" w:hAnsi="Arial" w:cs="Arial"/>
                <w:b/>
                <w:bCs/>
              </w:rPr>
              <w:t xml:space="preserve">Credit </w:t>
            </w:r>
            <w:r w:rsidR="00153E59" w:rsidRPr="00422205">
              <w:rPr>
                <w:rFonts w:ascii="Arial" w:hAnsi="Arial" w:cs="Arial"/>
                <w:b/>
                <w:bCs/>
              </w:rPr>
              <w:t>r</w:t>
            </w:r>
            <w:r w:rsidRPr="00422205">
              <w:rPr>
                <w:rFonts w:ascii="Arial" w:hAnsi="Arial" w:cs="Arial"/>
                <w:b/>
                <w:bCs/>
              </w:rPr>
              <w:t>ating</w:t>
            </w:r>
          </w:p>
        </w:tc>
        <w:tc>
          <w:tcPr>
            <w:tcW w:w="1417" w:type="dxa"/>
            <w:tcBorders>
              <w:top w:val="single" w:sz="4" w:space="0" w:color="auto"/>
              <w:bottom w:val="single" w:sz="4" w:space="0" w:color="auto"/>
            </w:tcBorders>
            <w:shd w:val="clear" w:color="auto" w:fill="auto"/>
          </w:tcPr>
          <w:p w14:paraId="72A09BFC" w14:textId="7641DFB9" w:rsidR="003F25FC" w:rsidRPr="00422205" w:rsidRDefault="003F25FC" w:rsidP="00153E59">
            <w:pPr>
              <w:pStyle w:val="ListParagraph"/>
              <w:keepNext/>
              <w:keepLines/>
              <w:ind w:left="0"/>
              <w:jc w:val="center"/>
              <w:rPr>
                <w:rFonts w:ascii="Arial" w:hAnsi="Arial" w:cs="Arial"/>
                <w:b/>
                <w:bCs/>
              </w:rPr>
            </w:pPr>
            <w:r w:rsidRPr="00422205">
              <w:rPr>
                <w:rFonts w:ascii="Arial" w:hAnsi="Arial" w:cs="Arial"/>
                <w:b/>
                <w:bCs/>
              </w:rPr>
              <w:t xml:space="preserve">Bail-in </w:t>
            </w:r>
            <w:r w:rsidR="00153E59" w:rsidRPr="00422205">
              <w:rPr>
                <w:rFonts w:ascii="Arial" w:hAnsi="Arial" w:cs="Arial"/>
                <w:b/>
                <w:bCs/>
              </w:rPr>
              <w:t>e</w:t>
            </w:r>
            <w:r w:rsidRPr="00422205">
              <w:rPr>
                <w:rFonts w:ascii="Arial" w:hAnsi="Arial" w:cs="Arial"/>
                <w:b/>
                <w:bCs/>
              </w:rPr>
              <w:t>xposure</w:t>
            </w:r>
          </w:p>
        </w:tc>
        <w:tc>
          <w:tcPr>
            <w:tcW w:w="1417" w:type="dxa"/>
            <w:tcBorders>
              <w:top w:val="single" w:sz="4" w:space="0" w:color="auto"/>
              <w:bottom w:val="single" w:sz="4" w:space="0" w:color="auto"/>
            </w:tcBorders>
            <w:shd w:val="clear" w:color="auto" w:fill="auto"/>
          </w:tcPr>
          <w:p w14:paraId="168D0591" w14:textId="159480AD" w:rsidR="003F25FC" w:rsidRPr="00422205" w:rsidRDefault="003F25FC" w:rsidP="00153E59">
            <w:pPr>
              <w:pStyle w:val="ListParagraph"/>
              <w:keepNext/>
              <w:keepLines/>
              <w:ind w:left="0"/>
              <w:jc w:val="center"/>
              <w:rPr>
                <w:rFonts w:ascii="Arial" w:hAnsi="Arial" w:cs="Arial"/>
                <w:b/>
                <w:bCs/>
              </w:rPr>
            </w:pPr>
            <w:r w:rsidRPr="00422205">
              <w:rPr>
                <w:rFonts w:ascii="Arial" w:hAnsi="Arial" w:cs="Arial"/>
                <w:b/>
                <w:bCs/>
              </w:rPr>
              <w:t>W</w:t>
            </w:r>
            <w:r w:rsidR="00153E59" w:rsidRPr="00422205">
              <w:rPr>
                <w:rFonts w:ascii="Arial" w:hAnsi="Arial" w:cs="Arial"/>
                <w:b/>
                <w:bCs/>
              </w:rPr>
              <w:t>eighted average maturity</w:t>
            </w:r>
            <w:r w:rsidRPr="00422205">
              <w:rPr>
                <w:rFonts w:ascii="Arial" w:hAnsi="Arial" w:cs="Arial"/>
                <w:b/>
                <w:bCs/>
              </w:rPr>
              <w:br/>
              <w:t>(days)</w:t>
            </w:r>
          </w:p>
        </w:tc>
        <w:tc>
          <w:tcPr>
            <w:tcW w:w="1417" w:type="dxa"/>
            <w:tcBorders>
              <w:top w:val="single" w:sz="4" w:space="0" w:color="auto"/>
              <w:bottom w:val="single" w:sz="4" w:space="0" w:color="auto"/>
            </w:tcBorders>
            <w:shd w:val="clear" w:color="auto" w:fill="auto"/>
          </w:tcPr>
          <w:p w14:paraId="3B1B3842" w14:textId="4B8638F5" w:rsidR="003F25FC" w:rsidRPr="00422205" w:rsidRDefault="003F25FC" w:rsidP="00153E59">
            <w:pPr>
              <w:pStyle w:val="ListParagraph"/>
              <w:keepNext/>
              <w:keepLines/>
              <w:ind w:left="0"/>
              <w:jc w:val="center"/>
              <w:rPr>
                <w:rFonts w:ascii="Arial" w:hAnsi="Arial" w:cs="Arial"/>
                <w:b/>
                <w:bCs/>
              </w:rPr>
            </w:pPr>
            <w:r w:rsidRPr="00422205">
              <w:rPr>
                <w:rFonts w:ascii="Arial" w:hAnsi="Arial" w:cs="Arial"/>
                <w:b/>
                <w:bCs/>
              </w:rPr>
              <w:t xml:space="preserve">Rate of </w:t>
            </w:r>
            <w:r w:rsidR="00153E59" w:rsidRPr="00422205">
              <w:rPr>
                <w:rFonts w:ascii="Arial" w:hAnsi="Arial" w:cs="Arial"/>
                <w:b/>
                <w:bCs/>
              </w:rPr>
              <w:t>r</w:t>
            </w:r>
            <w:r w:rsidRPr="00422205">
              <w:rPr>
                <w:rFonts w:ascii="Arial" w:hAnsi="Arial" w:cs="Arial"/>
                <w:b/>
                <w:bCs/>
              </w:rPr>
              <w:t>eturn</w:t>
            </w:r>
          </w:p>
        </w:tc>
      </w:tr>
      <w:tr w:rsidR="00142B74" w:rsidRPr="00422205" w14:paraId="6639551B" w14:textId="77777777" w:rsidTr="00DF3173">
        <w:tc>
          <w:tcPr>
            <w:tcW w:w="2802" w:type="dxa"/>
            <w:tcBorders>
              <w:top w:val="single" w:sz="4" w:space="0" w:color="auto"/>
              <w:left w:val="single" w:sz="4" w:space="0" w:color="auto"/>
              <w:bottom w:val="nil"/>
              <w:right w:val="single" w:sz="4" w:space="0" w:color="auto"/>
            </w:tcBorders>
            <w:shd w:val="clear" w:color="auto" w:fill="auto"/>
          </w:tcPr>
          <w:p w14:paraId="3DA62F91" w14:textId="119ECC6E" w:rsidR="00142B74" w:rsidRPr="00422205" w:rsidRDefault="00142B74" w:rsidP="00977206">
            <w:pPr>
              <w:pStyle w:val="ListParagraph"/>
              <w:keepNext/>
              <w:keepLines/>
              <w:ind w:left="0"/>
              <w:rPr>
                <w:rFonts w:ascii="Arial" w:hAnsi="Arial" w:cs="Arial"/>
              </w:rPr>
            </w:pPr>
            <w:r w:rsidRPr="00422205">
              <w:rPr>
                <w:rFonts w:ascii="Arial" w:hAnsi="Arial" w:cs="Arial"/>
              </w:rPr>
              <w:t>31.03.20</w:t>
            </w:r>
            <w:r w:rsidR="00153E59" w:rsidRPr="00422205">
              <w:rPr>
                <w:rFonts w:ascii="Arial" w:hAnsi="Arial" w:cs="Arial"/>
              </w:rPr>
              <w:t>20</w:t>
            </w:r>
          </w:p>
        </w:tc>
        <w:tc>
          <w:tcPr>
            <w:tcW w:w="1417" w:type="dxa"/>
            <w:tcBorders>
              <w:top w:val="single" w:sz="4" w:space="0" w:color="auto"/>
              <w:left w:val="single" w:sz="4" w:space="0" w:color="auto"/>
              <w:bottom w:val="nil"/>
              <w:right w:val="single" w:sz="4" w:space="0" w:color="auto"/>
            </w:tcBorders>
            <w:shd w:val="clear" w:color="auto" w:fill="auto"/>
            <w:vAlign w:val="bottom"/>
          </w:tcPr>
          <w:p w14:paraId="2B7B948F" w14:textId="5AFCF960" w:rsidR="00142B74" w:rsidRPr="00422205" w:rsidRDefault="00142B74" w:rsidP="00977206">
            <w:pPr>
              <w:pStyle w:val="ListParagraph"/>
              <w:keepNext/>
              <w:keepLines/>
              <w:ind w:left="0"/>
              <w:jc w:val="center"/>
              <w:rPr>
                <w:rFonts w:ascii="Arial" w:hAnsi="Arial" w:cs="Arial"/>
              </w:rPr>
            </w:pPr>
            <w:r w:rsidRPr="00422205">
              <w:rPr>
                <w:rFonts w:ascii="Arial" w:hAnsi="Arial" w:cs="Arial"/>
              </w:rPr>
              <w:t>AA</w:t>
            </w:r>
            <w:r w:rsidR="00964BB8">
              <w:rPr>
                <w:rFonts w:ascii="Arial" w:hAnsi="Arial" w:cs="Arial"/>
              </w:rPr>
              <w:t>-</w:t>
            </w:r>
          </w:p>
        </w:tc>
        <w:tc>
          <w:tcPr>
            <w:tcW w:w="1417" w:type="dxa"/>
            <w:tcBorders>
              <w:top w:val="single" w:sz="4" w:space="0" w:color="auto"/>
              <w:left w:val="single" w:sz="4" w:space="0" w:color="auto"/>
              <w:bottom w:val="nil"/>
              <w:right w:val="single" w:sz="4" w:space="0" w:color="auto"/>
            </w:tcBorders>
            <w:shd w:val="clear" w:color="auto" w:fill="auto"/>
            <w:vAlign w:val="bottom"/>
          </w:tcPr>
          <w:p w14:paraId="3EFF0558" w14:textId="5D60843D" w:rsidR="00142B74" w:rsidRPr="00422205" w:rsidRDefault="0069736D" w:rsidP="00977206">
            <w:pPr>
              <w:pStyle w:val="ListParagraph"/>
              <w:keepNext/>
              <w:keepLines/>
              <w:ind w:left="0"/>
              <w:jc w:val="center"/>
              <w:rPr>
                <w:rFonts w:ascii="Arial" w:hAnsi="Arial" w:cs="Arial"/>
              </w:rPr>
            </w:pPr>
            <w:r w:rsidRPr="00422205">
              <w:rPr>
                <w:rFonts w:ascii="Arial" w:hAnsi="Arial" w:cs="Arial"/>
              </w:rPr>
              <w:t>69%</w:t>
            </w:r>
          </w:p>
        </w:tc>
        <w:tc>
          <w:tcPr>
            <w:tcW w:w="1417" w:type="dxa"/>
            <w:tcBorders>
              <w:top w:val="single" w:sz="4" w:space="0" w:color="auto"/>
              <w:left w:val="single" w:sz="4" w:space="0" w:color="auto"/>
              <w:bottom w:val="nil"/>
              <w:right w:val="single" w:sz="4" w:space="0" w:color="auto"/>
            </w:tcBorders>
            <w:shd w:val="clear" w:color="auto" w:fill="auto"/>
            <w:vAlign w:val="bottom"/>
          </w:tcPr>
          <w:p w14:paraId="587CE12D" w14:textId="3C0FD879" w:rsidR="00142B74" w:rsidRPr="00422205" w:rsidRDefault="0069736D" w:rsidP="00977206">
            <w:pPr>
              <w:pStyle w:val="ListParagraph"/>
              <w:keepNext/>
              <w:keepLines/>
              <w:ind w:left="0"/>
              <w:jc w:val="center"/>
              <w:rPr>
                <w:rFonts w:ascii="Arial" w:hAnsi="Arial" w:cs="Arial"/>
              </w:rPr>
            </w:pPr>
            <w:r w:rsidRPr="00422205">
              <w:rPr>
                <w:rFonts w:ascii="Arial" w:hAnsi="Arial" w:cs="Arial"/>
              </w:rPr>
              <w:t>24</w:t>
            </w:r>
          </w:p>
        </w:tc>
        <w:tc>
          <w:tcPr>
            <w:tcW w:w="1417" w:type="dxa"/>
            <w:tcBorders>
              <w:top w:val="single" w:sz="4" w:space="0" w:color="auto"/>
              <w:left w:val="single" w:sz="4" w:space="0" w:color="auto"/>
              <w:bottom w:val="nil"/>
              <w:right w:val="single" w:sz="4" w:space="0" w:color="auto"/>
            </w:tcBorders>
            <w:shd w:val="clear" w:color="auto" w:fill="auto"/>
            <w:vAlign w:val="bottom"/>
          </w:tcPr>
          <w:p w14:paraId="49D75DE1" w14:textId="11F8E663" w:rsidR="00142B74" w:rsidRPr="00422205" w:rsidRDefault="00142B74" w:rsidP="00977206">
            <w:pPr>
              <w:pStyle w:val="ListParagraph"/>
              <w:keepNext/>
              <w:keepLines/>
              <w:ind w:left="0"/>
              <w:jc w:val="center"/>
              <w:rPr>
                <w:rFonts w:ascii="Arial" w:hAnsi="Arial" w:cs="Arial"/>
              </w:rPr>
            </w:pPr>
            <w:r w:rsidRPr="00422205">
              <w:rPr>
                <w:rFonts w:ascii="Arial" w:hAnsi="Arial" w:cs="Arial"/>
              </w:rPr>
              <w:t>0.</w:t>
            </w:r>
            <w:r w:rsidR="0069736D" w:rsidRPr="00422205">
              <w:rPr>
                <w:rFonts w:ascii="Arial" w:hAnsi="Arial" w:cs="Arial"/>
              </w:rPr>
              <w:t>5</w:t>
            </w:r>
            <w:r w:rsidRPr="00422205">
              <w:rPr>
                <w:rFonts w:ascii="Arial" w:hAnsi="Arial" w:cs="Arial"/>
              </w:rPr>
              <w:t>8%</w:t>
            </w:r>
          </w:p>
        </w:tc>
      </w:tr>
      <w:tr w:rsidR="003F25FC" w:rsidRPr="00422205" w14:paraId="62CDA992" w14:textId="77777777" w:rsidTr="00DF3173">
        <w:tc>
          <w:tcPr>
            <w:tcW w:w="2802" w:type="dxa"/>
            <w:tcBorders>
              <w:top w:val="nil"/>
              <w:left w:val="single" w:sz="4" w:space="0" w:color="auto"/>
              <w:bottom w:val="single" w:sz="4" w:space="0" w:color="auto"/>
              <w:right w:val="single" w:sz="4" w:space="0" w:color="auto"/>
            </w:tcBorders>
            <w:shd w:val="clear" w:color="auto" w:fill="auto"/>
          </w:tcPr>
          <w:p w14:paraId="1BA3DF8E" w14:textId="049D857C" w:rsidR="003F25FC" w:rsidRPr="00422205" w:rsidRDefault="003F25FC" w:rsidP="00977206">
            <w:pPr>
              <w:pStyle w:val="ListParagraph"/>
              <w:keepNext/>
              <w:keepLines/>
              <w:ind w:left="0"/>
              <w:rPr>
                <w:rFonts w:ascii="Arial" w:hAnsi="Arial" w:cs="Arial"/>
              </w:rPr>
            </w:pPr>
            <w:r w:rsidRPr="00422205">
              <w:rPr>
                <w:rFonts w:ascii="Arial" w:hAnsi="Arial" w:cs="Arial"/>
              </w:rPr>
              <w:t>31.03.20</w:t>
            </w:r>
            <w:r w:rsidR="00847D71" w:rsidRPr="00422205">
              <w:rPr>
                <w:rFonts w:ascii="Arial" w:hAnsi="Arial" w:cs="Arial"/>
              </w:rPr>
              <w:t>2</w:t>
            </w:r>
            <w:r w:rsidR="0069736D" w:rsidRPr="00422205">
              <w:rPr>
                <w:rFonts w:ascii="Arial" w:hAnsi="Arial" w:cs="Arial"/>
              </w:rPr>
              <w:t>1</w:t>
            </w:r>
          </w:p>
        </w:tc>
        <w:tc>
          <w:tcPr>
            <w:tcW w:w="1417" w:type="dxa"/>
            <w:tcBorders>
              <w:top w:val="nil"/>
              <w:left w:val="single" w:sz="4" w:space="0" w:color="auto"/>
              <w:bottom w:val="single" w:sz="4" w:space="0" w:color="auto"/>
              <w:right w:val="single" w:sz="4" w:space="0" w:color="auto"/>
            </w:tcBorders>
            <w:shd w:val="clear" w:color="auto" w:fill="auto"/>
            <w:vAlign w:val="bottom"/>
          </w:tcPr>
          <w:p w14:paraId="78C41CB4" w14:textId="78F1070C" w:rsidR="003F25FC" w:rsidRPr="00422205" w:rsidRDefault="003F25FC" w:rsidP="00977206">
            <w:pPr>
              <w:pStyle w:val="ListParagraph"/>
              <w:keepNext/>
              <w:keepLines/>
              <w:ind w:left="0"/>
              <w:jc w:val="center"/>
              <w:rPr>
                <w:rFonts w:ascii="Arial" w:hAnsi="Arial" w:cs="Arial"/>
              </w:rPr>
            </w:pPr>
            <w:r w:rsidRPr="00422205">
              <w:rPr>
                <w:rFonts w:ascii="Arial" w:hAnsi="Arial" w:cs="Arial"/>
              </w:rPr>
              <w:t>AA</w:t>
            </w:r>
            <w:r w:rsidR="00847D71" w:rsidRPr="00422205">
              <w:rPr>
                <w:rFonts w:ascii="Arial" w:hAnsi="Arial" w:cs="Arial"/>
              </w:rPr>
              <w:t>-</w:t>
            </w:r>
          </w:p>
        </w:tc>
        <w:tc>
          <w:tcPr>
            <w:tcW w:w="1417" w:type="dxa"/>
            <w:tcBorders>
              <w:top w:val="nil"/>
              <w:left w:val="single" w:sz="4" w:space="0" w:color="auto"/>
              <w:bottom w:val="single" w:sz="4" w:space="0" w:color="auto"/>
              <w:right w:val="single" w:sz="4" w:space="0" w:color="auto"/>
            </w:tcBorders>
            <w:shd w:val="clear" w:color="auto" w:fill="auto"/>
            <w:vAlign w:val="bottom"/>
          </w:tcPr>
          <w:p w14:paraId="168E2898" w14:textId="0F9AF2DE" w:rsidR="003F25FC" w:rsidRPr="00422205" w:rsidRDefault="00AA01DF" w:rsidP="00977206">
            <w:pPr>
              <w:pStyle w:val="ListParagraph"/>
              <w:keepNext/>
              <w:keepLines/>
              <w:ind w:left="0"/>
              <w:jc w:val="center"/>
              <w:rPr>
                <w:rFonts w:ascii="Arial" w:hAnsi="Arial" w:cs="Arial"/>
              </w:rPr>
            </w:pPr>
            <w:r w:rsidRPr="00422205">
              <w:rPr>
                <w:rFonts w:ascii="Arial" w:hAnsi="Arial" w:cs="Arial"/>
              </w:rPr>
              <w:t>33</w:t>
            </w:r>
            <w:r w:rsidR="003F25FC" w:rsidRPr="00422205">
              <w:rPr>
                <w:rFonts w:ascii="Arial" w:hAnsi="Arial" w:cs="Arial"/>
              </w:rPr>
              <w:t>%</w:t>
            </w:r>
          </w:p>
        </w:tc>
        <w:tc>
          <w:tcPr>
            <w:tcW w:w="1417" w:type="dxa"/>
            <w:tcBorders>
              <w:top w:val="nil"/>
              <w:left w:val="single" w:sz="4" w:space="0" w:color="auto"/>
              <w:bottom w:val="single" w:sz="4" w:space="0" w:color="auto"/>
              <w:right w:val="single" w:sz="4" w:space="0" w:color="auto"/>
            </w:tcBorders>
            <w:shd w:val="clear" w:color="auto" w:fill="auto"/>
            <w:vAlign w:val="bottom"/>
          </w:tcPr>
          <w:p w14:paraId="66B804CA" w14:textId="7CEE1474" w:rsidR="003F25FC" w:rsidRPr="00422205" w:rsidRDefault="00AA01DF" w:rsidP="00977206">
            <w:pPr>
              <w:pStyle w:val="ListParagraph"/>
              <w:keepNext/>
              <w:keepLines/>
              <w:ind w:left="0"/>
              <w:jc w:val="center"/>
              <w:rPr>
                <w:rFonts w:ascii="Arial" w:hAnsi="Arial" w:cs="Arial"/>
              </w:rPr>
            </w:pPr>
            <w:r w:rsidRPr="00422205">
              <w:rPr>
                <w:rFonts w:ascii="Arial" w:hAnsi="Arial" w:cs="Arial"/>
              </w:rPr>
              <w:t>66</w:t>
            </w:r>
          </w:p>
        </w:tc>
        <w:tc>
          <w:tcPr>
            <w:tcW w:w="1417" w:type="dxa"/>
            <w:tcBorders>
              <w:top w:val="nil"/>
              <w:left w:val="single" w:sz="4" w:space="0" w:color="auto"/>
              <w:bottom w:val="single" w:sz="4" w:space="0" w:color="auto"/>
              <w:right w:val="single" w:sz="4" w:space="0" w:color="auto"/>
            </w:tcBorders>
            <w:shd w:val="clear" w:color="auto" w:fill="auto"/>
            <w:vAlign w:val="bottom"/>
          </w:tcPr>
          <w:p w14:paraId="3C9CB4B7" w14:textId="5C27002A" w:rsidR="003F25FC" w:rsidRPr="00422205" w:rsidRDefault="003F25FC" w:rsidP="00977206">
            <w:pPr>
              <w:pStyle w:val="ListParagraph"/>
              <w:keepNext/>
              <w:keepLines/>
              <w:ind w:left="0"/>
              <w:jc w:val="center"/>
              <w:rPr>
                <w:rFonts w:ascii="Arial" w:hAnsi="Arial" w:cs="Arial"/>
              </w:rPr>
            </w:pPr>
            <w:r w:rsidRPr="00422205">
              <w:rPr>
                <w:rFonts w:ascii="Arial" w:hAnsi="Arial" w:cs="Arial"/>
              </w:rPr>
              <w:t>0.</w:t>
            </w:r>
            <w:r w:rsidR="00AA01DF" w:rsidRPr="00422205">
              <w:rPr>
                <w:rFonts w:ascii="Arial" w:hAnsi="Arial" w:cs="Arial"/>
              </w:rPr>
              <w:t>22</w:t>
            </w:r>
            <w:r w:rsidRPr="00422205">
              <w:rPr>
                <w:rFonts w:ascii="Arial" w:hAnsi="Arial" w:cs="Arial"/>
              </w:rPr>
              <w:t>%</w:t>
            </w:r>
          </w:p>
        </w:tc>
      </w:tr>
      <w:tr w:rsidR="003F25FC" w:rsidRPr="00422205" w14:paraId="3A251CB8" w14:textId="77777777" w:rsidTr="00DF3173">
        <w:tc>
          <w:tcPr>
            <w:tcW w:w="2802" w:type="dxa"/>
            <w:tcBorders>
              <w:top w:val="single" w:sz="4" w:space="0" w:color="auto"/>
              <w:left w:val="single" w:sz="4" w:space="0" w:color="auto"/>
              <w:bottom w:val="nil"/>
              <w:right w:val="single" w:sz="4" w:space="0" w:color="auto"/>
            </w:tcBorders>
            <w:shd w:val="clear" w:color="auto" w:fill="auto"/>
          </w:tcPr>
          <w:p w14:paraId="48C1B2E7" w14:textId="77777777" w:rsidR="003F25FC" w:rsidRPr="00422205" w:rsidRDefault="003F25FC" w:rsidP="00977206">
            <w:pPr>
              <w:pStyle w:val="ListParagraph"/>
              <w:keepNext/>
              <w:keepLines/>
              <w:ind w:left="0"/>
              <w:rPr>
                <w:rFonts w:ascii="Arial" w:hAnsi="Arial" w:cs="Arial"/>
              </w:rPr>
            </w:pPr>
            <w:r w:rsidRPr="00422205">
              <w:rPr>
                <w:rFonts w:ascii="Arial" w:hAnsi="Arial" w:cs="Arial"/>
              </w:rPr>
              <w:t>Police &amp; Fire Authorities</w:t>
            </w:r>
          </w:p>
        </w:tc>
        <w:tc>
          <w:tcPr>
            <w:tcW w:w="1417" w:type="dxa"/>
            <w:tcBorders>
              <w:top w:val="single" w:sz="4" w:space="0" w:color="auto"/>
              <w:left w:val="single" w:sz="4" w:space="0" w:color="auto"/>
              <w:bottom w:val="nil"/>
              <w:right w:val="single" w:sz="4" w:space="0" w:color="auto"/>
            </w:tcBorders>
            <w:shd w:val="clear" w:color="auto" w:fill="auto"/>
            <w:vAlign w:val="bottom"/>
          </w:tcPr>
          <w:p w14:paraId="49F9182A" w14:textId="39C3BEE7" w:rsidR="003F25FC" w:rsidRPr="00422205" w:rsidRDefault="005D2088" w:rsidP="00977206">
            <w:pPr>
              <w:pStyle w:val="ListParagraph"/>
              <w:keepNext/>
              <w:keepLines/>
              <w:ind w:left="0"/>
              <w:jc w:val="center"/>
              <w:rPr>
                <w:rFonts w:ascii="Arial" w:hAnsi="Arial" w:cs="Arial"/>
              </w:rPr>
            </w:pPr>
            <w:r w:rsidRPr="00422205">
              <w:rPr>
                <w:rFonts w:ascii="Arial" w:hAnsi="Arial" w:cs="Arial"/>
              </w:rPr>
              <w:t>A</w:t>
            </w:r>
            <w:r w:rsidR="001F2C3D" w:rsidRPr="00422205">
              <w:rPr>
                <w:rFonts w:ascii="Arial" w:hAnsi="Arial" w:cs="Arial"/>
              </w:rPr>
              <w:t>+</w:t>
            </w:r>
          </w:p>
        </w:tc>
        <w:tc>
          <w:tcPr>
            <w:tcW w:w="1417" w:type="dxa"/>
            <w:tcBorders>
              <w:top w:val="single" w:sz="4" w:space="0" w:color="auto"/>
              <w:left w:val="single" w:sz="4" w:space="0" w:color="auto"/>
              <w:bottom w:val="nil"/>
              <w:right w:val="single" w:sz="4" w:space="0" w:color="auto"/>
            </w:tcBorders>
            <w:shd w:val="clear" w:color="auto" w:fill="auto"/>
            <w:vAlign w:val="bottom"/>
          </w:tcPr>
          <w:p w14:paraId="7420F1B3" w14:textId="7DCEB108" w:rsidR="003F25FC" w:rsidRPr="00422205" w:rsidRDefault="001F2C3D" w:rsidP="00977206">
            <w:pPr>
              <w:pStyle w:val="ListParagraph"/>
              <w:keepNext/>
              <w:keepLines/>
              <w:ind w:left="0"/>
              <w:jc w:val="center"/>
              <w:rPr>
                <w:rFonts w:ascii="Arial" w:hAnsi="Arial" w:cs="Arial"/>
              </w:rPr>
            </w:pPr>
            <w:r w:rsidRPr="00422205">
              <w:rPr>
                <w:rFonts w:ascii="Arial" w:hAnsi="Arial" w:cs="Arial"/>
              </w:rPr>
              <w:t>70</w:t>
            </w:r>
            <w:r w:rsidR="005D2088" w:rsidRPr="00422205">
              <w:rPr>
                <w:rFonts w:ascii="Arial" w:hAnsi="Arial" w:cs="Arial"/>
              </w:rPr>
              <w:t>%</w:t>
            </w:r>
          </w:p>
        </w:tc>
        <w:tc>
          <w:tcPr>
            <w:tcW w:w="1417" w:type="dxa"/>
            <w:tcBorders>
              <w:top w:val="single" w:sz="4" w:space="0" w:color="auto"/>
              <w:left w:val="single" w:sz="4" w:space="0" w:color="auto"/>
              <w:bottom w:val="nil"/>
              <w:right w:val="single" w:sz="4" w:space="0" w:color="auto"/>
            </w:tcBorders>
            <w:shd w:val="clear" w:color="auto" w:fill="auto"/>
            <w:vAlign w:val="bottom"/>
          </w:tcPr>
          <w:p w14:paraId="2EE55631" w14:textId="6D12FCE2" w:rsidR="003F25FC" w:rsidRPr="00422205" w:rsidRDefault="001F2C3D" w:rsidP="00977206">
            <w:pPr>
              <w:pStyle w:val="ListParagraph"/>
              <w:keepNext/>
              <w:keepLines/>
              <w:ind w:left="0"/>
              <w:jc w:val="center"/>
              <w:rPr>
                <w:rFonts w:ascii="Arial" w:hAnsi="Arial" w:cs="Arial"/>
              </w:rPr>
            </w:pPr>
            <w:r w:rsidRPr="00422205">
              <w:rPr>
                <w:rFonts w:ascii="Arial" w:hAnsi="Arial" w:cs="Arial"/>
              </w:rPr>
              <w:t>26</w:t>
            </w:r>
          </w:p>
        </w:tc>
        <w:tc>
          <w:tcPr>
            <w:tcW w:w="1417" w:type="dxa"/>
            <w:tcBorders>
              <w:top w:val="single" w:sz="4" w:space="0" w:color="auto"/>
              <w:left w:val="single" w:sz="4" w:space="0" w:color="auto"/>
              <w:bottom w:val="nil"/>
              <w:right w:val="single" w:sz="4" w:space="0" w:color="auto"/>
            </w:tcBorders>
            <w:shd w:val="clear" w:color="auto" w:fill="auto"/>
            <w:vAlign w:val="bottom"/>
          </w:tcPr>
          <w:p w14:paraId="2F285A83" w14:textId="39319887" w:rsidR="003F25FC" w:rsidRPr="00422205" w:rsidRDefault="005D2088" w:rsidP="00977206">
            <w:pPr>
              <w:pStyle w:val="ListParagraph"/>
              <w:keepNext/>
              <w:keepLines/>
              <w:ind w:left="0"/>
              <w:jc w:val="center"/>
              <w:rPr>
                <w:rFonts w:ascii="Arial" w:hAnsi="Arial" w:cs="Arial"/>
              </w:rPr>
            </w:pPr>
            <w:r w:rsidRPr="00422205">
              <w:rPr>
                <w:rFonts w:ascii="Arial" w:hAnsi="Arial" w:cs="Arial"/>
              </w:rPr>
              <w:t>0.</w:t>
            </w:r>
            <w:r w:rsidR="001F2C3D" w:rsidRPr="00422205">
              <w:rPr>
                <w:rFonts w:ascii="Arial" w:hAnsi="Arial" w:cs="Arial"/>
              </w:rPr>
              <w:t>09</w:t>
            </w:r>
            <w:r w:rsidRPr="00422205">
              <w:rPr>
                <w:rFonts w:ascii="Arial" w:hAnsi="Arial" w:cs="Arial"/>
              </w:rPr>
              <w:t>%</w:t>
            </w:r>
          </w:p>
        </w:tc>
      </w:tr>
      <w:tr w:rsidR="003F25FC" w:rsidRPr="00E76963" w14:paraId="07B6DF70" w14:textId="77777777" w:rsidTr="00DF3173">
        <w:tc>
          <w:tcPr>
            <w:tcW w:w="2802" w:type="dxa"/>
            <w:tcBorders>
              <w:top w:val="nil"/>
              <w:left w:val="single" w:sz="4" w:space="0" w:color="auto"/>
              <w:bottom w:val="single" w:sz="4" w:space="0" w:color="auto"/>
              <w:right w:val="single" w:sz="4" w:space="0" w:color="auto"/>
            </w:tcBorders>
            <w:shd w:val="clear" w:color="auto" w:fill="auto"/>
          </w:tcPr>
          <w:p w14:paraId="3CCBA379" w14:textId="77777777" w:rsidR="003F25FC" w:rsidRPr="00422205" w:rsidRDefault="003F25FC" w:rsidP="00977206">
            <w:pPr>
              <w:pStyle w:val="ListParagraph"/>
              <w:keepNext/>
              <w:keepLines/>
              <w:ind w:left="0"/>
              <w:rPr>
                <w:rFonts w:ascii="Arial" w:hAnsi="Arial" w:cs="Arial"/>
              </w:rPr>
            </w:pPr>
            <w:r w:rsidRPr="00422205">
              <w:rPr>
                <w:rFonts w:ascii="Arial" w:hAnsi="Arial" w:cs="Arial"/>
              </w:rPr>
              <w:t>All LAs</w:t>
            </w:r>
          </w:p>
        </w:tc>
        <w:tc>
          <w:tcPr>
            <w:tcW w:w="1417" w:type="dxa"/>
            <w:tcBorders>
              <w:top w:val="nil"/>
              <w:left w:val="single" w:sz="4" w:space="0" w:color="auto"/>
              <w:bottom w:val="single" w:sz="4" w:space="0" w:color="auto"/>
              <w:right w:val="single" w:sz="4" w:space="0" w:color="auto"/>
            </w:tcBorders>
            <w:shd w:val="clear" w:color="auto" w:fill="auto"/>
            <w:vAlign w:val="bottom"/>
          </w:tcPr>
          <w:p w14:paraId="6B4B309F" w14:textId="3E07F2B3" w:rsidR="003F25FC" w:rsidRPr="00422205" w:rsidRDefault="005D2088" w:rsidP="00977206">
            <w:pPr>
              <w:pStyle w:val="ListParagraph"/>
              <w:keepNext/>
              <w:keepLines/>
              <w:ind w:left="0"/>
              <w:jc w:val="center"/>
              <w:rPr>
                <w:rFonts w:ascii="Arial" w:hAnsi="Arial" w:cs="Arial"/>
              </w:rPr>
            </w:pPr>
            <w:r w:rsidRPr="00422205">
              <w:rPr>
                <w:rFonts w:ascii="Arial" w:hAnsi="Arial" w:cs="Arial"/>
              </w:rPr>
              <w:t>A</w:t>
            </w:r>
            <w:r w:rsidR="00422205" w:rsidRPr="00422205">
              <w:rPr>
                <w:rFonts w:ascii="Arial" w:hAnsi="Arial" w:cs="Arial"/>
              </w:rPr>
              <w:t>+</w:t>
            </w:r>
          </w:p>
        </w:tc>
        <w:tc>
          <w:tcPr>
            <w:tcW w:w="1417" w:type="dxa"/>
            <w:tcBorders>
              <w:top w:val="nil"/>
              <w:left w:val="single" w:sz="4" w:space="0" w:color="auto"/>
              <w:bottom w:val="single" w:sz="4" w:space="0" w:color="auto"/>
              <w:right w:val="single" w:sz="4" w:space="0" w:color="auto"/>
            </w:tcBorders>
            <w:shd w:val="clear" w:color="auto" w:fill="auto"/>
            <w:vAlign w:val="bottom"/>
          </w:tcPr>
          <w:p w14:paraId="3E953188" w14:textId="5A4D26CD" w:rsidR="003F25FC" w:rsidRPr="00422205" w:rsidRDefault="00422205" w:rsidP="00977206">
            <w:pPr>
              <w:pStyle w:val="ListParagraph"/>
              <w:keepNext/>
              <w:keepLines/>
              <w:ind w:left="0"/>
              <w:jc w:val="center"/>
              <w:rPr>
                <w:rFonts w:ascii="Arial" w:hAnsi="Arial" w:cs="Arial"/>
              </w:rPr>
            </w:pPr>
            <w:r w:rsidRPr="00422205">
              <w:rPr>
                <w:rFonts w:ascii="Arial" w:hAnsi="Arial" w:cs="Arial"/>
              </w:rPr>
              <w:t>63</w:t>
            </w:r>
            <w:r w:rsidR="005D2088" w:rsidRPr="00422205">
              <w:rPr>
                <w:rFonts w:ascii="Arial" w:hAnsi="Arial" w:cs="Arial"/>
              </w:rPr>
              <w:t>%</w:t>
            </w:r>
          </w:p>
        </w:tc>
        <w:tc>
          <w:tcPr>
            <w:tcW w:w="1417" w:type="dxa"/>
            <w:tcBorders>
              <w:top w:val="nil"/>
              <w:left w:val="single" w:sz="4" w:space="0" w:color="auto"/>
              <w:bottom w:val="single" w:sz="4" w:space="0" w:color="auto"/>
              <w:right w:val="single" w:sz="4" w:space="0" w:color="auto"/>
            </w:tcBorders>
            <w:shd w:val="clear" w:color="auto" w:fill="auto"/>
            <w:vAlign w:val="bottom"/>
          </w:tcPr>
          <w:p w14:paraId="7C9A0C4A" w14:textId="46B71C77" w:rsidR="003F25FC" w:rsidRPr="00422205" w:rsidRDefault="00422205" w:rsidP="00977206">
            <w:pPr>
              <w:pStyle w:val="ListParagraph"/>
              <w:keepNext/>
              <w:keepLines/>
              <w:ind w:left="0"/>
              <w:jc w:val="center"/>
              <w:rPr>
                <w:rFonts w:ascii="Arial" w:hAnsi="Arial" w:cs="Arial"/>
              </w:rPr>
            </w:pPr>
            <w:r w:rsidRPr="00422205">
              <w:rPr>
                <w:rFonts w:ascii="Arial" w:hAnsi="Arial" w:cs="Arial"/>
              </w:rPr>
              <w:t>14</w:t>
            </w:r>
          </w:p>
        </w:tc>
        <w:tc>
          <w:tcPr>
            <w:tcW w:w="1417" w:type="dxa"/>
            <w:tcBorders>
              <w:top w:val="nil"/>
              <w:left w:val="single" w:sz="4" w:space="0" w:color="auto"/>
              <w:bottom w:val="single" w:sz="4" w:space="0" w:color="auto"/>
              <w:right w:val="single" w:sz="4" w:space="0" w:color="auto"/>
            </w:tcBorders>
            <w:shd w:val="clear" w:color="auto" w:fill="auto"/>
            <w:vAlign w:val="bottom"/>
          </w:tcPr>
          <w:p w14:paraId="3CD66393" w14:textId="62C7AABA" w:rsidR="003F25FC" w:rsidRPr="00422205" w:rsidRDefault="005D2088" w:rsidP="00977206">
            <w:pPr>
              <w:pStyle w:val="ListParagraph"/>
              <w:keepNext/>
              <w:keepLines/>
              <w:ind w:left="0"/>
              <w:jc w:val="center"/>
              <w:rPr>
                <w:rFonts w:ascii="Arial" w:hAnsi="Arial" w:cs="Arial"/>
              </w:rPr>
            </w:pPr>
            <w:r w:rsidRPr="00422205">
              <w:rPr>
                <w:rFonts w:ascii="Arial" w:hAnsi="Arial" w:cs="Arial"/>
              </w:rPr>
              <w:t>0.</w:t>
            </w:r>
            <w:r w:rsidR="00422205" w:rsidRPr="00422205">
              <w:rPr>
                <w:rFonts w:ascii="Arial" w:hAnsi="Arial" w:cs="Arial"/>
              </w:rPr>
              <w:t>15</w:t>
            </w:r>
            <w:r w:rsidRPr="00422205">
              <w:rPr>
                <w:rFonts w:ascii="Arial" w:hAnsi="Arial" w:cs="Arial"/>
              </w:rPr>
              <w:t>%</w:t>
            </w:r>
          </w:p>
        </w:tc>
      </w:tr>
    </w:tbl>
    <w:p w14:paraId="630D4ECA" w14:textId="77777777" w:rsidR="00422205" w:rsidRDefault="00422205" w:rsidP="00422205">
      <w:pPr>
        <w:pStyle w:val="ListParagraph"/>
        <w:spacing w:after="240"/>
        <w:rPr>
          <w:rFonts w:ascii="Arial" w:hAnsi="Arial" w:cs="Arial"/>
          <w:highlight w:val="yellow"/>
        </w:rPr>
      </w:pPr>
    </w:p>
    <w:p w14:paraId="038F3671" w14:textId="26F80872" w:rsidR="00FC4700" w:rsidRPr="007403DE" w:rsidRDefault="00FC4700" w:rsidP="003C3808">
      <w:pPr>
        <w:pStyle w:val="ListParagraph"/>
        <w:numPr>
          <w:ilvl w:val="1"/>
          <w:numId w:val="2"/>
        </w:numPr>
        <w:spacing w:after="240"/>
        <w:ind w:left="720" w:hanging="720"/>
        <w:rPr>
          <w:rFonts w:ascii="Arial" w:hAnsi="Arial" w:cs="Arial"/>
        </w:rPr>
      </w:pPr>
      <w:r w:rsidRPr="007403DE">
        <w:rPr>
          <w:rFonts w:ascii="Arial" w:hAnsi="Arial" w:cs="Arial"/>
        </w:rPr>
        <w:t>Table 5 shows the average credit rat</w:t>
      </w:r>
      <w:r w:rsidR="00943F0A" w:rsidRPr="007403DE">
        <w:rPr>
          <w:rFonts w:ascii="Arial" w:hAnsi="Arial" w:cs="Arial"/>
        </w:rPr>
        <w:t xml:space="preserve">ing of the portfolio </w:t>
      </w:r>
      <w:r w:rsidR="00B03FC8" w:rsidRPr="007403DE">
        <w:rPr>
          <w:rFonts w:ascii="Arial" w:hAnsi="Arial" w:cs="Arial"/>
        </w:rPr>
        <w:t>h</w:t>
      </w:r>
      <w:r w:rsidR="00943F0A" w:rsidRPr="007403DE">
        <w:rPr>
          <w:rFonts w:ascii="Arial" w:hAnsi="Arial" w:cs="Arial"/>
        </w:rPr>
        <w:t>as</w:t>
      </w:r>
      <w:r w:rsidR="00B03FC8" w:rsidRPr="007403DE">
        <w:rPr>
          <w:rFonts w:ascii="Arial" w:hAnsi="Arial" w:cs="Arial"/>
        </w:rPr>
        <w:t xml:space="preserve"> remained consistent </w:t>
      </w:r>
      <w:r w:rsidR="00943F0A" w:rsidRPr="007403DE">
        <w:rPr>
          <w:rFonts w:ascii="Arial" w:hAnsi="Arial" w:cs="Arial"/>
        </w:rPr>
        <w:t>at 31 March 202</w:t>
      </w:r>
      <w:r w:rsidR="00F24548" w:rsidRPr="007403DE">
        <w:rPr>
          <w:rFonts w:ascii="Arial" w:hAnsi="Arial" w:cs="Arial"/>
        </w:rPr>
        <w:t>1 in comparison to the previous year</w:t>
      </w:r>
      <w:r w:rsidR="00964BB8" w:rsidRPr="007403DE">
        <w:rPr>
          <w:rFonts w:ascii="Arial" w:hAnsi="Arial" w:cs="Arial"/>
        </w:rPr>
        <w:t xml:space="preserve">.  Bail-in </w:t>
      </w:r>
      <w:r w:rsidR="009D4797" w:rsidRPr="007403DE">
        <w:rPr>
          <w:rFonts w:ascii="Arial" w:hAnsi="Arial" w:cs="Arial"/>
        </w:rPr>
        <w:t>exposure was lower than at the same time in 2020</w:t>
      </w:r>
      <w:r w:rsidR="002B7F22" w:rsidRPr="007403DE">
        <w:rPr>
          <w:rFonts w:ascii="Arial" w:hAnsi="Arial" w:cs="Arial"/>
        </w:rPr>
        <w:t xml:space="preserve">, as the OPCC </w:t>
      </w:r>
      <w:r w:rsidR="00483489" w:rsidRPr="007403DE">
        <w:rPr>
          <w:rFonts w:ascii="Arial" w:hAnsi="Arial" w:cs="Arial"/>
        </w:rPr>
        <w:t>held a greater investment balance with local authorities, who are not subject to bail-in risk, while the weighted a</w:t>
      </w:r>
      <w:r w:rsidR="00D9330C" w:rsidRPr="007403DE">
        <w:rPr>
          <w:rFonts w:ascii="Arial" w:hAnsi="Arial" w:cs="Arial"/>
        </w:rPr>
        <w:t xml:space="preserve">verage maturity of investments was </w:t>
      </w:r>
      <w:r w:rsidR="007F341E" w:rsidRPr="007403DE">
        <w:rPr>
          <w:rFonts w:ascii="Arial" w:hAnsi="Arial" w:cs="Arial"/>
        </w:rPr>
        <w:t xml:space="preserve">higher </w:t>
      </w:r>
      <w:r w:rsidR="00C2753E" w:rsidRPr="007403DE">
        <w:rPr>
          <w:rFonts w:ascii="Arial" w:hAnsi="Arial" w:cs="Arial"/>
        </w:rPr>
        <w:t xml:space="preserve">due to </w:t>
      </w:r>
      <w:r w:rsidR="00E22BA8" w:rsidRPr="007403DE">
        <w:rPr>
          <w:rFonts w:ascii="Arial" w:hAnsi="Arial" w:cs="Arial"/>
        </w:rPr>
        <w:lastRenderedPageBreak/>
        <w:t xml:space="preserve">the OPCC </w:t>
      </w:r>
      <w:r w:rsidR="00C2753E" w:rsidRPr="007403DE">
        <w:rPr>
          <w:rFonts w:ascii="Arial" w:hAnsi="Arial" w:cs="Arial"/>
        </w:rPr>
        <w:t xml:space="preserve">holding more local authority investments and less </w:t>
      </w:r>
      <w:r w:rsidR="00E22BA8" w:rsidRPr="007403DE">
        <w:rPr>
          <w:rFonts w:ascii="Arial" w:hAnsi="Arial" w:cs="Arial"/>
        </w:rPr>
        <w:t xml:space="preserve">invested in </w:t>
      </w:r>
      <w:r w:rsidR="003620CF">
        <w:rPr>
          <w:rFonts w:ascii="Arial" w:hAnsi="Arial" w:cs="Arial"/>
        </w:rPr>
        <w:t>more</w:t>
      </w:r>
      <w:r w:rsidR="00E22BA8" w:rsidRPr="007403DE">
        <w:rPr>
          <w:rFonts w:ascii="Arial" w:hAnsi="Arial" w:cs="Arial"/>
        </w:rPr>
        <w:t xml:space="preserve"> liquid investment options</w:t>
      </w:r>
      <w:r w:rsidR="00B45756" w:rsidRPr="007403DE">
        <w:rPr>
          <w:rFonts w:ascii="Arial" w:hAnsi="Arial" w:cs="Arial"/>
        </w:rPr>
        <w:t>.  The average rate of return (0.22%)</w:t>
      </w:r>
      <w:r w:rsidR="00D75B8B" w:rsidRPr="007403DE">
        <w:rPr>
          <w:rFonts w:ascii="Arial" w:hAnsi="Arial" w:cs="Arial"/>
        </w:rPr>
        <w:t xml:space="preserve"> was lower than at 31 March 2020</w:t>
      </w:r>
      <w:r w:rsidR="00F24DC4" w:rsidRPr="007403DE">
        <w:rPr>
          <w:rFonts w:ascii="Arial" w:hAnsi="Arial" w:cs="Arial"/>
        </w:rPr>
        <w:t xml:space="preserve">, but the benefit of </w:t>
      </w:r>
      <w:r w:rsidR="00C126D6" w:rsidRPr="007403DE">
        <w:rPr>
          <w:rFonts w:ascii="Arial" w:hAnsi="Arial" w:cs="Arial"/>
        </w:rPr>
        <w:t xml:space="preserve">higher rates for fixed investments made prior to the pandemic helped to offset </w:t>
      </w:r>
      <w:r w:rsidR="002D502D" w:rsidRPr="007403DE">
        <w:rPr>
          <w:rFonts w:ascii="Arial" w:hAnsi="Arial" w:cs="Arial"/>
        </w:rPr>
        <w:t>returns at or close to 0% for many investments across the market.  The OPCC compared favourably with all other local authorities</w:t>
      </w:r>
      <w:r w:rsidR="007403DE" w:rsidRPr="007403DE">
        <w:rPr>
          <w:rFonts w:ascii="Arial" w:hAnsi="Arial" w:cs="Arial"/>
        </w:rPr>
        <w:t xml:space="preserve"> (including police and crime commissioners) included in the benchmarking exercise across all metrics.</w:t>
      </w:r>
    </w:p>
    <w:p w14:paraId="3DF49417" w14:textId="2F4BE67E" w:rsidR="007403DE" w:rsidRPr="007403DE" w:rsidRDefault="007403DE" w:rsidP="00EE395D">
      <w:pPr>
        <w:pStyle w:val="Heading6"/>
      </w:pPr>
      <w:r w:rsidRPr="007403DE">
        <w:t>Externally managed pooled funds</w:t>
      </w:r>
    </w:p>
    <w:p w14:paraId="114F7B54" w14:textId="5FEF4389" w:rsidR="00627C2A" w:rsidRPr="00627C2A" w:rsidRDefault="00627C2A" w:rsidP="00627C2A">
      <w:pPr>
        <w:pStyle w:val="ListParagraph"/>
        <w:numPr>
          <w:ilvl w:val="1"/>
          <w:numId w:val="2"/>
        </w:numPr>
        <w:spacing w:after="240"/>
        <w:ind w:left="720" w:hanging="720"/>
        <w:rPr>
          <w:rFonts w:ascii="Arial" w:hAnsi="Arial" w:cs="Arial"/>
        </w:rPr>
      </w:pPr>
      <w:r w:rsidRPr="00627C2A">
        <w:rPr>
          <w:rFonts w:ascii="Arial" w:hAnsi="Arial" w:cs="Arial"/>
        </w:rPr>
        <w:t xml:space="preserve">In order to minimise the risk of receiving unsuitably low investment income, the </w:t>
      </w:r>
      <w:r>
        <w:rPr>
          <w:rFonts w:ascii="Arial" w:hAnsi="Arial" w:cs="Arial"/>
        </w:rPr>
        <w:t>OPCC</w:t>
      </w:r>
      <w:r w:rsidRPr="00627C2A">
        <w:rPr>
          <w:rFonts w:ascii="Arial" w:hAnsi="Arial" w:cs="Arial"/>
        </w:rPr>
        <w:t xml:space="preserve"> has continued to invest a proportion of steady core balances in externally managed pooled funds as part of its higher yielding strategy.</w:t>
      </w:r>
    </w:p>
    <w:p w14:paraId="313AF06A" w14:textId="7DC55318" w:rsidR="00627C2A" w:rsidRPr="00627C2A" w:rsidRDefault="00627C2A" w:rsidP="00627C2A">
      <w:pPr>
        <w:pStyle w:val="ListParagraph"/>
        <w:numPr>
          <w:ilvl w:val="1"/>
          <w:numId w:val="2"/>
        </w:numPr>
        <w:spacing w:after="240"/>
        <w:ind w:left="720" w:hanging="720"/>
        <w:rPr>
          <w:rFonts w:ascii="Arial" w:hAnsi="Arial" w:cs="Arial"/>
        </w:rPr>
      </w:pPr>
      <w:r w:rsidRPr="00627C2A">
        <w:rPr>
          <w:rFonts w:ascii="Arial" w:hAnsi="Arial" w:cs="Arial"/>
        </w:rPr>
        <w:t xml:space="preserve">The CIPFA Code requires the </w:t>
      </w:r>
      <w:r>
        <w:rPr>
          <w:rFonts w:ascii="Arial" w:hAnsi="Arial" w:cs="Arial"/>
        </w:rPr>
        <w:t>OPCC</w:t>
      </w:r>
      <w:r w:rsidRPr="00627C2A">
        <w:rPr>
          <w:rFonts w:ascii="Arial" w:hAnsi="Arial" w:cs="Arial"/>
        </w:rPr>
        <w:t xml:space="preserve"> to invest its funds prudently and to have regard to the security and liquidity of its investments before seeking the highest yield. As a result, the </w:t>
      </w:r>
      <w:r>
        <w:rPr>
          <w:rFonts w:ascii="Arial" w:hAnsi="Arial" w:cs="Arial"/>
        </w:rPr>
        <w:t>OPCC</w:t>
      </w:r>
      <w:r w:rsidRPr="00627C2A">
        <w:rPr>
          <w:rFonts w:ascii="Arial" w:hAnsi="Arial" w:cs="Arial"/>
        </w:rPr>
        <w:t xml:space="preserve">’s investments targeting higher yields have been made from its most stable balances and with the intention that they will be held for at least the medium term. This means that the initial costs of any investment and any periods of falling capital values can be overcome and mitigates the risk of having to sell an asset for liquidity purposes, helping to ensure the long-term security of the </w:t>
      </w:r>
      <w:r>
        <w:rPr>
          <w:rFonts w:ascii="Arial" w:hAnsi="Arial" w:cs="Arial"/>
        </w:rPr>
        <w:t>OPCC</w:t>
      </w:r>
      <w:r w:rsidRPr="00627C2A">
        <w:rPr>
          <w:rFonts w:ascii="Arial" w:hAnsi="Arial" w:cs="Arial"/>
        </w:rPr>
        <w:t xml:space="preserve">’s investments. </w:t>
      </w:r>
    </w:p>
    <w:p w14:paraId="3D25D8C1" w14:textId="4D41E181" w:rsidR="00627C2A" w:rsidRDefault="00627C2A" w:rsidP="00627C2A">
      <w:pPr>
        <w:pStyle w:val="ListParagraph"/>
        <w:numPr>
          <w:ilvl w:val="1"/>
          <w:numId w:val="2"/>
        </w:numPr>
        <w:spacing w:after="240"/>
        <w:ind w:left="720" w:hanging="720"/>
        <w:rPr>
          <w:rFonts w:ascii="Arial" w:hAnsi="Arial" w:cs="Arial"/>
        </w:rPr>
      </w:pPr>
      <w:r w:rsidRPr="00627C2A">
        <w:rPr>
          <w:rFonts w:ascii="Arial" w:hAnsi="Arial" w:cs="Arial"/>
        </w:rPr>
        <w:t xml:space="preserve">The </w:t>
      </w:r>
      <w:r>
        <w:rPr>
          <w:rFonts w:ascii="Arial" w:hAnsi="Arial" w:cs="Arial"/>
        </w:rPr>
        <w:t>OPCC</w:t>
      </w:r>
      <w:r w:rsidRPr="00627C2A">
        <w:rPr>
          <w:rFonts w:ascii="Arial" w:hAnsi="Arial" w:cs="Arial"/>
        </w:rPr>
        <w:t xml:space="preserve">’s investments in pooled funds fell considerably in value when the coronavirus pandemic hit world markets but have since recovered well. This recovery means these investments are now worth </w:t>
      </w:r>
      <w:r w:rsidRPr="00A34AA1">
        <w:rPr>
          <w:rFonts w:ascii="Arial" w:hAnsi="Arial" w:cs="Arial"/>
        </w:rPr>
        <w:t xml:space="preserve">marginally </w:t>
      </w:r>
      <w:r w:rsidR="00A34AA1">
        <w:rPr>
          <w:rFonts w:ascii="Arial" w:hAnsi="Arial" w:cs="Arial"/>
        </w:rPr>
        <w:t>more</w:t>
      </w:r>
      <w:r w:rsidRPr="00627C2A">
        <w:rPr>
          <w:rFonts w:ascii="Arial" w:hAnsi="Arial" w:cs="Arial"/>
        </w:rPr>
        <w:t xml:space="preserve"> in aggregate than the initial sums invested, as shown in Table 6, demonstrating the importance of taking a longer term approach and being able to ride out periods of market volatility, ensuring the </w:t>
      </w:r>
      <w:r>
        <w:rPr>
          <w:rFonts w:ascii="Arial" w:hAnsi="Arial" w:cs="Arial"/>
        </w:rPr>
        <w:t>OPCC</w:t>
      </w:r>
      <w:r w:rsidRPr="00627C2A">
        <w:rPr>
          <w:rFonts w:ascii="Arial" w:hAnsi="Arial" w:cs="Arial"/>
        </w:rPr>
        <w:t xml:space="preserve"> is not a forced seller at the bottom of the market.</w:t>
      </w:r>
    </w:p>
    <w:tbl>
      <w:tblPr>
        <w:tblW w:w="88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 Higher yielding investments – market value performance"/>
      </w:tblPr>
      <w:tblGrid>
        <w:gridCol w:w="3114"/>
        <w:gridCol w:w="1280"/>
        <w:gridCol w:w="1290"/>
        <w:gridCol w:w="1724"/>
        <w:gridCol w:w="1408"/>
      </w:tblGrid>
      <w:tr w:rsidR="00B20AFF" w14:paraId="139ECFAC" w14:textId="77777777" w:rsidTr="00E77DD8">
        <w:trPr>
          <w:tblHeader/>
        </w:trPr>
        <w:tc>
          <w:tcPr>
            <w:tcW w:w="3114" w:type="dxa"/>
            <w:vMerge w:val="restart"/>
            <w:shd w:val="clear" w:color="auto" w:fill="auto"/>
          </w:tcPr>
          <w:p w14:paraId="10F067F6" w14:textId="77777777" w:rsidR="00E4055E" w:rsidRPr="00B20AFF" w:rsidRDefault="00E4055E" w:rsidP="00B20AFF">
            <w:pPr>
              <w:pStyle w:val="ListParagraph"/>
              <w:keepNext/>
              <w:widowControl w:val="0"/>
              <w:tabs>
                <w:tab w:val="left" w:pos="720"/>
                <w:tab w:val="left" w:pos="1260"/>
                <w:tab w:val="left" w:pos="1980"/>
                <w:tab w:val="left" w:pos="2520"/>
              </w:tabs>
              <w:suppressAutoHyphens/>
              <w:spacing w:after="120" w:line="260" w:lineRule="atLeast"/>
              <w:ind w:left="0"/>
              <w:outlineLvl w:val="0"/>
              <w:rPr>
                <w:rFonts w:ascii="Arial" w:hAnsi="Arial" w:cs="Arial"/>
                <w:b/>
                <w:bCs/>
              </w:rPr>
            </w:pPr>
            <w:r w:rsidRPr="00B20AFF">
              <w:rPr>
                <w:rFonts w:ascii="Arial" w:hAnsi="Arial" w:cs="Arial"/>
                <w:b/>
                <w:bCs/>
              </w:rPr>
              <w:t>Table 6 – Higher yielding investments – market value performance</w:t>
            </w:r>
          </w:p>
        </w:tc>
        <w:tc>
          <w:tcPr>
            <w:tcW w:w="1280" w:type="dxa"/>
            <w:vMerge w:val="restart"/>
            <w:shd w:val="clear" w:color="auto" w:fill="auto"/>
          </w:tcPr>
          <w:p w14:paraId="71D0F938" w14:textId="228C55BC" w:rsidR="00E4055E" w:rsidRPr="00B20AFF" w:rsidRDefault="00E4055E" w:rsidP="00B20AFF">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b/>
                <w:bCs/>
              </w:rPr>
            </w:pPr>
            <w:r w:rsidRPr="00B20AFF">
              <w:rPr>
                <w:rFonts w:ascii="Arial" w:hAnsi="Arial" w:cs="Arial"/>
                <w:b/>
                <w:bCs/>
              </w:rPr>
              <w:t>Amount invested</w:t>
            </w:r>
          </w:p>
        </w:tc>
        <w:tc>
          <w:tcPr>
            <w:tcW w:w="1290" w:type="dxa"/>
            <w:vMerge w:val="restart"/>
            <w:shd w:val="clear" w:color="auto" w:fill="auto"/>
          </w:tcPr>
          <w:p w14:paraId="78F5C3AA" w14:textId="77777777" w:rsidR="00E4055E" w:rsidRPr="00B20AFF" w:rsidRDefault="00E4055E" w:rsidP="00B20AFF">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b/>
                <w:bCs/>
              </w:rPr>
            </w:pPr>
            <w:r w:rsidRPr="00B20AFF">
              <w:rPr>
                <w:rFonts w:ascii="Arial" w:hAnsi="Arial" w:cs="Arial"/>
                <w:b/>
                <w:bCs/>
              </w:rPr>
              <w:t>Market value at 31/03/21</w:t>
            </w:r>
          </w:p>
        </w:tc>
        <w:tc>
          <w:tcPr>
            <w:tcW w:w="3132" w:type="dxa"/>
            <w:gridSpan w:val="2"/>
            <w:shd w:val="clear" w:color="auto" w:fill="auto"/>
          </w:tcPr>
          <w:p w14:paraId="07604760" w14:textId="77777777" w:rsidR="00E4055E" w:rsidRPr="00B20AFF" w:rsidRDefault="00E4055E" w:rsidP="00B20AFF">
            <w:pPr>
              <w:pStyle w:val="ListParagraph"/>
              <w:keepNext/>
              <w:widowControl w:val="0"/>
              <w:tabs>
                <w:tab w:val="left" w:pos="720"/>
                <w:tab w:val="left" w:pos="1260"/>
                <w:tab w:val="left" w:pos="1980"/>
                <w:tab w:val="left" w:pos="2520"/>
              </w:tabs>
              <w:suppressAutoHyphens/>
              <w:spacing w:after="120" w:line="260" w:lineRule="atLeast"/>
              <w:ind w:left="0"/>
              <w:jc w:val="center"/>
              <w:outlineLvl w:val="0"/>
              <w:rPr>
                <w:rFonts w:ascii="Arial" w:hAnsi="Arial" w:cs="Arial"/>
                <w:b/>
                <w:bCs/>
              </w:rPr>
            </w:pPr>
            <w:r w:rsidRPr="00B20AFF">
              <w:rPr>
                <w:rFonts w:ascii="Arial" w:hAnsi="Arial" w:cs="Arial"/>
                <w:b/>
                <w:bCs/>
              </w:rPr>
              <w:t xml:space="preserve">Gain/(fall) in capital value </w:t>
            </w:r>
          </w:p>
        </w:tc>
      </w:tr>
      <w:tr w:rsidR="00B20AFF" w14:paraId="02110596" w14:textId="77777777" w:rsidTr="001D0F8E">
        <w:tc>
          <w:tcPr>
            <w:tcW w:w="3114" w:type="dxa"/>
            <w:vMerge/>
            <w:shd w:val="clear" w:color="auto" w:fill="auto"/>
          </w:tcPr>
          <w:p w14:paraId="4E91A9E3" w14:textId="77777777" w:rsidR="00E4055E" w:rsidRPr="00B20AFF" w:rsidRDefault="00E4055E" w:rsidP="00B20AFF">
            <w:pPr>
              <w:pStyle w:val="ListParagraph"/>
              <w:keepNext/>
              <w:widowControl w:val="0"/>
              <w:tabs>
                <w:tab w:val="left" w:pos="720"/>
                <w:tab w:val="left" w:pos="1260"/>
                <w:tab w:val="left" w:pos="1980"/>
                <w:tab w:val="left" w:pos="2520"/>
              </w:tabs>
              <w:suppressAutoHyphens/>
              <w:spacing w:after="120" w:line="260" w:lineRule="atLeast"/>
              <w:ind w:left="0"/>
              <w:outlineLvl w:val="0"/>
              <w:rPr>
                <w:rFonts w:ascii="Arial" w:hAnsi="Arial" w:cs="Arial"/>
                <w:b/>
                <w:bCs/>
              </w:rPr>
            </w:pPr>
          </w:p>
        </w:tc>
        <w:tc>
          <w:tcPr>
            <w:tcW w:w="1280" w:type="dxa"/>
            <w:vMerge/>
            <w:shd w:val="clear" w:color="auto" w:fill="auto"/>
          </w:tcPr>
          <w:p w14:paraId="452F5057" w14:textId="77777777" w:rsidR="00E4055E" w:rsidRPr="00B20AFF" w:rsidRDefault="00E4055E" w:rsidP="00B20AFF">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b/>
                <w:bCs/>
              </w:rPr>
            </w:pPr>
          </w:p>
        </w:tc>
        <w:tc>
          <w:tcPr>
            <w:tcW w:w="1290" w:type="dxa"/>
            <w:vMerge/>
            <w:shd w:val="clear" w:color="auto" w:fill="auto"/>
          </w:tcPr>
          <w:p w14:paraId="432A0281" w14:textId="77777777" w:rsidR="00E4055E" w:rsidRPr="00B20AFF" w:rsidRDefault="00E4055E" w:rsidP="00B20AFF">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b/>
                <w:bCs/>
              </w:rPr>
            </w:pPr>
          </w:p>
        </w:tc>
        <w:tc>
          <w:tcPr>
            <w:tcW w:w="1724" w:type="dxa"/>
            <w:shd w:val="clear" w:color="auto" w:fill="auto"/>
          </w:tcPr>
          <w:p w14:paraId="3DAEF418" w14:textId="77777777" w:rsidR="00E4055E" w:rsidRPr="00B20AFF" w:rsidRDefault="00E4055E" w:rsidP="00B20AFF">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b/>
                <w:bCs/>
              </w:rPr>
            </w:pPr>
            <w:r w:rsidRPr="00B20AFF">
              <w:rPr>
                <w:rFonts w:ascii="Arial" w:hAnsi="Arial" w:cs="Arial"/>
                <w:b/>
                <w:bCs/>
              </w:rPr>
              <w:t>Since purchase</w:t>
            </w:r>
          </w:p>
        </w:tc>
        <w:tc>
          <w:tcPr>
            <w:tcW w:w="1408" w:type="dxa"/>
            <w:shd w:val="clear" w:color="auto" w:fill="auto"/>
          </w:tcPr>
          <w:p w14:paraId="7BD6FF67" w14:textId="77777777" w:rsidR="00E4055E" w:rsidRPr="00B20AFF" w:rsidRDefault="00E4055E" w:rsidP="00B20AFF">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b/>
                <w:bCs/>
              </w:rPr>
            </w:pPr>
            <w:r w:rsidRPr="00B20AFF">
              <w:rPr>
                <w:rFonts w:ascii="Arial" w:hAnsi="Arial" w:cs="Arial"/>
                <w:b/>
                <w:bCs/>
              </w:rPr>
              <w:t>2020/21</w:t>
            </w:r>
          </w:p>
        </w:tc>
      </w:tr>
      <w:tr w:rsidR="00B20AFF" w14:paraId="3409E00E" w14:textId="77777777" w:rsidTr="001D0F8E">
        <w:tc>
          <w:tcPr>
            <w:tcW w:w="3114" w:type="dxa"/>
            <w:shd w:val="clear" w:color="auto" w:fill="auto"/>
          </w:tcPr>
          <w:p w14:paraId="62100602" w14:textId="77777777" w:rsidR="00E4055E" w:rsidRPr="00B20AFF" w:rsidRDefault="00E4055E" w:rsidP="00B20AFF">
            <w:pPr>
              <w:pStyle w:val="ListParagraph"/>
              <w:keepNext/>
              <w:widowControl w:val="0"/>
              <w:tabs>
                <w:tab w:val="left" w:pos="720"/>
                <w:tab w:val="left" w:pos="1260"/>
                <w:tab w:val="left" w:pos="1980"/>
                <w:tab w:val="left" w:pos="2520"/>
              </w:tabs>
              <w:suppressAutoHyphens/>
              <w:spacing w:after="120" w:line="260" w:lineRule="atLeast"/>
              <w:ind w:left="0"/>
              <w:outlineLvl w:val="0"/>
              <w:rPr>
                <w:rFonts w:ascii="Arial" w:hAnsi="Arial" w:cs="Arial"/>
                <w:b/>
                <w:bCs/>
              </w:rPr>
            </w:pPr>
          </w:p>
        </w:tc>
        <w:tc>
          <w:tcPr>
            <w:tcW w:w="1280" w:type="dxa"/>
            <w:shd w:val="clear" w:color="auto" w:fill="auto"/>
          </w:tcPr>
          <w:p w14:paraId="1BC3759D" w14:textId="77777777" w:rsidR="00E4055E" w:rsidRPr="00B20AFF" w:rsidRDefault="00E4055E" w:rsidP="00B20AFF">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b/>
                <w:bCs/>
              </w:rPr>
            </w:pPr>
            <w:r w:rsidRPr="00B20AFF">
              <w:rPr>
                <w:rFonts w:ascii="Arial" w:hAnsi="Arial" w:cs="Arial"/>
                <w:b/>
                <w:bCs/>
              </w:rPr>
              <w:t>£m</w:t>
            </w:r>
          </w:p>
        </w:tc>
        <w:tc>
          <w:tcPr>
            <w:tcW w:w="1290" w:type="dxa"/>
            <w:shd w:val="clear" w:color="auto" w:fill="auto"/>
          </w:tcPr>
          <w:p w14:paraId="3483CE52" w14:textId="77777777" w:rsidR="00E4055E" w:rsidRPr="00B20AFF" w:rsidRDefault="00E4055E" w:rsidP="00B20AFF">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b/>
                <w:bCs/>
              </w:rPr>
            </w:pPr>
            <w:r w:rsidRPr="00B20AFF">
              <w:rPr>
                <w:rFonts w:ascii="Arial" w:hAnsi="Arial" w:cs="Arial"/>
                <w:b/>
                <w:bCs/>
              </w:rPr>
              <w:t>£m</w:t>
            </w:r>
          </w:p>
        </w:tc>
        <w:tc>
          <w:tcPr>
            <w:tcW w:w="1724" w:type="dxa"/>
            <w:shd w:val="clear" w:color="auto" w:fill="auto"/>
          </w:tcPr>
          <w:p w14:paraId="3F8EE1CD" w14:textId="77777777" w:rsidR="00E4055E" w:rsidRPr="00B20AFF" w:rsidRDefault="00E4055E" w:rsidP="00B20AFF">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b/>
                <w:bCs/>
              </w:rPr>
            </w:pPr>
            <w:r w:rsidRPr="00B20AFF">
              <w:rPr>
                <w:rFonts w:ascii="Arial" w:hAnsi="Arial" w:cs="Arial"/>
                <w:b/>
                <w:bCs/>
              </w:rPr>
              <w:t>£m</w:t>
            </w:r>
          </w:p>
        </w:tc>
        <w:tc>
          <w:tcPr>
            <w:tcW w:w="1408" w:type="dxa"/>
            <w:shd w:val="clear" w:color="auto" w:fill="auto"/>
          </w:tcPr>
          <w:p w14:paraId="67795049" w14:textId="77777777" w:rsidR="00E4055E" w:rsidRPr="00B20AFF" w:rsidRDefault="00E4055E" w:rsidP="00B20AFF">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b/>
                <w:bCs/>
              </w:rPr>
            </w:pPr>
            <w:r w:rsidRPr="00B20AFF">
              <w:rPr>
                <w:rFonts w:ascii="Arial" w:hAnsi="Arial" w:cs="Arial"/>
                <w:b/>
                <w:bCs/>
              </w:rPr>
              <w:t>£m</w:t>
            </w:r>
          </w:p>
        </w:tc>
      </w:tr>
      <w:tr w:rsidR="00B20AFF" w14:paraId="7FBBE10F" w14:textId="77777777" w:rsidTr="001D0F8E">
        <w:tc>
          <w:tcPr>
            <w:tcW w:w="3114" w:type="dxa"/>
            <w:shd w:val="clear" w:color="auto" w:fill="auto"/>
          </w:tcPr>
          <w:p w14:paraId="79E54343" w14:textId="77777777" w:rsidR="00E4055E" w:rsidRPr="00B20AFF" w:rsidRDefault="00E4055E" w:rsidP="001D0F8E">
            <w:pPr>
              <w:pStyle w:val="ListParagraph"/>
              <w:keepNext/>
              <w:widowControl w:val="0"/>
              <w:tabs>
                <w:tab w:val="left" w:pos="720"/>
                <w:tab w:val="left" w:pos="1260"/>
                <w:tab w:val="left" w:pos="1980"/>
                <w:tab w:val="left" w:pos="2520"/>
              </w:tabs>
              <w:suppressAutoHyphens/>
              <w:spacing w:after="120" w:line="260" w:lineRule="atLeast"/>
              <w:ind w:left="0"/>
              <w:outlineLvl w:val="0"/>
              <w:rPr>
                <w:rFonts w:ascii="Arial" w:hAnsi="Arial" w:cs="Arial"/>
              </w:rPr>
            </w:pPr>
            <w:r w:rsidRPr="00B20AFF">
              <w:rPr>
                <w:rFonts w:ascii="Arial" w:hAnsi="Arial" w:cs="Arial"/>
              </w:rPr>
              <w:t>Pooled property funds</w:t>
            </w:r>
          </w:p>
        </w:tc>
        <w:tc>
          <w:tcPr>
            <w:tcW w:w="1280" w:type="dxa"/>
            <w:shd w:val="clear" w:color="auto" w:fill="auto"/>
          </w:tcPr>
          <w:p w14:paraId="6B525ACC" w14:textId="5950C74E" w:rsidR="00E4055E" w:rsidRPr="00B20AFF" w:rsidRDefault="00457EC5" w:rsidP="001D0F8E">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rPr>
            </w:pPr>
            <w:r>
              <w:rPr>
                <w:rFonts w:ascii="Arial" w:hAnsi="Arial" w:cs="Arial"/>
              </w:rPr>
              <w:t>4</w:t>
            </w:r>
            <w:r w:rsidR="00E4055E" w:rsidRPr="00B20AFF">
              <w:rPr>
                <w:rFonts w:ascii="Arial" w:hAnsi="Arial" w:cs="Arial"/>
              </w:rPr>
              <w:t>.0</w:t>
            </w:r>
          </w:p>
        </w:tc>
        <w:tc>
          <w:tcPr>
            <w:tcW w:w="1290" w:type="dxa"/>
            <w:shd w:val="clear" w:color="auto" w:fill="auto"/>
          </w:tcPr>
          <w:p w14:paraId="51722EE2" w14:textId="28A19A54" w:rsidR="00E4055E" w:rsidRPr="00B20AFF" w:rsidRDefault="00F04D07" w:rsidP="001D0F8E">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rPr>
            </w:pPr>
            <w:r>
              <w:rPr>
                <w:rFonts w:ascii="Arial" w:hAnsi="Arial" w:cs="Arial"/>
              </w:rPr>
              <w:t>3.9</w:t>
            </w:r>
          </w:p>
        </w:tc>
        <w:tc>
          <w:tcPr>
            <w:tcW w:w="1724" w:type="dxa"/>
            <w:shd w:val="clear" w:color="auto" w:fill="auto"/>
          </w:tcPr>
          <w:p w14:paraId="247D67CC" w14:textId="341E8C65" w:rsidR="00E4055E" w:rsidRPr="00B20AFF" w:rsidRDefault="00F04D07" w:rsidP="001D0F8E">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rPr>
            </w:pPr>
            <w:r>
              <w:rPr>
                <w:rFonts w:ascii="Arial" w:hAnsi="Arial" w:cs="Arial"/>
              </w:rPr>
              <w:t>(</w:t>
            </w:r>
            <w:r w:rsidR="00E4055E" w:rsidRPr="00B20AFF">
              <w:rPr>
                <w:rFonts w:ascii="Arial" w:hAnsi="Arial" w:cs="Arial"/>
              </w:rPr>
              <w:t>0.</w:t>
            </w:r>
            <w:r>
              <w:rPr>
                <w:rFonts w:ascii="Arial" w:hAnsi="Arial" w:cs="Arial"/>
              </w:rPr>
              <w:t>1)</w:t>
            </w:r>
          </w:p>
        </w:tc>
        <w:tc>
          <w:tcPr>
            <w:tcW w:w="1408" w:type="dxa"/>
            <w:shd w:val="clear" w:color="auto" w:fill="auto"/>
          </w:tcPr>
          <w:p w14:paraId="7A03D2D3" w14:textId="296471DE" w:rsidR="00E4055E" w:rsidRPr="00B20AFF" w:rsidRDefault="00E4055E" w:rsidP="001D0F8E">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rPr>
            </w:pPr>
            <w:r w:rsidRPr="00B20AFF">
              <w:rPr>
                <w:rFonts w:ascii="Arial" w:hAnsi="Arial" w:cs="Arial"/>
              </w:rPr>
              <w:t>0.</w:t>
            </w:r>
            <w:r w:rsidR="00F04D07">
              <w:rPr>
                <w:rFonts w:ascii="Arial" w:hAnsi="Arial" w:cs="Arial"/>
              </w:rPr>
              <w:t>0</w:t>
            </w:r>
          </w:p>
        </w:tc>
      </w:tr>
      <w:tr w:rsidR="00B20AFF" w14:paraId="1EBEBFD9" w14:textId="77777777" w:rsidTr="001D0F8E">
        <w:tc>
          <w:tcPr>
            <w:tcW w:w="3114" w:type="dxa"/>
            <w:shd w:val="clear" w:color="auto" w:fill="auto"/>
          </w:tcPr>
          <w:p w14:paraId="65B5F8C1" w14:textId="77777777" w:rsidR="00E4055E" w:rsidRPr="00B20AFF" w:rsidRDefault="00E4055E" w:rsidP="001D0F8E">
            <w:pPr>
              <w:pStyle w:val="ListParagraph"/>
              <w:keepNext/>
              <w:widowControl w:val="0"/>
              <w:tabs>
                <w:tab w:val="left" w:pos="720"/>
                <w:tab w:val="left" w:pos="1260"/>
                <w:tab w:val="left" w:pos="1980"/>
                <w:tab w:val="left" w:pos="2520"/>
              </w:tabs>
              <w:suppressAutoHyphens/>
              <w:spacing w:after="120" w:line="260" w:lineRule="atLeast"/>
              <w:ind w:left="0"/>
              <w:outlineLvl w:val="0"/>
              <w:rPr>
                <w:rFonts w:ascii="Arial" w:hAnsi="Arial" w:cs="Arial"/>
              </w:rPr>
            </w:pPr>
            <w:r w:rsidRPr="00B20AFF">
              <w:rPr>
                <w:rFonts w:ascii="Arial" w:hAnsi="Arial" w:cs="Arial"/>
              </w:rPr>
              <w:t>Pooled equity funds</w:t>
            </w:r>
          </w:p>
        </w:tc>
        <w:tc>
          <w:tcPr>
            <w:tcW w:w="1280" w:type="dxa"/>
            <w:shd w:val="clear" w:color="auto" w:fill="auto"/>
          </w:tcPr>
          <w:p w14:paraId="1114EB25" w14:textId="6E28DCE1" w:rsidR="00E4055E" w:rsidRPr="00B20AFF" w:rsidRDefault="00457EC5" w:rsidP="001D0F8E">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rPr>
            </w:pPr>
            <w:r>
              <w:rPr>
                <w:rFonts w:ascii="Arial" w:hAnsi="Arial" w:cs="Arial"/>
              </w:rPr>
              <w:t>2</w:t>
            </w:r>
            <w:r w:rsidR="00E4055E" w:rsidRPr="00B20AFF">
              <w:rPr>
                <w:rFonts w:ascii="Arial" w:hAnsi="Arial" w:cs="Arial"/>
              </w:rPr>
              <w:t>.0</w:t>
            </w:r>
          </w:p>
        </w:tc>
        <w:tc>
          <w:tcPr>
            <w:tcW w:w="1290" w:type="dxa"/>
            <w:shd w:val="clear" w:color="auto" w:fill="auto"/>
          </w:tcPr>
          <w:p w14:paraId="6A8D948D" w14:textId="7E5DD782" w:rsidR="00E4055E" w:rsidRPr="00B20AFF" w:rsidRDefault="00F04D07" w:rsidP="001D0F8E">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rPr>
            </w:pPr>
            <w:r>
              <w:rPr>
                <w:rFonts w:ascii="Arial" w:hAnsi="Arial" w:cs="Arial"/>
              </w:rPr>
              <w:t>2.2</w:t>
            </w:r>
          </w:p>
        </w:tc>
        <w:tc>
          <w:tcPr>
            <w:tcW w:w="1724" w:type="dxa"/>
            <w:shd w:val="clear" w:color="auto" w:fill="auto"/>
          </w:tcPr>
          <w:p w14:paraId="5488C235" w14:textId="1E6F8B04" w:rsidR="00E4055E" w:rsidRPr="00B20AFF" w:rsidRDefault="00F04D07" w:rsidP="001D0F8E">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rPr>
            </w:pPr>
            <w:r>
              <w:rPr>
                <w:rFonts w:ascii="Arial" w:hAnsi="Arial" w:cs="Arial"/>
              </w:rPr>
              <w:t>0.2</w:t>
            </w:r>
          </w:p>
        </w:tc>
        <w:tc>
          <w:tcPr>
            <w:tcW w:w="1408" w:type="dxa"/>
            <w:shd w:val="clear" w:color="auto" w:fill="auto"/>
          </w:tcPr>
          <w:p w14:paraId="1D8F550E" w14:textId="18FDCBB7" w:rsidR="00E4055E" w:rsidRPr="00B20AFF" w:rsidRDefault="00F04D07" w:rsidP="001D0F8E">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rPr>
            </w:pPr>
            <w:r>
              <w:rPr>
                <w:rFonts w:ascii="Arial" w:hAnsi="Arial" w:cs="Arial"/>
              </w:rPr>
              <w:t>0.6</w:t>
            </w:r>
          </w:p>
        </w:tc>
      </w:tr>
      <w:tr w:rsidR="00B20AFF" w14:paraId="550E20FF" w14:textId="77777777" w:rsidTr="001D0F8E">
        <w:tc>
          <w:tcPr>
            <w:tcW w:w="3114" w:type="dxa"/>
            <w:shd w:val="clear" w:color="auto" w:fill="auto"/>
          </w:tcPr>
          <w:p w14:paraId="16D29F6F" w14:textId="77777777" w:rsidR="00E4055E" w:rsidRPr="00B20AFF" w:rsidRDefault="00E4055E" w:rsidP="001D0F8E">
            <w:pPr>
              <w:pStyle w:val="ListParagraph"/>
              <w:keepNext/>
              <w:widowControl w:val="0"/>
              <w:tabs>
                <w:tab w:val="left" w:pos="720"/>
                <w:tab w:val="left" w:pos="1260"/>
                <w:tab w:val="left" w:pos="1980"/>
                <w:tab w:val="left" w:pos="2520"/>
              </w:tabs>
              <w:suppressAutoHyphens/>
              <w:spacing w:after="120" w:line="260" w:lineRule="atLeast"/>
              <w:ind w:left="0"/>
              <w:outlineLvl w:val="0"/>
              <w:rPr>
                <w:rFonts w:ascii="Arial" w:hAnsi="Arial" w:cs="Arial"/>
              </w:rPr>
            </w:pPr>
            <w:r w:rsidRPr="00B20AFF">
              <w:rPr>
                <w:rFonts w:ascii="Arial" w:hAnsi="Arial" w:cs="Arial"/>
              </w:rPr>
              <w:t>Pooled multi-asset funds</w:t>
            </w:r>
          </w:p>
        </w:tc>
        <w:tc>
          <w:tcPr>
            <w:tcW w:w="1280" w:type="dxa"/>
            <w:shd w:val="clear" w:color="auto" w:fill="auto"/>
          </w:tcPr>
          <w:p w14:paraId="293B1043" w14:textId="007CBE45" w:rsidR="00E4055E" w:rsidRPr="00B20AFF" w:rsidRDefault="00457EC5" w:rsidP="001D0F8E">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rPr>
            </w:pPr>
            <w:r>
              <w:rPr>
                <w:rFonts w:ascii="Arial" w:hAnsi="Arial" w:cs="Arial"/>
              </w:rPr>
              <w:t>3</w:t>
            </w:r>
            <w:r w:rsidR="00E4055E" w:rsidRPr="00B20AFF">
              <w:rPr>
                <w:rFonts w:ascii="Arial" w:hAnsi="Arial" w:cs="Arial"/>
              </w:rPr>
              <w:t>.0</w:t>
            </w:r>
          </w:p>
        </w:tc>
        <w:tc>
          <w:tcPr>
            <w:tcW w:w="1290" w:type="dxa"/>
            <w:shd w:val="clear" w:color="auto" w:fill="auto"/>
          </w:tcPr>
          <w:p w14:paraId="59EB90E3" w14:textId="1F21985C" w:rsidR="00E4055E" w:rsidRPr="00B20AFF" w:rsidRDefault="00F04D07" w:rsidP="001D0F8E">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rPr>
            </w:pPr>
            <w:r>
              <w:rPr>
                <w:rFonts w:ascii="Arial" w:hAnsi="Arial" w:cs="Arial"/>
              </w:rPr>
              <w:t>3.1</w:t>
            </w:r>
          </w:p>
        </w:tc>
        <w:tc>
          <w:tcPr>
            <w:tcW w:w="1724" w:type="dxa"/>
            <w:shd w:val="clear" w:color="auto" w:fill="auto"/>
          </w:tcPr>
          <w:p w14:paraId="3D22374C" w14:textId="60A20B8A" w:rsidR="00E4055E" w:rsidRPr="00B20AFF" w:rsidRDefault="00E4055E" w:rsidP="001D0F8E">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rPr>
            </w:pPr>
            <w:r w:rsidRPr="00B20AFF">
              <w:rPr>
                <w:rFonts w:ascii="Arial" w:hAnsi="Arial" w:cs="Arial"/>
              </w:rPr>
              <w:t>0.</w:t>
            </w:r>
            <w:r w:rsidR="00F04D07">
              <w:rPr>
                <w:rFonts w:ascii="Arial" w:hAnsi="Arial" w:cs="Arial"/>
              </w:rPr>
              <w:t>1</w:t>
            </w:r>
          </w:p>
        </w:tc>
        <w:tc>
          <w:tcPr>
            <w:tcW w:w="1408" w:type="dxa"/>
            <w:shd w:val="clear" w:color="auto" w:fill="auto"/>
          </w:tcPr>
          <w:p w14:paraId="64B0287D" w14:textId="29E2648D" w:rsidR="00E4055E" w:rsidRPr="00B20AFF" w:rsidRDefault="002369AF" w:rsidP="001D0F8E">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rPr>
            </w:pPr>
            <w:r>
              <w:rPr>
                <w:rFonts w:ascii="Arial" w:hAnsi="Arial" w:cs="Arial"/>
              </w:rPr>
              <w:t>0.3</w:t>
            </w:r>
          </w:p>
        </w:tc>
      </w:tr>
      <w:tr w:rsidR="00B20AFF" w14:paraId="2E456B38" w14:textId="77777777" w:rsidTr="001D0F8E">
        <w:tc>
          <w:tcPr>
            <w:tcW w:w="3114" w:type="dxa"/>
            <w:shd w:val="clear" w:color="auto" w:fill="auto"/>
          </w:tcPr>
          <w:p w14:paraId="1A14AB75" w14:textId="77777777" w:rsidR="00E4055E" w:rsidRPr="00B20AFF" w:rsidRDefault="00E4055E" w:rsidP="00B20AFF">
            <w:pPr>
              <w:pStyle w:val="ListParagraph"/>
              <w:widowControl w:val="0"/>
              <w:tabs>
                <w:tab w:val="left" w:pos="720"/>
                <w:tab w:val="left" w:pos="1260"/>
                <w:tab w:val="left" w:pos="1980"/>
                <w:tab w:val="left" w:pos="2520"/>
              </w:tabs>
              <w:suppressAutoHyphens/>
              <w:spacing w:after="120" w:line="260" w:lineRule="atLeast"/>
              <w:ind w:left="0"/>
              <w:outlineLvl w:val="0"/>
              <w:rPr>
                <w:rFonts w:ascii="Arial" w:hAnsi="Arial" w:cs="Arial"/>
                <w:b/>
                <w:bCs/>
              </w:rPr>
            </w:pPr>
            <w:r w:rsidRPr="00B20AFF">
              <w:rPr>
                <w:rFonts w:ascii="Arial" w:hAnsi="Arial" w:cs="Arial"/>
                <w:b/>
                <w:bCs/>
              </w:rPr>
              <w:t>Total pooled funds</w:t>
            </w:r>
          </w:p>
        </w:tc>
        <w:tc>
          <w:tcPr>
            <w:tcW w:w="1280" w:type="dxa"/>
            <w:shd w:val="clear" w:color="auto" w:fill="auto"/>
          </w:tcPr>
          <w:p w14:paraId="260272A9" w14:textId="357EB69F" w:rsidR="00E4055E" w:rsidRPr="00B20AFF" w:rsidRDefault="00457EC5" w:rsidP="00B20AFF">
            <w:pPr>
              <w:pStyle w:val="ListParagraph"/>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b/>
                <w:bCs/>
              </w:rPr>
            </w:pPr>
            <w:r>
              <w:rPr>
                <w:rFonts w:ascii="Arial" w:hAnsi="Arial" w:cs="Arial"/>
                <w:b/>
                <w:bCs/>
              </w:rPr>
              <w:t>9</w:t>
            </w:r>
            <w:r w:rsidR="00E4055E" w:rsidRPr="00B20AFF">
              <w:rPr>
                <w:rFonts w:ascii="Arial" w:hAnsi="Arial" w:cs="Arial"/>
                <w:b/>
                <w:bCs/>
              </w:rPr>
              <w:t>.0</w:t>
            </w:r>
          </w:p>
        </w:tc>
        <w:tc>
          <w:tcPr>
            <w:tcW w:w="1290" w:type="dxa"/>
            <w:shd w:val="clear" w:color="auto" w:fill="auto"/>
          </w:tcPr>
          <w:p w14:paraId="46F577FD" w14:textId="4E80995B" w:rsidR="00E4055E" w:rsidRPr="00B20AFF" w:rsidRDefault="00F04D07" w:rsidP="00B20AFF">
            <w:pPr>
              <w:pStyle w:val="ListParagraph"/>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b/>
                <w:bCs/>
              </w:rPr>
            </w:pPr>
            <w:r>
              <w:rPr>
                <w:rFonts w:ascii="Arial" w:hAnsi="Arial" w:cs="Arial"/>
                <w:b/>
                <w:bCs/>
              </w:rPr>
              <w:t>9.2</w:t>
            </w:r>
          </w:p>
        </w:tc>
        <w:tc>
          <w:tcPr>
            <w:tcW w:w="1724" w:type="dxa"/>
            <w:shd w:val="clear" w:color="auto" w:fill="auto"/>
          </w:tcPr>
          <w:p w14:paraId="52090066" w14:textId="77777777" w:rsidR="00E4055E" w:rsidRPr="00B20AFF" w:rsidRDefault="00E4055E" w:rsidP="00B20AFF">
            <w:pPr>
              <w:pStyle w:val="ListParagraph"/>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b/>
                <w:bCs/>
              </w:rPr>
            </w:pPr>
            <w:r w:rsidRPr="00B20AFF">
              <w:rPr>
                <w:rFonts w:ascii="Arial" w:hAnsi="Arial" w:cs="Arial"/>
                <w:b/>
                <w:bCs/>
              </w:rPr>
              <w:t>0.2</w:t>
            </w:r>
          </w:p>
        </w:tc>
        <w:tc>
          <w:tcPr>
            <w:tcW w:w="1408" w:type="dxa"/>
            <w:shd w:val="clear" w:color="auto" w:fill="auto"/>
          </w:tcPr>
          <w:p w14:paraId="3E611A94" w14:textId="1C6CD6A7" w:rsidR="00E4055E" w:rsidRPr="00B20AFF" w:rsidRDefault="00AD30D6" w:rsidP="00B20AFF">
            <w:pPr>
              <w:pStyle w:val="ListParagraph"/>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b/>
                <w:bCs/>
              </w:rPr>
            </w:pPr>
            <w:r>
              <w:rPr>
                <w:rFonts w:ascii="Arial" w:hAnsi="Arial" w:cs="Arial"/>
                <w:b/>
                <w:bCs/>
              </w:rPr>
              <w:t>2.4</w:t>
            </w:r>
          </w:p>
        </w:tc>
      </w:tr>
    </w:tbl>
    <w:p w14:paraId="78B6156C" w14:textId="77777777" w:rsidR="00B30931" w:rsidRDefault="00B30931" w:rsidP="001D0F8E">
      <w:pPr>
        <w:pStyle w:val="ListParagraph"/>
        <w:spacing w:after="240"/>
        <w:rPr>
          <w:rFonts w:ascii="Arial" w:hAnsi="Arial" w:cs="Arial"/>
        </w:rPr>
      </w:pPr>
    </w:p>
    <w:p w14:paraId="1F7E2719" w14:textId="4D52B351" w:rsidR="00FD0106" w:rsidRDefault="00FD0106" w:rsidP="00FD0106">
      <w:pPr>
        <w:pStyle w:val="ListParagraph"/>
        <w:numPr>
          <w:ilvl w:val="1"/>
          <w:numId w:val="2"/>
        </w:numPr>
        <w:spacing w:after="240"/>
        <w:ind w:left="720" w:hanging="720"/>
        <w:rPr>
          <w:rFonts w:ascii="Arial" w:hAnsi="Arial" w:cs="Arial"/>
        </w:rPr>
      </w:pPr>
      <w:r w:rsidRPr="00FD0106">
        <w:rPr>
          <w:rFonts w:ascii="Arial" w:hAnsi="Arial" w:cs="Arial"/>
        </w:rPr>
        <w:t xml:space="preserve">The </w:t>
      </w:r>
      <w:r>
        <w:rPr>
          <w:rFonts w:ascii="Arial" w:hAnsi="Arial" w:cs="Arial"/>
        </w:rPr>
        <w:t>OPCC’s</w:t>
      </w:r>
      <w:r w:rsidRPr="00FD0106">
        <w:rPr>
          <w:rFonts w:ascii="Arial" w:hAnsi="Arial" w:cs="Arial"/>
        </w:rPr>
        <w:t xml:space="preserve"> investments in pooled funds target long-term price stability and regular revenue income and bring significant benefits to the revenue budget. As shown in Table 7 the annualised income returns have averaged </w:t>
      </w:r>
      <w:r w:rsidR="00836777">
        <w:rPr>
          <w:rFonts w:ascii="Arial" w:hAnsi="Arial" w:cs="Arial"/>
        </w:rPr>
        <w:t>4.46</w:t>
      </w:r>
      <w:r w:rsidRPr="00FD0106">
        <w:rPr>
          <w:rFonts w:ascii="Arial" w:hAnsi="Arial" w:cs="Arial"/>
        </w:rPr>
        <w:t xml:space="preserve">% pa (per annum), contributing to a total return of </w:t>
      </w:r>
      <w:r w:rsidR="00836777">
        <w:rPr>
          <w:rFonts w:ascii="Arial" w:hAnsi="Arial" w:cs="Arial"/>
        </w:rPr>
        <w:t>18.71</w:t>
      </w:r>
      <w:r w:rsidRPr="00FD0106">
        <w:rPr>
          <w:rFonts w:ascii="Arial" w:hAnsi="Arial" w:cs="Arial"/>
        </w:rPr>
        <w:t xml:space="preserve">%. </w:t>
      </w:r>
    </w:p>
    <w:tbl>
      <w:tblPr>
        <w:tblW w:w="8090"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 Higher yielding investments – income and total returns since purchase"/>
      </w:tblPr>
      <w:tblGrid>
        <w:gridCol w:w="3901"/>
        <w:gridCol w:w="2094"/>
        <w:gridCol w:w="2095"/>
      </w:tblGrid>
      <w:tr w:rsidR="00C5455B" w14:paraId="78A40EA4" w14:textId="77777777" w:rsidTr="00E77DD8">
        <w:trPr>
          <w:trHeight w:val="873"/>
          <w:tblHeader/>
        </w:trPr>
        <w:tc>
          <w:tcPr>
            <w:tcW w:w="3901" w:type="dxa"/>
            <w:shd w:val="clear" w:color="auto" w:fill="auto"/>
          </w:tcPr>
          <w:p w14:paraId="42702E3A" w14:textId="77777777" w:rsidR="00413ECF" w:rsidRPr="00C5455B" w:rsidRDefault="00413ECF" w:rsidP="00C5455B">
            <w:pPr>
              <w:pStyle w:val="ListParagraph"/>
              <w:keepNext/>
              <w:widowControl w:val="0"/>
              <w:tabs>
                <w:tab w:val="left" w:pos="720"/>
                <w:tab w:val="left" w:pos="1260"/>
                <w:tab w:val="left" w:pos="1980"/>
                <w:tab w:val="left" w:pos="2520"/>
              </w:tabs>
              <w:suppressAutoHyphens/>
              <w:spacing w:after="120" w:line="260" w:lineRule="atLeast"/>
              <w:ind w:left="0"/>
              <w:outlineLvl w:val="0"/>
              <w:rPr>
                <w:rFonts w:ascii="Arial" w:hAnsi="Arial" w:cs="Arial"/>
                <w:b/>
                <w:bCs/>
              </w:rPr>
            </w:pPr>
            <w:r w:rsidRPr="00C5455B">
              <w:rPr>
                <w:rFonts w:ascii="Arial" w:hAnsi="Arial" w:cs="Arial"/>
                <w:b/>
                <w:bCs/>
              </w:rPr>
              <w:lastRenderedPageBreak/>
              <w:t>Table 7 – Higher yielding investments – income and total returns since purchase</w:t>
            </w:r>
          </w:p>
        </w:tc>
        <w:tc>
          <w:tcPr>
            <w:tcW w:w="2094" w:type="dxa"/>
            <w:shd w:val="clear" w:color="auto" w:fill="auto"/>
          </w:tcPr>
          <w:p w14:paraId="0DAF8B83" w14:textId="77777777" w:rsidR="00413ECF" w:rsidRDefault="00413ECF" w:rsidP="00C5455B">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b/>
                <w:bCs/>
              </w:rPr>
            </w:pPr>
            <w:r w:rsidRPr="00C5455B">
              <w:rPr>
                <w:rFonts w:ascii="Arial" w:hAnsi="Arial" w:cs="Arial"/>
                <w:b/>
                <w:bCs/>
              </w:rPr>
              <w:t>Annualised income return</w:t>
            </w:r>
          </w:p>
          <w:p w14:paraId="64AA3E49" w14:textId="2287DFC2" w:rsidR="00E77DD8" w:rsidRPr="00C5455B" w:rsidRDefault="00E77DD8" w:rsidP="00C5455B">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b/>
                <w:bCs/>
              </w:rPr>
            </w:pPr>
            <w:r>
              <w:rPr>
                <w:rFonts w:ascii="Arial" w:hAnsi="Arial" w:cs="Arial"/>
                <w:b/>
                <w:bCs/>
              </w:rPr>
              <w:t>%</w:t>
            </w:r>
          </w:p>
        </w:tc>
        <w:tc>
          <w:tcPr>
            <w:tcW w:w="2095" w:type="dxa"/>
            <w:shd w:val="clear" w:color="auto" w:fill="auto"/>
          </w:tcPr>
          <w:p w14:paraId="242E8524" w14:textId="5BFB58AE" w:rsidR="00E77DD8" w:rsidRDefault="00413ECF" w:rsidP="00E77DD8">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b/>
                <w:bCs/>
              </w:rPr>
            </w:pPr>
            <w:r w:rsidRPr="00C5455B">
              <w:rPr>
                <w:rFonts w:ascii="Arial" w:hAnsi="Arial" w:cs="Arial"/>
                <w:b/>
                <w:bCs/>
              </w:rPr>
              <w:t xml:space="preserve">Total return </w:t>
            </w:r>
            <w:r w:rsidR="00E77DD8">
              <w:rPr>
                <w:rFonts w:ascii="Arial" w:hAnsi="Arial" w:cs="Arial"/>
                <w:b/>
                <w:bCs/>
              </w:rPr>
              <w:br/>
            </w:r>
          </w:p>
          <w:p w14:paraId="722460D7" w14:textId="27B68A26" w:rsidR="00E77DD8" w:rsidRPr="00C5455B" w:rsidRDefault="00E77DD8" w:rsidP="00C5455B">
            <w:pPr>
              <w:pStyle w:val="ListParagraph"/>
              <w:keepNext/>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b/>
                <w:bCs/>
              </w:rPr>
            </w:pPr>
            <w:r>
              <w:rPr>
                <w:rFonts w:ascii="Arial" w:hAnsi="Arial" w:cs="Arial"/>
                <w:b/>
                <w:bCs/>
              </w:rPr>
              <w:t>%</w:t>
            </w:r>
          </w:p>
        </w:tc>
      </w:tr>
      <w:tr w:rsidR="00C5455B" w14:paraId="109C0457" w14:textId="77777777" w:rsidTr="00C5455B">
        <w:tc>
          <w:tcPr>
            <w:tcW w:w="3901" w:type="dxa"/>
            <w:shd w:val="clear" w:color="auto" w:fill="auto"/>
          </w:tcPr>
          <w:p w14:paraId="38D8C227" w14:textId="77777777" w:rsidR="00413ECF" w:rsidRPr="00C5455B" w:rsidRDefault="00413ECF" w:rsidP="00C5455B">
            <w:pPr>
              <w:pStyle w:val="ListParagraph"/>
              <w:widowControl w:val="0"/>
              <w:tabs>
                <w:tab w:val="left" w:pos="720"/>
                <w:tab w:val="left" w:pos="1260"/>
                <w:tab w:val="left" w:pos="1980"/>
                <w:tab w:val="left" w:pos="2520"/>
              </w:tabs>
              <w:suppressAutoHyphens/>
              <w:spacing w:after="120" w:line="260" w:lineRule="atLeast"/>
              <w:ind w:left="0"/>
              <w:outlineLvl w:val="0"/>
              <w:rPr>
                <w:rFonts w:ascii="Arial" w:hAnsi="Arial" w:cs="Arial"/>
              </w:rPr>
            </w:pPr>
            <w:r w:rsidRPr="00C5455B">
              <w:rPr>
                <w:rFonts w:ascii="Arial" w:hAnsi="Arial" w:cs="Arial"/>
              </w:rPr>
              <w:t>Pooled property funds</w:t>
            </w:r>
          </w:p>
        </w:tc>
        <w:tc>
          <w:tcPr>
            <w:tcW w:w="2094" w:type="dxa"/>
            <w:shd w:val="clear" w:color="auto" w:fill="auto"/>
          </w:tcPr>
          <w:p w14:paraId="6E9D2137" w14:textId="72710994" w:rsidR="00413ECF" w:rsidRPr="00C5455B" w:rsidRDefault="00413ECF" w:rsidP="00C5455B">
            <w:pPr>
              <w:pStyle w:val="ListParagraph"/>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rPr>
            </w:pPr>
            <w:r w:rsidRPr="00C5455B">
              <w:rPr>
                <w:rFonts w:ascii="Arial" w:hAnsi="Arial" w:cs="Arial"/>
              </w:rPr>
              <w:t>4.</w:t>
            </w:r>
            <w:r w:rsidR="00604159" w:rsidRPr="00C5455B">
              <w:rPr>
                <w:rFonts w:ascii="Arial" w:hAnsi="Arial" w:cs="Arial"/>
              </w:rPr>
              <w:t>28</w:t>
            </w:r>
          </w:p>
        </w:tc>
        <w:tc>
          <w:tcPr>
            <w:tcW w:w="2095" w:type="dxa"/>
            <w:shd w:val="clear" w:color="auto" w:fill="auto"/>
          </w:tcPr>
          <w:p w14:paraId="1D102D06" w14:textId="2B413FE6" w:rsidR="00413ECF" w:rsidRPr="00C5455B" w:rsidRDefault="00604159" w:rsidP="00C5455B">
            <w:pPr>
              <w:pStyle w:val="ListParagraph"/>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rPr>
            </w:pPr>
            <w:r w:rsidRPr="00C5455B">
              <w:rPr>
                <w:rFonts w:ascii="Arial" w:hAnsi="Arial" w:cs="Arial"/>
              </w:rPr>
              <w:t>19.39</w:t>
            </w:r>
          </w:p>
        </w:tc>
      </w:tr>
      <w:tr w:rsidR="00C5455B" w14:paraId="738D8CEF" w14:textId="77777777" w:rsidTr="00C5455B">
        <w:tc>
          <w:tcPr>
            <w:tcW w:w="3901" w:type="dxa"/>
            <w:shd w:val="clear" w:color="auto" w:fill="auto"/>
          </w:tcPr>
          <w:p w14:paraId="4C5F4A2F" w14:textId="77777777" w:rsidR="00413ECF" w:rsidRPr="00C5455B" w:rsidRDefault="00413ECF" w:rsidP="00C5455B">
            <w:pPr>
              <w:pStyle w:val="ListParagraph"/>
              <w:widowControl w:val="0"/>
              <w:tabs>
                <w:tab w:val="left" w:pos="720"/>
                <w:tab w:val="left" w:pos="1260"/>
                <w:tab w:val="left" w:pos="1980"/>
                <w:tab w:val="left" w:pos="2520"/>
              </w:tabs>
              <w:suppressAutoHyphens/>
              <w:spacing w:after="120" w:line="260" w:lineRule="atLeast"/>
              <w:ind w:left="0"/>
              <w:outlineLvl w:val="0"/>
              <w:rPr>
                <w:rFonts w:ascii="Arial" w:hAnsi="Arial" w:cs="Arial"/>
              </w:rPr>
            </w:pPr>
            <w:r w:rsidRPr="00C5455B">
              <w:rPr>
                <w:rFonts w:ascii="Arial" w:hAnsi="Arial" w:cs="Arial"/>
              </w:rPr>
              <w:t>Pooled equity funds</w:t>
            </w:r>
          </w:p>
        </w:tc>
        <w:tc>
          <w:tcPr>
            <w:tcW w:w="2094" w:type="dxa"/>
            <w:shd w:val="clear" w:color="auto" w:fill="auto"/>
          </w:tcPr>
          <w:p w14:paraId="7EADB8F9" w14:textId="17ADF592" w:rsidR="00413ECF" w:rsidRPr="00C5455B" w:rsidRDefault="00604159" w:rsidP="00C5455B">
            <w:pPr>
              <w:pStyle w:val="ListParagraph"/>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rPr>
            </w:pPr>
            <w:r w:rsidRPr="00C5455B">
              <w:rPr>
                <w:rFonts w:ascii="Arial" w:hAnsi="Arial" w:cs="Arial"/>
              </w:rPr>
              <w:t>4.90</w:t>
            </w:r>
          </w:p>
        </w:tc>
        <w:tc>
          <w:tcPr>
            <w:tcW w:w="2095" w:type="dxa"/>
            <w:shd w:val="clear" w:color="auto" w:fill="auto"/>
          </w:tcPr>
          <w:p w14:paraId="699E28BB" w14:textId="1BEF4840" w:rsidR="00413ECF" w:rsidRPr="00C5455B" w:rsidRDefault="00604159" w:rsidP="00C5455B">
            <w:pPr>
              <w:pStyle w:val="ListParagraph"/>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rPr>
            </w:pPr>
            <w:r w:rsidRPr="00C5455B">
              <w:rPr>
                <w:rFonts w:ascii="Arial" w:hAnsi="Arial" w:cs="Arial"/>
              </w:rPr>
              <w:t>33.28</w:t>
            </w:r>
          </w:p>
        </w:tc>
      </w:tr>
      <w:tr w:rsidR="00C5455B" w14:paraId="7B74CC25" w14:textId="77777777" w:rsidTr="00C5455B">
        <w:tc>
          <w:tcPr>
            <w:tcW w:w="3901" w:type="dxa"/>
            <w:shd w:val="clear" w:color="auto" w:fill="auto"/>
          </w:tcPr>
          <w:p w14:paraId="1864A875" w14:textId="77777777" w:rsidR="00413ECF" w:rsidRPr="00C5455B" w:rsidRDefault="00413ECF" w:rsidP="00C5455B">
            <w:pPr>
              <w:pStyle w:val="ListParagraph"/>
              <w:widowControl w:val="0"/>
              <w:tabs>
                <w:tab w:val="left" w:pos="720"/>
                <w:tab w:val="left" w:pos="1260"/>
                <w:tab w:val="left" w:pos="1980"/>
                <w:tab w:val="left" w:pos="2520"/>
              </w:tabs>
              <w:suppressAutoHyphens/>
              <w:spacing w:after="120" w:line="260" w:lineRule="atLeast"/>
              <w:ind w:left="0"/>
              <w:outlineLvl w:val="0"/>
              <w:rPr>
                <w:rFonts w:ascii="Arial" w:hAnsi="Arial" w:cs="Arial"/>
              </w:rPr>
            </w:pPr>
            <w:r w:rsidRPr="00C5455B">
              <w:rPr>
                <w:rFonts w:ascii="Arial" w:hAnsi="Arial" w:cs="Arial"/>
              </w:rPr>
              <w:t>Pooled multi-asset funds</w:t>
            </w:r>
          </w:p>
        </w:tc>
        <w:tc>
          <w:tcPr>
            <w:tcW w:w="2094" w:type="dxa"/>
            <w:shd w:val="clear" w:color="auto" w:fill="auto"/>
          </w:tcPr>
          <w:p w14:paraId="689F5F40" w14:textId="09FD6FD9" w:rsidR="00413ECF" w:rsidRPr="00C5455B" w:rsidRDefault="00413ECF" w:rsidP="00C5455B">
            <w:pPr>
              <w:pStyle w:val="ListParagraph"/>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rPr>
            </w:pPr>
            <w:r w:rsidRPr="00C5455B">
              <w:rPr>
                <w:rFonts w:ascii="Arial" w:hAnsi="Arial" w:cs="Arial"/>
              </w:rPr>
              <w:t>4.</w:t>
            </w:r>
            <w:r w:rsidR="00604159" w:rsidRPr="00C5455B">
              <w:rPr>
                <w:rFonts w:ascii="Arial" w:hAnsi="Arial" w:cs="Arial"/>
              </w:rPr>
              <w:t>27</w:t>
            </w:r>
          </w:p>
        </w:tc>
        <w:tc>
          <w:tcPr>
            <w:tcW w:w="2095" w:type="dxa"/>
            <w:shd w:val="clear" w:color="auto" w:fill="auto"/>
          </w:tcPr>
          <w:p w14:paraId="451616C8" w14:textId="3944FE85" w:rsidR="00413ECF" w:rsidRPr="00C5455B" w:rsidRDefault="00604159" w:rsidP="00C5455B">
            <w:pPr>
              <w:pStyle w:val="ListParagraph"/>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rPr>
            </w:pPr>
            <w:r w:rsidRPr="00C5455B">
              <w:rPr>
                <w:rFonts w:ascii="Arial" w:hAnsi="Arial" w:cs="Arial"/>
              </w:rPr>
              <w:t>8.09</w:t>
            </w:r>
          </w:p>
        </w:tc>
      </w:tr>
      <w:tr w:rsidR="00C5455B" w14:paraId="2184D3FB" w14:textId="77777777" w:rsidTr="00C5455B">
        <w:tc>
          <w:tcPr>
            <w:tcW w:w="3901" w:type="dxa"/>
            <w:shd w:val="clear" w:color="auto" w:fill="auto"/>
          </w:tcPr>
          <w:p w14:paraId="4AC8B14F" w14:textId="77777777" w:rsidR="00413ECF" w:rsidRPr="00C5455B" w:rsidRDefault="00413ECF" w:rsidP="00C5455B">
            <w:pPr>
              <w:pStyle w:val="ListParagraph"/>
              <w:widowControl w:val="0"/>
              <w:tabs>
                <w:tab w:val="left" w:pos="720"/>
                <w:tab w:val="left" w:pos="1260"/>
                <w:tab w:val="left" w:pos="1980"/>
                <w:tab w:val="left" w:pos="2520"/>
              </w:tabs>
              <w:suppressAutoHyphens/>
              <w:spacing w:after="120" w:line="260" w:lineRule="atLeast"/>
              <w:ind w:left="0"/>
              <w:outlineLvl w:val="0"/>
              <w:rPr>
                <w:rFonts w:ascii="Arial" w:hAnsi="Arial" w:cs="Arial"/>
                <w:b/>
                <w:bCs/>
              </w:rPr>
            </w:pPr>
            <w:r w:rsidRPr="00C5455B">
              <w:rPr>
                <w:rFonts w:ascii="Arial" w:hAnsi="Arial" w:cs="Arial"/>
                <w:b/>
                <w:bCs/>
              </w:rPr>
              <w:t>Total pooled funds</w:t>
            </w:r>
          </w:p>
        </w:tc>
        <w:tc>
          <w:tcPr>
            <w:tcW w:w="2094" w:type="dxa"/>
            <w:shd w:val="clear" w:color="auto" w:fill="auto"/>
          </w:tcPr>
          <w:p w14:paraId="104705EF" w14:textId="747D4A9A" w:rsidR="00413ECF" w:rsidRPr="00C5455B" w:rsidRDefault="00413ECF" w:rsidP="00C5455B">
            <w:pPr>
              <w:pStyle w:val="ListParagraph"/>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b/>
                <w:bCs/>
              </w:rPr>
            </w:pPr>
            <w:r w:rsidRPr="00C5455B">
              <w:rPr>
                <w:rFonts w:ascii="Arial" w:hAnsi="Arial" w:cs="Arial"/>
                <w:b/>
                <w:bCs/>
              </w:rPr>
              <w:t>4.4</w:t>
            </w:r>
            <w:r w:rsidR="00604159" w:rsidRPr="00C5455B">
              <w:rPr>
                <w:rFonts w:ascii="Arial" w:hAnsi="Arial" w:cs="Arial"/>
                <w:b/>
                <w:bCs/>
              </w:rPr>
              <w:t>6</w:t>
            </w:r>
          </w:p>
        </w:tc>
        <w:tc>
          <w:tcPr>
            <w:tcW w:w="2095" w:type="dxa"/>
            <w:shd w:val="clear" w:color="auto" w:fill="auto"/>
          </w:tcPr>
          <w:p w14:paraId="0FBB5A53" w14:textId="40A5D681" w:rsidR="00413ECF" w:rsidRPr="00C5455B" w:rsidRDefault="00604159" w:rsidP="00C5455B">
            <w:pPr>
              <w:pStyle w:val="ListParagraph"/>
              <w:widowControl w:val="0"/>
              <w:tabs>
                <w:tab w:val="left" w:pos="720"/>
                <w:tab w:val="left" w:pos="1260"/>
                <w:tab w:val="left" w:pos="1980"/>
                <w:tab w:val="left" w:pos="2520"/>
              </w:tabs>
              <w:suppressAutoHyphens/>
              <w:spacing w:after="120" w:line="260" w:lineRule="atLeast"/>
              <w:ind w:left="0"/>
              <w:jc w:val="right"/>
              <w:outlineLvl w:val="0"/>
              <w:rPr>
                <w:rFonts w:ascii="Arial" w:hAnsi="Arial" w:cs="Arial"/>
                <w:b/>
                <w:bCs/>
              </w:rPr>
            </w:pPr>
            <w:r w:rsidRPr="00C5455B">
              <w:rPr>
                <w:rFonts w:ascii="Arial" w:hAnsi="Arial" w:cs="Arial"/>
                <w:b/>
                <w:bCs/>
              </w:rPr>
              <w:t>18.71</w:t>
            </w:r>
          </w:p>
        </w:tc>
      </w:tr>
    </w:tbl>
    <w:p w14:paraId="6F4F67BF" w14:textId="77777777" w:rsidR="00FD0106" w:rsidRPr="00FD0106" w:rsidRDefault="00FD0106" w:rsidP="00FD0106">
      <w:pPr>
        <w:pStyle w:val="ListParagraph"/>
        <w:spacing w:after="240"/>
        <w:rPr>
          <w:rFonts w:ascii="Arial" w:hAnsi="Arial" w:cs="Arial"/>
        </w:rPr>
      </w:pPr>
    </w:p>
    <w:p w14:paraId="0A220E75" w14:textId="6FC59426" w:rsidR="004820BE" w:rsidRPr="00CC64D5" w:rsidRDefault="004820BE" w:rsidP="00E95CF1">
      <w:pPr>
        <w:pStyle w:val="ListParagraph"/>
        <w:numPr>
          <w:ilvl w:val="1"/>
          <w:numId w:val="2"/>
        </w:numPr>
        <w:spacing w:after="240"/>
        <w:ind w:left="720" w:hanging="720"/>
        <w:rPr>
          <w:rFonts w:ascii="Arial" w:hAnsi="Arial" w:cs="Arial"/>
        </w:rPr>
      </w:pPr>
      <w:r w:rsidRPr="00CC64D5">
        <w:rPr>
          <w:rFonts w:ascii="Arial" w:hAnsi="Arial" w:cs="Arial"/>
        </w:rPr>
        <w:t xml:space="preserve">Actual income returns from pooled fund investments </w:t>
      </w:r>
      <w:r w:rsidR="001B59AA">
        <w:rPr>
          <w:rFonts w:ascii="Arial" w:hAnsi="Arial" w:cs="Arial"/>
        </w:rPr>
        <w:t>originally</w:t>
      </w:r>
      <w:r w:rsidRPr="00CC64D5">
        <w:rPr>
          <w:rFonts w:ascii="Arial" w:hAnsi="Arial" w:cs="Arial"/>
        </w:rPr>
        <w:t xml:space="preserve"> </w:t>
      </w:r>
      <w:r w:rsidR="001147FA">
        <w:rPr>
          <w:rFonts w:ascii="Arial" w:hAnsi="Arial" w:cs="Arial"/>
        </w:rPr>
        <w:t>was</w:t>
      </w:r>
      <w:r w:rsidRPr="00CC64D5">
        <w:rPr>
          <w:rFonts w:ascii="Arial" w:hAnsi="Arial" w:cs="Arial"/>
        </w:rPr>
        <w:t xml:space="preserve"> £</w:t>
      </w:r>
      <w:r w:rsidR="008B43F6" w:rsidRPr="00CC64D5">
        <w:rPr>
          <w:rFonts w:ascii="Arial" w:hAnsi="Arial" w:cs="Arial"/>
        </w:rPr>
        <w:t>0</w:t>
      </w:r>
      <w:r w:rsidRPr="00CC64D5">
        <w:rPr>
          <w:rFonts w:ascii="Arial" w:hAnsi="Arial" w:cs="Arial"/>
        </w:rPr>
        <w:t>.</w:t>
      </w:r>
      <w:r w:rsidR="008B43F6" w:rsidRPr="00CC64D5">
        <w:rPr>
          <w:rFonts w:ascii="Arial" w:hAnsi="Arial" w:cs="Arial"/>
        </w:rPr>
        <w:t>37</w:t>
      </w:r>
      <w:r w:rsidRPr="00CC64D5">
        <w:rPr>
          <w:rFonts w:ascii="Arial" w:hAnsi="Arial" w:cs="Arial"/>
        </w:rPr>
        <w:t xml:space="preserve">m, which was about </w:t>
      </w:r>
      <w:r w:rsidR="00E54C4C" w:rsidRPr="00CC64D5">
        <w:rPr>
          <w:rFonts w:ascii="Arial" w:hAnsi="Arial" w:cs="Arial"/>
        </w:rPr>
        <w:t>37</w:t>
      </w:r>
      <w:r w:rsidRPr="00CC64D5">
        <w:rPr>
          <w:rFonts w:ascii="Arial" w:hAnsi="Arial" w:cs="Arial"/>
        </w:rPr>
        <w:t xml:space="preserve">% </w:t>
      </w:r>
      <w:r w:rsidR="00E54C4C" w:rsidRPr="00CC64D5">
        <w:rPr>
          <w:rFonts w:ascii="Arial" w:hAnsi="Arial" w:cs="Arial"/>
        </w:rPr>
        <w:t>highe</w:t>
      </w:r>
      <w:r w:rsidRPr="00CC64D5">
        <w:rPr>
          <w:rFonts w:ascii="Arial" w:hAnsi="Arial" w:cs="Arial"/>
        </w:rPr>
        <w:t>r than in 2019/20</w:t>
      </w:r>
      <w:r w:rsidR="00672B5D" w:rsidRPr="00CC64D5">
        <w:rPr>
          <w:rFonts w:ascii="Arial" w:hAnsi="Arial" w:cs="Arial"/>
        </w:rPr>
        <w:t>; th</w:t>
      </w:r>
      <w:r w:rsidR="00216E95" w:rsidRPr="00CC64D5">
        <w:rPr>
          <w:rFonts w:ascii="Arial" w:hAnsi="Arial" w:cs="Arial"/>
        </w:rPr>
        <w:t xml:space="preserve">e increase on last year’s income is a result of making additional investments </w:t>
      </w:r>
      <w:r w:rsidR="008C52DF" w:rsidRPr="00CC64D5">
        <w:rPr>
          <w:rFonts w:ascii="Arial" w:hAnsi="Arial" w:cs="Arial"/>
        </w:rPr>
        <w:t>into the pooled funds over the last two years, including an additional £1.5m into pooled multi-asset funds during 2020/21</w:t>
      </w:r>
      <w:r w:rsidRPr="00CC64D5">
        <w:rPr>
          <w:rFonts w:ascii="Arial" w:hAnsi="Arial" w:cs="Arial"/>
        </w:rPr>
        <w:t xml:space="preserve">. This </w:t>
      </w:r>
      <w:r w:rsidR="008D598E" w:rsidRPr="00CC64D5">
        <w:rPr>
          <w:rFonts w:ascii="Arial" w:hAnsi="Arial" w:cs="Arial"/>
        </w:rPr>
        <w:t xml:space="preserve">level of income </w:t>
      </w:r>
      <w:r w:rsidRPr="00CC64D5">
        <w:rPr>
          <w:rFonts w:ascii="Arial" w:hAnsi="Arial" w:cs="Arial"/>
        </w:rPr>
        <w:t xml:space="preserve">is compared with the 25% to 30% reduction that could reasonably have been anticipated given the pandemic’s impact on property rental income, company dividends and bond yields. The </w:t>
      </w:r>
      <w:r w:rsidR="008D598E" w:rsidRPr="00CC64D5">
        <w:rPr>
          <w:rFonts w:ascii="Arial" w:hAnsi="Arial" w:cs="Arial"/>
        </w:rPr>
        <w:t>OPCC</w:t>
      </w:r>
      <w:r w:rsidRPr="00CC64D5">
        <w:rPr>
          <w:rFonts w:ascii="Arial" w:hAnsi="Arial" w:cs="Arial"/>
        </w:rPr>
        <w:t xml:space="preserve">’s pooled fund investments continue to deliver income returns far in excess of what could be generated from cash investments and </w:t>
      </w:r>
      <w:r w:rsidR="00FF64EF">
        <w:rPr>
          <w:rFonts w:ascii="Arial" w:hAnsi="Arial" w:cs="Arial"/>
        </w:rPr>
        <w:t xml:space="preserve">accounted for </w:t>
      </w:r>
      <w:r w:rsidR="00DE5D9F">
        <w:rPr>
          <w:rFonts w:ascii="Arial" w:hAnsi="Arial" w:cs="Arial"/>
        </w:rPr>
        <w:t>70%</w:t>
      </w:r>
      <w:r w:rsidR="00CA2202">
        <w:rPr>
          <w:rFonts w:ascii="Arial" w:hAnsi="Arial" w:cs="Arial"/>
        </w:rPr>
        <w:t xml:space="preserve"> of the OPCC’s total income from its treasury investments, despite making up only </w:t>
      </w:r>
      <w:r w:rsidR="0014638B">
        <w:rPr>
          <w:rFonts w:ascii="Arial" w:hAnsi="Arial" w:cs="Arial"/>
        </w:rPr>
        <w:t>10%</w:t>
      </w:r>
      <w:r w:rsidR="004928CD">
        <w:rPr>
          <w:rFonts w:ascii="Arial" w:hAnsi="Arial" w:cs="Arial"/>
        </w:rPr>
        <w:t xml:space="preserve"> of the average investment balance</w:t>
      </w:r>
      <w:r w:rsidRPr="00CC64D5">
        <w:rPr>
          <w:rFonts w:ascii="Arial" w:hAnsi="Arial" w:cs="Arial"/>
        </w:rPr>
        <w:t xml:space="preserve">. </w:t>
      </w:r>
    </w:p>
    <w:p w14:paraId="57915354" w14:textId="0E19487D" w:rsidR="004820BE" w:rsidRDefault="004820BE" w:rsidP="004820BE">
      <w:pPr>
        <w:pStyle w:val="ListParagraph"/>
        <w:numPr>
          <w:ilvl w:val="1"/>
          <w:numId w:val="2"/>
        </w:numPr>
        <w:spacing w:after="240"/>
        <w:ind w:left="720" w:hanging="720"/>
        <w:rPr>
          <w:rFonts w:ascii="Arial" w:hAnsi="Arial" w:cs="Arial"/>
        </w:rPr>
      </w:pPr>
      <w:r w:rsidRPr="004820BE">
        <w:rPr>
          <w:rFonts w:ascii="Arial" w:hAnsi="Arial" w:cs="Arial"/>
        </w:rPr>
        <w:t xml:space="preserve">The cumulative total return from the </w:t>
      </w:r>
      <w:r w:rsidR="004928CD">
        <w:rPr>
          <w:rFonts w:ascii="Arial" w:hAnsi="Arial" w:cs="Arial"/>
        </w:rPr>
        <w:t>OPCC</w:t>
      </w:r>
      <w:r w:rsidRPr="004820BE">
        <w:rPr>
          <w:rFonts w:ascii="Arial" w:hAnsi="Arial" w:cs="Arial"/>
        </w:rPr>
        <w:t xml:space="preserve">’s investments in pooled equity, property and multi-asset funds since purchase is shown in the following graph.  This highlights that the </w:t>
      </w:r>
      <w:r w:rsidR="004928CD">
        <w:rPr>
          <w:rFonts w:ascii="Arial" w:hAnsi="Arial" w:cs="Arial"/>
        </w:rPr>
        <w:t>OPCC</w:t>
      </w:r>
      <w:r w:rsidRPr="004820BE">
        <w:rPr>
          <w:rFonts w:ascii="Arial" w:hAnsi="Arial" w:cs="Arial"/>
        </w:rPr>
        <w:t xml:space="preserve"> has benefited from strong and steady income returns over time and the way that capital values have recovered since March 2020.</w:t>
      </w:r>
    </w:p>
    <w:p w14:paraId="7AFE9EFA" w14:textId="29804D0A" w:rsidR="004928CD" w:rsidRPr="004820BE" w:rsidRDefault="00B83A56" w:rsidP="004928CD">
      <w:pPr>
        <w:pStyle w:val="ListParagraph"/>
        <w:spacing w:after="240"/>
        <w:rPr>
          <w:rFonts w:ascii="Arial" w:hAnsi="Arial" w:cs="Arial"/>
        </w:rPr>
      </w:pPr>
      <w:r>
        <w:rPr>
          <w:noProof/>
          <w:lang w:eastAsia="en-GB"/>
        </w:rPr>
        <w:lastRenderedPageBreak/>
        <w:drawing>
          <wp:inline distT="0" distB="0" distL="0" distR="0" wp14:anchorId="129A76FF" wp14:editId="23FF4DC0">
            <wp:extent cx="5379720" cy="3182620"/>
            <wp:effectExtent l="0" t="0" r="0" b="0"/>
            <wp:docPr id="1" name="Picture 254605048" descr="Chart shows total return and income return. Both have been steadily climbing from 0% in August 2014 to over 15% in March 2021, but there was a significant drop to less than 10% for total return between February 2020 and December 2020." title="Cumulative return on Strategic Pooled Fund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460504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9720" cy="3182620"/>
                    </a:xfrm>
                    <a:prstGeom prst="rect">
                      <a:avLst/>
                    </a:prstGeom>
                    <a:noFill/>
                    <a:ln>
                      <a:noFill/>
                    </a:ln>
                  </pic:spPr>
                </pic:pic>
              </a:graphicData>
            </a:graphic>
          </wp:inline>
        </w:drawing>
      </w:r>
    </w:p>
    <w:p w14:paraId="5BE27A9B" w14:textId="0A109C8C" w:rsidR="00726005" w:rsidRPr="00726005" w:rsidRDefault="00F43CEB" w:rsidP="00726005">
      <w:pPr>
        <w:pStyle w:val="ListParagraph"/>
        <w:numPr>
          <w:ilvl w:val="1"/>
          <w:numId w:val="2"/>
        </w:numPr>
        <w:spacing w:after="240"/>
        <w:ind w:left="720" w:hanging="720"/>
        <w:rPr>
          <w:rFonts w:ascii="Arial" w:hAnsi="Arial" w:cs="Arial"/>
        </w:rPr>
      </w:pPr>
      <w:r>
        <w:rPr>
          <w:rFonts w:ascii="Arial" w:hAnsi="Arial" w:cs="Arial"/>
        </w:rPr>
        <w:t>T</w:t>
      </w:r>
      <w:r w:rsidR="00726005" w:rsidRPr="00726005">
        <w:rPr>
          <w:rFonts w:ascii="Arial" w:hAnsi="Arial" w:cs="Arial"/>
        </w:rPr>
        <w:t>he IFRS 9 accounting standard that was introduced in 2018/19 means that annual movements in the capital values of investments need to be reflected in the revenue account on an annual basis, although a five year statutory override was put in place for local authorities</w:t>
      </w:r>
      <w:r>
        <w:rPr>
          <w:rFonts w:ascii="Arial" w:hAnsi="Arial" w:cs="Arial"/>
        </w:rPr>
        <w:t xml:space="preserve"> (including police and crime commissioners)</w:t>
      </w:r>
      <w:r w:rsidR="00726005" w:rsidRPr="00726005">
        <w:rPr>
          <w:rFonts w:ascii="Arial" w:hAnsi="Arial" w:cs="Arial"/>
        </w:rPr>
        <w:t xml:space="preserve"> that exempts them from complying with this requirement.</w:t>
      </w:r>
    </w:p>
    <w:p w14:paraId="1A866FF7" w14:textId="540004C1" w:rsidR="00726005" w:rsidRPr="00726005" w:rsidRDefault="00726005" w:rsidP="00726005">
      <w:pPr>
        <w:pStyle w:val="ListParagraph"/>
        <w:numPr>
          <w:ilvl w:val="1"/>
          <w:numId w:val="2"/>
        </w:numPr>
        <w:spacing w:after="240"/>
        <w:ind w:left="720" w:hanging="720"/>
        <w:rPr>
          <w:rFonts w:ascii="Arial" w:hAnsi="Arial" w:cs="Arial"/>
        </w:rPr>
      </w:pPr>
      <w:r w:rsidRPr="00726005">
        <w:rPr>
          <w:rFonts w:ascii="Arial" w:hAnsi="Arial" w:cs="Arial"/>
        </w:rPr>
        <w:t xml:space="preserve">Pooled fund investments have no defined maturity date but are available for withdrawal after a notice period and their performance and continued suitability in meeting the </w:t>
      </w:r>
      <w:r w:rsidR="00F43CEB">
        <w:rPr>
          <w:rFonts w:ascii="Arial" w:hAnsi="Arial" w:cs="Arial"/>
        </w:rPr>
        <w:t>OPCC</w:t>
      </w:r>
      <w:r w:rsidRPr="00726005">
        <w:rPr>
          <w:rFonts w:ascii="Arial" w:hAnsi="Arial" w:cs="Arial"/>
        </w:rPr>
        <w:t xml:space="preserve">’s investment objectives is monitored regularly and discussed with </w:t>
      </w:r>
      <w:proofErr w:type="spellStart"/>
      <w:r w:rsidRPr="00726005">
        <w:rPr>
          <w:rFonts w:ascii="Arial" w:hAnsi="Arial" w:cs="Arial"/>
        </w:rPr>
        <w:t>Arlingclose</w:t>
      </w:r>
      <w:proofErr w:type="spellEnd"/>
      <w:r w:rsidRPr="00726005">
        <w:rPr>
          <w:rFonts w:ascii="Arial" w:hAnsi="Arial" w:cs="Arial"/>
        </w:rPr>
        <w:t>.</w:t>
      </w:r>
    </w:p>
    <w:p w14:paraId="645E9547" w14:textId="77777777" w:rsidR="00823953" w:rsidRPr="008A2668" w:rsidRDefault="00823953" w:rsidP="00EE395D">
      <w:pPr>
        <w:pStyle w:val="Heading5"/>
      </w:pPr>
      <w:r w:rsidRPr="008A2668">
        <w:t>Financial Implications</w:t>
      </w:r>
    </w:p>
    <w:p w14:paraId="0C2EC69A" w14:textId="77777777" w:rsidR="00EE395D" w:rsidRPr="00EE395D" w:rsidRDefault="00EE395D" w:rsidP="00EE395D">
      <w:pPr>
        <w:pStyle w:val="ListParagraph"/>
        <w:numPr>
          <w:ilvl w:val="0"/>
          <w:numId w:val="2"/>
        </w:numPr>
        <w:spacing w:after="240"/>
        <w:rPr>
          <w:rFonts w:ascii="Arial" w:hAnsi="Arial" w:cs="Arial"/>
          <w:vanish/>
        </w:rPr>
      </w:pPr>
    </w:p>
    <w:p w14:paraId="1B91A4DB" w14:textId="2322E16D" w:rsidR="00823953" w:rsidRPr="00601796" w:rsidRDefault="00823953" w:rsidP="00EE395D">
      <w:pPr>
        <w:pStyle w:val="ListParagraph"/>
        <w:numPr>
          <w:ilvl w:val="1"/>
          <w:numId w:val="2"/>
        </w:numPr>
        <w:spacing w:after="240"/>
        <w:ind w:left="432"/>
        <w:rPr>
          <w:rFonts w:ascii="Arial" w:hAnsi="Arial" w:cs="Arial"/>
        </w:rPr>
      </w:pPr>
      <w:r w:rsidRPr="008A2668">
        <w:rPr>
          <w:rFonts w:ascii="Arial" w:hAnsi="Arial" w:cs="Arial"/>
        </w:rPr>
        <w:t>The outturn for debt interest paid in 20</w:t>
      </w:r>
      <w:r w:rsidR="00FC3BE5" w:rsidRPr="008A2668">
        <w:rPr>
          <w:rFonts w:ascii="Arial" w:hAnsi="Arial" w:cs="Arial"/>
        </w:rPr>
        <w:t>20</w:t>
      </w:r>
      <w:r w:rsidR="008A2668" w:rsidRPr="008A2668">
        <w:rPr>
          <w:rFonts w:ascii="Arial" w:hAnsi="Arial" w:cs="Arial"/>
        </w:rPr>
        <w:t>/21</w:t>
      </w:r>
      <w:r w:rsidRPr="008A2668">
        <w:rPr>
          <w:rFonts w:ascii="Arial" w:hAnsi="Arial" w:cs="Arial"/>
        </w:rPr>
        <w:t xml:space="preserve"> was </w:t>
      </w:r>
      <w:r w:rsidRPr="00601796">
        <w:rPr>
          <w:rFonts w:ascii="Arial" w:hAnsi="Arial" w:cs="Arial"/>
        </w:rPr>
        <w:t>£</w:t>
      </w:r>
      <w:r w:rsidR="004F7121" w:rsidRPr="00601796">
        <w:rPr>
          <w:rFonts w:ascii="Arial" w:hAnsi="Arial" w:cs="Arial"/>
        </w:rPr>
        <w:t>1.3</w:t>
      </w:r>
      <w:r w:rsidRPr="00601796">
        <w:rPr>
          <w:rFonts w:ascii="Arial" w:hAnsi="Arial" w:cs="Arial"/>
        </w:rPr>
        <w:t xml:space="preserve">m </w:t>
      </w:r>
      <w:r w:rsidRPr="009500C7">
        <w:rPr>
          <w:rFonts w:ascii="Arial" w:hAnsi="Arial" w:cs="Arial"/>
        </w:rPr>
        <w:t>on an average debt portfolio of £</w:t>
      </w:r>
      <w:r w:rsidR="00D04AEA" w:rsidRPr="009500C7">
        <w:rPr>
          <w:rFonts w:ascii="Arial" w:hAnsi="Arial" w:cs="Arial"/>
        </w:rPr>
        <w:t>3</w:t>
      </w:r>
      <w:r w:rsidR="00FC3BE5" w:rsidRPr="009500C7">
        <w:rPr>
          <w:rFonts w:ascii="Arial" w:hAnsi="Arial" w:cs="Arial"/>
        </w:rPr>
        <w:t>0.</w:t>
      </w:r>
      <w:r w:rsidR="009500C7" w:rsidRPr="009500C7">
        <w:rPr>
          <w:rFonts w:ascii="Arial" w:hAnsi="Arial" w:cs="Arial"/>
        </w:rPr>
        <w:t>2</w:t>
      </w:r>
      <w:r w:rsidRPr="009500C7">
        <w:rPr>
          <w:rFonts w:ascii="Arial" w:hAnsi="Arial" w:cs="Arial"/>
        </w:rPr>
        <w:t>m</w:t>
      </w:r>
      <w:r w:rsidR="00FE03F7" w:rsidRPr="009500C7">
        <w:rPr>
          <w:rFonts w:ascii="Arial" w:hAnsi="Arial" w:cs="Arial"/>
        </w:rPr>
        <w:t>.</w:t>
      </w:r>
    </w:p>
    <w:p w14:paraId="3D6E13CA" w14:textId="156DA521" w:rsidR="00823953" w:rsidRPr="00601796" w:rsidRDefault="00823953" w:rsidP="00E40338">
      <w:pPr>
        <w:pStyle w:val="ListParagraph"/>
        <w:numPr>
          <w:ilvl w:val="1"/>
          <w:numId w:val="2"/>
        </w:numPr>
        <w:spacing w:after="240"/>
        <w:ind w:left="720" w:hanging="720"/>
        <w:rPr>
          <w:rFonts w:ascii="Arial" w:hAnsi="Arial" w:cs="Arial"/>
        </w:rPr>
      </w:pPr>
      <w:r w:rsidRPr="006B6197">
        <w:rPr>
          <w:rFonts w:ascii="Arial" w:hAnsi="Arial" w:cs="Arial"/>
        </w:rPr>
        <w:t>The outturn for investment incom</w:t>
      </w:r>
      <w:r w:rsidR="00C34C42" w:rsidRPr="006B6197">
        <w:rPr>
          <w:rFonts w:ascii="Arial" w:hAnsi="Arial" w:cs="Arial"/>
        </w:rPr>
        <w:t>e received in 20</w:t>
      </w:r>
      <w:r w:rsidR="008B328E" w:rsidRPr="006B6197">
        <w:rPr>
          <w:rFonts w:ascii="Arial" w:hAnsi="Arial" w:cs="Arial"/>
        </w:rPr>
        <w:t>20</w:t>
      </w:r>
      <w:r w:rsidR="00133105" w:rsidRPr="006B6197">
        <w:rPr>
          <w:rFonts w:ascii="Arial" w:hAnsi="Arial" w:cs="Arial"/>
        </w:rPr>
        <w:t>/21</w:t>
      </w:r>
      <w:r w:rsidR="00C34C42" w:rsidRPr="006B6197">
        <w:rPr>
          <w:rFonts w:ascii="Arial" w:hAnsi="Arial" w:cs="Arial"/>
        </w:rPr>
        <w:t xml:space="preserve"> was £</w:t>
      </w:r>
      <w:r w:rsidR="00133105" w:rsidRPr="006B6197">
        <w:rPr>
          <w:rFonts w:ascii="Arial" w:hAnsi="Arial" w:cs="Arial"/>
        </w:rPr>
        <w:t>531</w:t>
      </w:r>
      <w:r w:rsidR="00EB3F6A" w:rsidRPr="006B6197">
        <w:rPr>
          <w:rFonts w:ascii="Arial" w:hAnsi="Arial" w:cs="Arial"/>
        </w:rPr>
        <w:t>,000</w:t>
      </w:r>
      <w:r w:rsidR="00E40338" w:rsidRPr="006B6197">
        <w:rPr>
          <w:rFonts w:ascii="Arial" w:hAnsi="Arial" w:cs="Arial"/>
        </w:rPr>
        <w:t xml:space="preserve">, (against a budget of </w:t>
      </w:r>
      <w:r w:rsidR="00E40338" w:rsidRPr="00601796">
        <w:rPr>
          <w:rFonts w:ascii="Arial" w:hAnsi="Arial" w:cs="Arial"/>
        </w:rPr>
        <w:t>£</w:t>
      </w:r>
      <w:r w:rsidR="00601796" w:rsidRPr="00601796">
        <w:rPr>
          <w:rFonts w:ascii="Arial" w:hAnsi="Arial" w:cs="Arial"/>
        </w:rPr>
        <w:t>500</w:t>
      </w:r>
      <w:r w:rsidR="00F34DF0" w:rsidRPr="00601796">
        <w:rPr>
          <w:rFonts w:ascii="Arial" w:hAnsi="Arial" w:cs="Arial"/>
        </w:rPr>
        <w:t>,000</w:t>
      </w:r>
      <w:r w:rsidR="00E40338" w:rsidRPr="00601796">
        <w:rPr>
          <w:rFonts w:ascii="Arial" w:hAnsi="Arial" w:cs="Arial"/>
        </w:rPr>
        <w:t>)</w:t>
      </w:r>
      <w:r w:rsidRPr="00601796">
        <w:rPr>
          <w:rFonts w:ascii="Arial" w:hAnsi="Arial" w:cs="Arial"/>
        </w:rPr>
        <w:t xml:space="preserve"> </w:t>
      </w:r>
      <w:r w:rsidRPr="006B6197">
        <w:rPr>
          <w:rFonts w:ascii="Arial" w:hAnsi="Arial" w:cs="Arial"/>
        </w:rPr>
        <w:t>on an ave</w:t>
      </w:r>
      <w:r w:rsidR="00C34C42" w:rsidRPr="006B6197">
        <w:rPr>
          <w:rFonts w:ascii="Arial" w:hAnsi="Arial" w:cs="Arial"/>
        </w:rPr>
        <w:t>rage investment portfolio of £</w:t>
      </w:r>
      <w:r w:rsidR="00133105" w:rsidRPr="006B6197">
        <w:rPr>
          <w:rFonts w:ascii="Arial" w:hAnsi="Arial" w:cs="Arial"/>
        </w:rPr>
        <w:t>79.4</w:t>
      </w:r>
      <w:r w:rsidRPr="006B6197">
        <w:rPr>
          <w:rFonts w:ascii="Arial" w:hAnsi="Arial" w:cs="Arial"/>
        </w:rPr>
        <w:t>m, therefore giving a</w:t>
      </w:r>
      <w:r w:rsidR="00D50033" w:rsidRPr="006B6197">
        <w:rPr>
          <w:rFonts w:ascii="Arial" w:hAnsi="Arial" w:cs="Arial"/>
        </w:rPr>
        <w:t>n average</w:t>
      </w:r>
      <w:r w:rsidRPr="006B6197">
        <w:rPr>
          <w:rFonts w:ascii="Arial" w:hAnsi="Arial" w:cs="Arial"/>
        </w:rPr>
        <w:t xml:space="preserve"> yield</w:t>
      </w:r>
      <w:r w:rsidR="00D50033" w:rsidRPr="006B6197">
        <w:rPr>
          <w:rFonts w:ascii="Arial" w:hAnsi="Arial" w:cs="Arial"/>
        </w:rPr>
        <w:t xml:space="preserve"> for the year</w:t>
      </w:r>
      <w:r w:rsidRPr="006B6197">
        <w:rPr>
          <w:rFonts w:ascii="Arial" w:hAnsi="Arial" w:cs="Arial"/>
        </w:rPr>
        <w:t xml:space="preserve"> of </w:t>
      </w:r>
      <w:r w:rsidR="00D000AE" w:rsidRPr="006B6197">
        <w:rPr>
          <w:rFonts w:ascii="Arial" w:hAnsi="Arial" w:cs="Arial"/>
        </w:rPr>
        <w:t>0.67</w:t>
      </w:r>
      <w:r w:rsidRPr="006B6197">
        <w:rPr>
          <w:rFonts w:ascii="Arial" w:hAnsi="Arial" w:cs="Arial"/>
        </w:rPr>
        <w:t>%</w:t>
      </w:r>
      <w:r w:rsidR="00E40338" w:rsidRPr="006B6197">
        <w:rPr>
          <w:rFonts w:ascii="Arial" w:hAnsi="Arial" w:cs="Arial"/>
        </w:rPr>
        <w:t>.</w:t>
      </w:r>
      <w:r w:rsidRPr="006B6197">
        <w:rPr>
          <w:rFonts w:ascii="Arial" w:hAnsi="Arial" w:cs="Arial"/>
        </w:rPr>
        <w:t xml:space="preserve"> </w:t>
      </w:r>
      <w:r w:rsidR="00E40338" w:rsidRPr="006B6197">
        <w:rPr>
          <w:rFonts w:ascii="Arial" w:hAnsi="Arial" w:cs="Arial"/>
        </w:rPr>
        <w:t xml:space="preserve"> </w:t>
      </w:r>
    </w:p>
    <w:p w14:paraId="42FA08FF" w14:textId="752908C5" w:rsidR="00823953" w:rsidRPr="003E7DC0" w:rsidRDefault="00823953" w:rsidP="00EE395D">
      <w:pPr>
        <w:pStyle w:val="Heading5"/>
      </w:pPr>
      <w:r w:rsidRPr="003E7DC0">
        <w:t xml:space="preserve">Non-Treasury </w:t>
      </w:r>
      <w:r w:rsidR="007A4625" w:rsidRPr="003E7DC0">
        <w:t>Investments</w:t>
      </w:r>
    </w:p>
    <w:p w14:paraId="7D6B1F3B" w14:textId="77777777" w:rsidR="00EE395D" w:rsidRPr="00EE395D" w:rsidRDefault="00EE395D" w:rsidP="00EE395D">
      <w:pPr>
        <w:pStyle w:val="ListParagraph"/>
        <w:numPr>
          <w:ilvl w:val="0"/>
          <w:numId w:val="2"/>
        </w:numPr>
        <w:spacing w:after="240"/>
        <w:rPr>
          <w:rFonts w:ascii="Arial" w:hAnsi="Arial" w:cs="Arial"/>
          <w:vanish/>
        </w:rPr>
      </w:pPr>
    </w:p>
    <w:p w14:paraId="7105C5EB" w14:textId="253F0337" w:rsidR="00F84034" w:rsidRPr="003E7DC0" w:rsidRDefault="00F84034" w:rsidP="00EE395D">
      <w:pPr>
        <w:pStyle w:val="ListParagraph"/>
        <w:numPr>
          <w:ilvl w:val="1"/>
          <w:numId w:val="2"/>
        </w:numPr>
        <w:spacing w:after="240"/>
        <w:ind w:left="709" w:hanging="709"/>
        <w:rPr>
          <w:rFonts w:ascii="Arial" w:hAnsi="Arial" w:cs="Arial"/>
        </w:rPr>
      </w:pPr>
      <w:r w:rsidRPr="003E7DC0">
        <w:rPr>
          <w:rFonts w:ascii="Arial" w:hAnsi="Arial" w:cs="Arial"/>
        </w:rPr>
        <w:t>The</w:t>
      </w:r>
      <w:bookmarkStart w:id="3" w:name="_Hlk8136053"/>
      <w:r w:rsidRPr="003E7DC0">
        <w:rPr>
          <w:rFonts w:ascii="Arial" w:hAnsi="Arial" w:cs="Arial"/>
        </w:rPr>
        <w:t xml:space="preserve"> definition of investments in CIPFA’s revised Treasury Management Code now covers all the financial assets of the OPCC as well as other non-financial assets which the OPCC holds primarily for financial return. This is replicated in </w:t>
      </w:r>
      <w:r w:rsidR="0004733F" w:rsidRPr="003E7DC0">
        <w:rPr>
          <w:rFonts w:ascii="Arial" w:hAnsi="Arial" w:cs="Arial"/>
        </w:rPr>
        <w:t xml:space="preserve">the </w:t>
      </w:r>
      <w:r w:rsidRPr="003E7DC0">
        <w:rPr>
          <w:rFonts w:ascii="Arial" w:hAnsi="Arial" w:cs="Arial"/>
        </w:rPr>
        <w:t>M</w:t>
      </w:r>
      <w:r w:rsidR="00C45E9E" w:rsidRPr="003E7DC0">
        <w:rPr>
          <w:rFonts w:ascii="Arial" w:hAnsi="Arial" w:cs="Arial"/>
        </w:rPr>
        <w:t>in</w:t>
      </w:r>
      <w:r w:rsidR="0004733F" w:rsidRPr="003E7DC0">
        <w:rPr>
          <w:rFonts w:ascii="Arial" w:hAnsi="Arial" w:cs="Arial"/>
        </w:rPr>
        <w:t xml:space="preserve">istry for </w:t>
      </w:r>
      <w:r w:rsidRPr="003E7DC0">
        <w:rPr>
          <w:rFonts w:ascii="Arial" w:hAnsi="Arial" w:cs="Arial"/>
        </w:rPr>
        <w:t>H</w:t>
      </w:r>
      <w:r w:rsidR="0004733F" w:rsidRPr="003E7DC0">
        <w:rPr>
          <w:rFonts w:ascii="Arial" w:hAnsi="Arial" w:cs="Arial"/>
        </w:rPr>
        <w:t xml:space="preserve">ousing, </w:t>
      </w:r>
      <w:r w:rsidRPr="003E7DC0">
        <w:rPr>
          <w:rFonts w:ascii="Arial" w:hAnsi="Arial" w:cs="Arial"/>
        </w:rPr>
        <w:t>C</w:t>
      </w:r>
      <w:r w:rsidR="0004733F" w:rsidRPr="003E7DC0">
        <w:rPr>
          <w:rFonts w:ascii="Arial" w:hAnsi="Arial" w:cs="Arial"/>
        </w:rPr>
        <w:t xml:space="preserve">ommunities, and </w:t>
      </w:r>
      <w:r w:rsidRPr="003E7DC0">
        <w:rPr>
          <w:rFonts w:ascii="Arial" w:hAnsi="Arial" w:cs="Arial"/>
        </w:rPr>
        <w:t>L</w:t>
      </w:r>
      <w:r w:rsidR="0004733F" w:rsidRPr="003E7DC0">
        <w:rPr>
          <w:rFonts w:ascii="Arial" w:hAnsi="Arial" w:cs="Arial"/>
        </w:rPr>
        <w:t xml:space="preserve">ocal </w:t>
      </w:r>
      <w:r w:rsidRPr="003E7DC0">
        <w:rPr>
          <w:rFonts w:ascii="Arial" w:hAnsi="Arial" w:cs="Arial"/>
        </w:rPr>
        <w:t>G</w:t>
      </w:r>
      <w:r w:rsidR="0004733F" w:rsidRPr="003E7DC0">
        <w:rPr>
          <w:rFonts w:ascii="Arial" w:hAnsi="Arial" w:cs="Arial"/>
        </w:rPr>
        <w:t>overnment</w:t>
      </w:r>
      <w:r w:rsidRPr="003E7DC0">
        <w:rPr>
          <w:rFonts w:ascii="Arial" w:hAnsi="Arial" w:cs="Arial"/>
        </w:rPr>
        <w:t>’s Investment Guidance, in which the definition of investments is further broadened to also include all such assets held partially for financial return</w:t>
      </w:r>
      <w:bookmarkEnd w:id="3"/>
      <w:r w:rsidRPr="003E7DC0">
        <w:rPr>
          <w:rFonts w:ascii="Arial" w:hAnsi="Arial" w:cs="Arial"/>
        </w:rPr>
        <w:t xml:space="preserve">. </w:t>
      </w:r>
    </w:p>
    <w:p w14:paraId="0D37E599" w14:textId="398DB0FE" w:rsidR="00823953" w:rsidRPr="003E7DC0" w:rsidRDefault="00F84034" w:rsidP="003C3808">
      <w:pPr>
        <w:pStyle w:val="ListParagraph"/>
        <w:numPr>
          <w:ilvl w:val="1"/>
          <w:numId w:val="2"/>
        </w:numPr>
        <w:spacing w:after="240"/>
        <w:ind w:left="720" w:hanging="720"/>
        <w:rPr>
          <w:rFonts w:ascii="Arial" w:hAnsi="Arial" w:cs="Arial"/>
        </w:rPr>
      </w:pPr>
      <w:r w:rsidRPr="003E7DC0">
        <w:rPr>
          <w:rFonts w:ascii="Arial" w:hAnsi="Arial" w:cs="Arial"/>
        </w:rPr>
        <w:lastRenderedPageBreak/>
        <w:t>This could include the direct purchase of land or property and any such loans and investments will be subject to the OPCC’s normal approval processes for revenue and capital expenditure and need not comply with the treasury management strategy. The OPCC does not have any existing non-treasury investments</w:t>
      </w:r>
      <w:r w:rsidR="00823953" w:rsidRPr="003E7DC0">
        <w:rPr>
          <w:rFonts w:ascii="Arial" w:hAnsi="Arial" w:cs="Arial"/>
        </w:rPr>
        <w:t>.</w:t>
      </w:r>
    </w:p>
    <w:p w14:paraId="346FD295" w14:textId="77777777" w:rsidR="0031250C" w:rsidRPr="00E21A3E" w:rsidRDefault="0031250C" w:rsidP="00EE395D">
      <w:pPr>
        <w:pStyle w:val="Heading5"/>
      </w:pPr>
      <w:r w:rsidRPr="00E21A3E">
        <w:t xml:space="preserve">Compliance </w:t>
      </w:r>
      <w:r w:rsidR="00067763" w:rsidRPr="00E21A3E">
        <w:t>Report</w:t>
      </w:r>
    </w:p>
    <w:p w14:paraId="2D08B956" w14:textId="77777777" w:rsidR="00EE395D" w:rsidRPr="00EE395D" w:rsidRDefault="00EE395D" w:rsidP="00EE395D">
      <w:pPr>
        <w:pStyle w:val="ListParagraph"/>
        <w:numPr>
          <w:ilvl w:val="0"/>
          <w:numId w:val="2"/>
        </w:numPr>
        <w:spacing w:after="240"/>
        <w:rPr>
          <w:rFonts w:ascii="Arial" w:hAnsi="Arial" w:cs="Arial"/>
          <w:vanish/>
        </w:rPr>
      </w:pPr>
    </w:p>
    <w:p w14:paraId="2430EEAD" w14:textId="1A32E1AF" w:rsidR="007C45E1" w:rsidRPr="00E21A3E" w:rsidRDefault="007407F1" w:rsidP="00EE395D">
      <w:pPr>
        <w:pStyle w:val="ListParagraph"/>
        <w:numPr>
          <w:ilvl w:val="1"/>
          <w:numId w:val="2"/>
        </w:numPr>
        <w:spacing w:after="240"/>
        <w:ind w:left="709" w:hanging="709"/>
        <w:rPr>
          <w:rFonts w:ascii="Arial" w:hAnsi="Arial" w:cs="Arial"/>
        </w:rPr>
      </w:pPr>
      <w:r w:rsidRPr="00E21A3E">
        <w:rPr>
          <w:rFonts w:ascii="Arial" w:hAnsi="Arial" w:cs="Arial"/>
        </w:rPr>
        <w:t xml:space="preserve">The </w:t>
      </w:r>
      <w:r w:rsidR="00547880" w:rsidRPr="00E21A3E">
        <w:rPr>
          <w:rFonts w:ascii="Arial" w:hAnsi="Arial" w:cs="Arial"/>
        </w:rPr>
        <w:t>OPCC</w:t>
      </w:r>
      <w:r w:rsidR="004F6834" w:rsidRPr="00E21A3E">
        <w:rPr>
          <w:rFonts w:ascii="Arial" w:hAnsi="Arial" w:cs="Arial"/>
        </w:rPr>
        <w:t xml:space="preserve"> </w:t>
      </w:r>
      <w:r w:rsidRPr="00E21A3E">
        <w:rPr>
          <w:rFonts w:ascii="Arial" w:hAnsi="Arial" w:cs="Arial"/>
        </w:rPr>
        <w:t>confirm</w:t>
      </w:r>
      <w:r w:rsidR="004F6834" w:rsidRPr="00E21A3E">
        <w:rPr>
          <w:rFonts w:ascii="Arial" w:hAnsi="Arial" w:cs="Arial"/>
        </w:rPr>
        <w:t>s</w:t>
      </w:r>
      <w:r w:rsidRPr="00E21A3E">
        <w:rPr>
          <w:rFonts w:ascii="Arial" w:hAnsi="Arial" w:cs="Arial"/>
        </w:rPr>
        <w:t xml:space="preserve"> </w:t>
      </w:r>
      <w:r w:rsidR="004F6834" w:rsidRPr="00E21A3E">
        <w:rPr>
          <w:rFonts w:ascii="Arial" w:hAnsi="Arial" w:cs="Arial"/>
        </w:rPr>
        <w:t>compliance</w:t>
      </w:r>
      <w:r w:rsidR="006A2DD0" w:rsidRPr="00E21A3E">
        <w:rPr>
          <w:rFonts w:ascii="Arial" w:hAnsi="Arial" w:cs="Arial"/>
        </w:rPr>
        <w:t xml:space="preserve"> </w:t>
      </w:r>
      <w:r w:rsidR="00067763" w:rsidRPr="00E21A3E">
        <w:rPr>
          <w:rFonts w:ascii="Arial" w:hAnsi="Arial" w:cs="Arial"/>
        </w:rPr>
        <w:t>of all treasury management activities undertaken during</w:t>
      </w:r>
      <w:r w:rsidR="009F0DD9" w:rsidRPr="00E21A3E">
        <w:rPr>
          <w:rFonts w:ascii="Arial" w:hAnsi="Arial" w:cs="Arial"/>
        </w:rPr>
        <w:t xml:space="preserve"> 20</w:t>
      </w:r>
      <w:r w:rsidR="00ED6B3B" w:rsidRPr="00E21A3E">
        <w:rPr>
          <w:rFonts w:ascii="Arial" w:hAnsi="Arial" w:cs="Arial"/>
        </w:rPr>
        <w:t>20</w:t>
      </w:r>
      <w:r w:rsidR="003E7DC0" w:rsidRPr="00E21A3E">
        <w:rPr>
          <w:rFonts w:ascii="Arial" w:hAnsi="Arial" w:cs="Arial"/>
        </w:rPr>
        <w:t>/21</w:t>
      </w:r>
      <w:r w:rsidR="006A2DD0" w:rsidRPr="00E21A3E">
        <w:rPr>
          <w:rFonts w:ascii="Arial" w:hAnsi="Arial" w:cs="Arial"/>
        </w:rPr>
        <w:t xml:space="preserve"> </w:t>
      </w:r>
      <w:r w:rsidR="00067763" w:rsidRPr="00E21A3E">
        <w:rPr>
          <w:rFonts w:ascii="Arial" w:hAnsi="Arial" w:cs="Arial"/>
        </w:rPr>
        <w:t xml:space="preserve">with the CIPFA Code of Practice and the </w:t>
      </w:r>
      <w:r w:rsidR="00ED6B3B" w:rsidRPr="00E21A3E">
        <w:rPr>
          <w:rFonts w:ascii="Arial" w:hAnsi="Arial" w:cs="Arial"/>
        </w:rPr>
        <w:t xml:space="preserve">OPCC’s </w:t>
      </w:r>
      <w:r w:rsidR="00067763" w:rsidRPr="00E21A3E">
        <w:rPr>
          <w:rFonts w:ascii="Arial" w:hAnsi="Arial" w:cs="Arial"/>
        </w:rPr>
        <w:t>approved Treasury Management Strategy.</w:t>
      </w:r>
    </w:p>
    <w:p w14:paraId="40EE7A37" w14:textId="285E49D7" w:rsidR="006A2DD0" w:rsidRPr="00E21A3E" w:rsidRDefault="007C45E1" w:rsidP="003C3808">
      <w:pPr>
        <w:pStyle w:val="ListParagraph"/>
        <w:numPr>
          <w:ilvl w:val="1"/>
          <w:numId w:val="2"/>
        </w:numPr>
        <w:spacing w:after="240"/>
        <w:ind w:left="720" w:hanging="720"/>
        <w:rPr>
          <w:rFonts w:ascii="Arial" w:hAnsi="Arial" w:cs="Arial"/>
        </w:rPr>
      </w:pPr>
      <w:r w:rsidRPr="00E21A3E">
        <w:rPr>
          <w:rFonts w:ascii="Arial" w:hAnsi="Arial" w:cs="Arial"/>
        </w:rPr>
        <w:t xml:space="preserve">Compliance with the authorised limit and operational boundary for external debt, is demonstrated in Table </w:t>
      </w:r>
      <w:r w:rsidR="00E21A3E" w:rsidRPr="00E21A3E">
        <w:rPr>
          <w:rFonts w:ascii="Arial" w:hAnsi="Arial" w:cs="Arial"/>
        </w:rPr>
        <w:t>8</w:t>
      </w:r>
      <w:r w:rsidR="00067763" w:rsidRPr="00E21A3E">
        <w:rPr>
          <w:rFonts w:ascii="Arial" w:hAnsi="Arial" w:cs="Arial"/>
        </w:rPr>
        <w:t xml:space="preserve">. </w:t>
      </w:r>
    </w:p>
    <w:tbl>
      <w:tblPr>
        <w:tblW w:w="103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8: Debt limits"/>
      </w:tblPr>
      <w:tblGrid>
        <w:gridCol w:w="2978"/>
        <w:gridCol w:w="1417"/>
        <w:gridCol w:w="1276"/>
        <w:gridCol w:w="1559"/>
        <w:gridCol w:w="1560"/>
        <w:gridCol w:w="1556"/>
      </w:tblGrid>
      <w:tr w:rsidR="00067763" w:rsidRPr="00EA581D" w14:paraId="302263EF" w14:textId="77777777" w:rsidTr="00E77DD8">
        <w:trPr>
          <w:tblHeader/>
        </w:trPr>
        <w:tc>
          <w:tcPr>
            <w:tcW w:w="2978" w:type="dxa"/>
            <w:tcBorders>
              <w:top w:val="single" w:sz="4" w:space="0" w:color="auto"/>
            </w:tcBorders>
            <w:shd w:val="clear" w:color="auto" w:fill="auto"/>
          </w:tcPr>
          <w:p w14:paraId="11586555" w14:textId="43CC83FD" w:rsidR="00067763" w:rsidRPr="00EA581D" w:rsidRDefault="00E21A3E" w:rsidP="00C30CBC">
            <w:pPr>
              <w:pStyle w:val="ListParagraph"/>
              <w:keepNext/>
              <w:keepLines/>
              <w:ind w:left="0"/>
              <w:rPr>
                <w:rFonts w:ascii="Arial" w:hAnsi="Arial" w:cs="Arial"/>
                <w:b/>
                <w:bCs/>
              </w:rPr>
            </w:pPr>
            <w:r w:rsidRPr="00EA581D">
              <w:rPr>
                <w:rFonts w:ascii="Arial" w:hAnsi="Arial" w:cs="Arial"/>
                <w:b/>
                <w:bCs/>
              </w:rPr>
              <w:t>Table 8: Debt limits</w:t>
            </w:r>
          </w:p>
        </w:tc>
        <w:tc>
          <w:tcPr>
            <w:tcW w:w="1417" w:type="dxa"/>
            <w:tcBorders>
              <w:top w:val="single" w:sz="4" w:space="0" w:color="auto"/>
            </w:tcBorders>
            <w:shd w:val="clear" w:color="auto" w:fill="auto"/>
            <w:vAlign w:val="bottom"/>
          </w:tcPr>
          <w:p w14:paraId="07341F09" w14:textId="2ECA0DA7" w:rsidR="00067763" w:rsidRPr="00EA581D" w:rsidRDefault="00067763" w:rsidP="00C30CBC">
            <w:pPr>
              <w:pStyle w:val="ListParagraph"/>
              <w:keepNext/>
              <w:keepLines/>
              <w:ind w:left="0"/>
              <w:jc w:val="right"/>
              <w:rPr>
                <w:rFonts w:ascii="Arial" w:hAnsi="Arial" w:cs="Arial"/>
                <w:b/>
                <w:bCs/>
              </w:rPr>
            </w:pPr>
            <w:r w:rsidRPr="00EA581D">
              <w:rPr>
                <w:rFonts w:ascii="Arial" w:hAnsi="Arial" w:cs="Arial"/>
                <w:b/>
                <w:bCs/>
              </w:rPr>
              <w:t>20</w:t>
            </w:r>
            <w:r w:rsidR="00847D71" w:rsidRPr="00EA581D">
              <w:rPr>
                <w:rFonts w:ascii="Arial" w:hAnsi="Arial" w:cs="Arial"/>
                <w:b/>
                <w:bCs/>
              </w:rPr>
              <w:t>20</w:t>
            </w:r>
            <w:r w:rsidR="00E21A3E" w:rsidRPr="00EA581D">
              <w:rPr>
                <w:rFonts w:ascii="Arial" w:hAnsi="Arial" w:cs="Arial"/>
                <w:b/>
                <w:bCs/>
              </w:rPr>
              <w:t>/21</w:t>
            </w:r>
            <w:r w:rsidRPr="00EA581D">
              <w:rPr>
                <w:rFonts w:ascii="Arial" w:hAnsi="Arial" w:cs="Arial"/>
                <w:b/>
                <w:bCs/>
              </w:rPr>
              <w:br/>
              <w:t>Maximum</w:t>
            </w:r>
            <w:r w:rsidR="006D590C" w:rsidRPr="00EA581D">
              <w:rPr>
                <w:rFonts w:ascii="Arial" w:hAnsi="Arial" w:cs="Arial"/>
                <w:b/>
                <w:bCs/>
              </w:rPr>
              <w:br/>
            </w:r>
            <w:r w:rsidRPr="00EA581D">
              <w:rPr>
                <w:rFonts w:ascii="Arial" w:hAnsi="Arial" w:cs="Arial"/>
                <w:b/>
                <w:bCs/>
              </w:rPr>
              <w:br/>
              <w:t>£m</w:t>
            </w:r>
          </w:p>
        </w:tc>
        <w:tc>
          <w:tcPr>
            <w:tcW w:w="1276" w:type="dxa"/>
            <w:tcBorders>
              <w:top w:val="single" w:sz="4" w:space="0" w:color="auto"/>
            </w:tcBorders>
            <w:shd w:val="clear" w:color="auto" w:fill="auto"/>
            <w:vAlign w:val="bottom"/>
          </w:tcPr>
          <w:p w14:paraId="759755BD" w14:textId="187A8FC5" w:rsidR="00067763" w:rsidRPr="00EA581D" w:rsidRDefault="00067763" w:rsidP="00C30CBC">
            <w:pPr>
              <w:pStyle w:val="ListParagraph"/>
              <w:keepNext/>
              <w:keepLines/>
              <w:ind w:left="0"/>
              <w:jc w:val="right"/>
              <w:rPr>
                <w:rFonts w:ascii="Arial" w:hAnsi="Arial" w:cs="Arial"/>
                <w:b/>
                <w:bCs/>
              </w:rPr>
            </w:pPr>
            <w:r w:rsidRPr="00EA581D">
              <w:rPr>
                <w:rFonts w:ascii="Arial" w:hAnsi="Arial" w:cs="Arial"/>
                <w:b/>
                <w:bCs/>
              </w:rPr>
              <w:t>31/03/</w:t>
            </w:r>
            <w:r w:rsidR="004470C8" w:rsidRPr="00EA581D">
              <w:rPr>
                <w:rFonts w:ascii="Arial" w:hAnsi="Arial" w:cs="Arial"/>
                <w:b/>
                <w:bCs/>
              </w:rPr>
              <w:t>2</w:t>
            </w:r>
            <w:r w:rsidR="006D590C" w:rsidRPr="00EA581D">
              <w:rPr>
                <w:rFonts w:ascii="Arial" w:hAnsi="Arial" w:cs="Arial"/>
                <w:b/>
                <w:bCs/>
              </w:rPr>
              <w:t>1</w:t>
            </w:r>
            <w:r w:rsidRPr="00EA581D">
              <w:rPr>
                <w:rFonts w:ascii="Arial" w:hAnsi="Arial" w:cs="Arial"/>
                <w:b/>
                <w:bCs/>
              </w:rPr>
              <w:t xml:space="preserve"> Actual</w:t>
            </w:r>
            <w:r w:rsidR="006D590C" w:rsidRPr="00EA581D">
              <w:rPr>
                <w:rFonts w:ascii="Arial" w:hAnsi="Arial" w:cs="Arial"/>
                <w:b/>
                <w:bCs/>
              </w:rPr>
              <w:br/>
            </w:r>
            <w:r w:rsidRPr="00EA581D">
              <w:rPr>
                <w:rFonts w:ascii="Arial" w:hAnsi="Arial" w:cs="Arial"/>
                <w:b/>
                <w:bCs/>
              </w:rPr>
              <w:br/>
              <w:t>£m</w:t>
            </w:r>
          </w:p>
        </w:tc>
        <w:tc>
          <w:tcPr>
            <w:tcW w:w="1559" w:type="dxa"/>
            <w:tcBorders>
              <w:top w:val="single" w:sz="4" w:space="0" w:color="auto"/>
            </w:tcBorders>
            <w:shd w:val="clear" w:color="auto" w:fill="auto"/>
            <w:vAlign w:val="bottom"/>
          </w:tcPr>
          <w:p w14:paraId="49C119B6" w14:textId="500A2187" w:rsidR="00067763" w:rsidRPr="00EA581D" w:rsidRDefault="00067763" w:rsidP="00C30CBC">
            <w:pPr>
              <w:pStyle w:val="ListParagraph"/>
              <w:keepNext/>
              <w:keepLines/>
              <w:ind w:left="0"/>
              <w:jc w:val="right"/>
              <w:rPr>
                <w:rFonts w:ascii="Arial" w:hAnsi="Arial" w:cs="Arial"/>
                <w:b/>
                <w:bCs/>
              </w:rPr>
            </w:pPr>
            <w:r w:rsidRPr="00EA581D">
              <w:rPr>
                <w:rFonts w:ascii="Arial" w:hAnsi="Arial" w:cs="Arial"/>
                <w:b/>
                <w:bCs/>
              </w:rPr>
              <w:t>20</w:t>
            </w:r>
            <w:r w:rsidR="004470C8" w:rsidRPr="00EA581D">
              <w:rPr>
                <w:rFonts w:ascii="Arial" w:hAnsi="Arial" w:cs="Arial"/>
                <w:b/>
                <w:bCs/>
              </w:rPr>
              <w:t>20</w:t>
            </w:r>
            <w:r w:rsidR="006D590C" w:rsidRPr="00EA581D">
              <w:rPr>
                <w:rFonts w:ascii="Arial" w:hAnsi="Arial" w:cs="Arial"/>
                <w:b/>
                <w:bCs/>
              </w:rPr>
              <w:t>/21</w:t>
            </w:r>
            <w:r w:rsidRPr="00EA581D">
              <w:rPr>
                <w:rFonts w:ascii="Arial" w:hAnsi="Arial" w:cs="Arial"/>
                <w:b/>
                <w:bCs/>
              </w:rPr>
              <w:br/>
              <w:t>Operational Boundary</w:t>
            </w:r>
            <w:r w:rsidRPr="00EA581D">
              <w:rPr>
                <w:rFonts w:ascii="Arial" w:hAnsi="Arial" w:cs="Arial"/>
                <w:b/>
                <w:bCs/>
              </w:rPr>
              <w:br/>
              <w:t>£m</w:t>
            </w:r>
          </w:p>
        </w:tc>
        <w:tc>
          <w:tcPr>
            <w:tcW w:w="1560" w:type="dxa"/>
            <w:tcBorders>
              <w:top w:val="single" w:sz="4" w:space="0" w:color="auto"/>
            </w:tcBorders>
            <w:shd w:val="clear" w:color="auto" w:fill="auto"/>
            <w:vAlign w:val="bottom"/>
          </w:tcPr>
          <w:p w14:paraId="1004443F" w14:textId="7C96BD6F" w:rsidR="00067763" w:rsidRPr="00EA581D" w:rsidRDefault="00067763" w:rsidP="00C30CBC">
            <w:pPr>
              <w:pStyle w:val="ListParagraph"/>
              <w:keepNext/>
              <w:keepLines/>
              <w:ind w:left="0"/>
              <w:jc w:val="right"/>
              <w:rPr>
                <w:rFonts w:ascii="Arial" w:hAnsi="Arial" w:cs="Arial"/>
                <w:b/>
                <w:bCs/>
              </w:rPr>
            </w:pPr>
            <w:r w:rsidRPr="00EA581D">
              <w:rPr>
                <w:rFonts w:ascii="Arial" w:hAnsi="Arial" w:cs="Arial"/>
                <w:b/>
                <w:bCs/>
              </w:rPr>
              <w:t>20</w:t>
            </w:r>
            <w:r w:rsidR="004470C8" w:rsidRPr="00EA581D">
              <w:rPr>
                <w:rFonts w:ascii="Arial" w:hAnsi="Arial" w:cs="Arial"/>
                <w:b/>
                <w:bCs/>
              </w:rPr>
              <w:t>20</w:t>
            </w:r>
            <w:r w:rsidR="006D590C" w:rsidRPr="00EA581D">
              <w:rPr>
                <w:rFonts w:ascii="Arial" w:hAnsi="Arial" w:cs="Arial"/>
                <w:b/>
                <w:bCs/>
              </w:rPr>
              <w:t>/21</w:t>
            </w:r>
            <w:r w:rsidRPr="00EA581D">
              <w:rPr>
                <w:rFonts w:ascii="Arial" w:hAnsi="Arial" w:cs="Arial"/>
                <w:b/>
                <w:bCs/>
              </w:rPr>
              <w:br/>
              <w:t>Authorised Limit</w:t>
            </w:r>
            <w:r w:rsidRPr="00EA581D">
              <w:rPr>
                <w:rFonts w:ascii="Arial" w:hAnsi="Arial" w:cs="Arial"/>
                <w:b/>
                <w:bCs/>
              </w:rPr>
              <w:br/>
              <w:t>£m</w:t>
            </w:r>
          </w:p>
        </w:tc>
        <w:tc>
          <w:tcPr>
            <w:tcW w:w="1556" w:type="dxa"/>
            <w:tcBorders>
              <w:top w:val="single" w:sz="4" w:space="0" w:color="auto"/>
            </w:tcBorders>
            <w:shd w:val="clear" w:color="auto" w:fill="auto"/>
          </w:tcPr>
          <w:p w14:paraId="0EBAD24C" w14:textId="6D3E84D4" w:rsidR="00067763" w:rsidRPr="00EA581D" w:rsidRDefault="00067763" w:rsidP="00AC15AD">
            <w:pPr>
              <w:pStyle w:val="ListParagraph"/>
              <w:keepNext/>
              <w:keepLines/>
              <w:ind w:left="0"/>
              <w:jc w:val="right"/>
              <w:rPr>
                <w:rFonts w:ascii="Arial" w:hAnsi="Arial" w:cs="Arial"/>
                <w:b/>
                <w:bCs/>
              </w:rPr>
            </w:pPr>
            <w:r w:rsidRPr="00EA581D">
              <w:rPr>
                <w:rFonts w:ascii="Arial" w:hAnsi="Arial" w:cs="Arial"/>
                <w:b/>
                <w:bCs/>
              </w:rPr>
              <w:t>Complied</w:t>
            </w:r>
            <w:r w:rsidR="009D46FD" w:rsidRPr="00EA581D">
              <w:rPr>
                <w:rFonts w:ascii="Arial" w:hAnsi="Arial" w:cs="Arial"/>
                <w:b/>
                <w:bCs/>
              </w:rPr>
              <w:t>?</w:t>
            </w:r>
          </w:p>
        </w:tc>
      </w:tr>
      <w:tr w:rsidR="00C855DD" w:rsidRPr="00EA581D" w14:paraId="1E0B995E" w14:textId="77777777" w:rsidTr="003B67B4">
        <w:tc>
          <w:tcPr>
            <w:tcW w:w="2978" w:type="dxa"/>
            <w:shd w:val="clear" w:color="auto" w:fill="auto"/>
          </w:tcPr>
          <w:p w14:paraId="326095C0" w14:textId="77777777" w:rsidR="00C855DD" w:rsidRPr="00EA581D" w:rsidRDefault="00C855DD" w:rsidP="00C855DD">
            <w:pPr>
              <w:pStyle w:val="ListParagraph"/>
              <w:keepNext/>
              <w:keepLines/>
              <w:ind w:left="0"/>
              <w:rPr>
                <w:rFonts w:ascii="Arial" w:hAnsi="Arial" w:cs="Arial"/>
              </w:rPr>
            </w:pPr>
            <w:r w:rsidRPr="00EA581D">
              <w:rPr>
                <w:rFonts w:ascii="Arial" w:hAnsi="Arial" w:cs="Arial"/>
              </w:rPr>
              <w:t>Borrowing</w:t>
            </w:r>
          </w:p>
        </w:tc>
        <w:tc>
          <w:tcPr>
            <w:tcW w:w="1417" w:type="dxa"/>
            <w:shd w:val="clear" w:color="auto" w:fill="auto"/>
            <w:vAlign w:val="center"/>
          </w:tcPr>
          <w:p w14:paraId="3E5DBCFE" w14:textId="23A84829" w:rsidR="00C855DD" w:rsidRPr="00EA581D" w:rsidRDefault="00C855DD" w:rsidP="00C855DD">
            <w:pPr>
              <w:pStyle w:val="ListParagraph"/>
              <w:keepNext/>
              <w:keepLines/>
              <w:ind w:left="0"/>
              <w:jc w:val="right"/>
              <w:rPr>
                <w:rFonts w:ascii="Arial" w:hAnsi="Arial" w:cs="Arial"/>
              </w:rPr>
            </w:pPr>
            <w:r w:rsidRPr="00EA581D">
              <w:rPr>
                <w:rFonts w:ascii="Arial" w:hAnsi="Arial" w:cs="Arial"/>
              </w:rPr>
              <w:t>(31.8)</w:t>
            </w:r>
          </w:p>
        </w:tc>
        <w:tc>
          <w:tcPr>
            <w:tcW w:w="1276" w:type="dxa"/>
            <w:shd w:val="clear" w:color="auto" w:fill="auto"/>
            <w:vAlign w:val="center"/>
          </w:tcPr>
          <w:p w14:paraId="2D2838BD" w14:textId="33C191DD" w:rsidR="00C855DD" w:rsidRPr="00EA581D" w:rsidRDefault="00C855DD" w:rsidP="00C855DD">
            <w:pPr>
              <w:pStyle w:val="ListParagraph"/>
              <w:keepNext/>
              <w:keepLines/>
              <w:ind w:left="0"/>
              <w:jc w:val="right"/>
              <w:rPr>
                <w:rFonts w:ascii="Arial" w:hAnsi="Arial" w:cs="Arial"/>
              </w:rPr>
            </w:pPr>
            <w:r w:rsidRPr="00EA581D">
              <w:rPr>
                <w:rFonts w:ascii="Arial" w:hAnsi="Arial" w:cs="Arial"/>
              </w:rPr>
              <w:t>(30.0)</w:t>
            </w:r>
          </w:p>
        </w:tc>
        <w:tc>
          <w:tcPr>
            <w:tcW w:w="1559" w:type="dxa"/>
            <w:shd w:val="clear" w:color="auto" w:fill="auto"/>
            <w:vAlign w:val="center"/>
          </w:tcPr>
          <w:p w14:paraId="7B1563AD" w14:textId="1DF74F8D" w:rsidR="00C855DD" w:rsidRPr="00EA581D" w:rsidRDefault="00C855DD" w:rsidP="00C855DD">
            <w:pPr>
              <w:pStyle w:val="ListParagraph"/>
              <w:keepNext/>
              <w:keepLines/>
              <w:ind w:left="0"/>
              <w:jc w:val="right"/>
              <w:rPr>
                <w:rFonts w:ascii="Arial" w:hAnsi="Arial" w:cs="Arial"/>
              </w:rPr>
            </w:pPr>
            <w:r w:rsidRPr="00EA581D">
              <w:rPr>
                <w:rFonts w:ascii="Arial" w:hAnsi="Arial" w:cs="Arial"/>
              </w:rPr>
              <w:t>(71.1)</w:t>
            </w:r>
          </w:p>
        </w:tc>
        <w:tc>
          <w:tcPr>
            <w:tcW w:w="1560" w:type="dxa"/>
            <w:shd w:val="clear" w:color="auto" w:fill="auto"/>
            <w:vAlign w:val="center"/>
          </w:tcPr>
          <w:p w14:paraId="7E9DECD0" w14:textId="7573ACB6" w:rsidR="00C855DD" w:rsidRPr="00EA581D" w:rsidRDefault="00C855DD" w:rsidP="00C855DD">
            <w:pPr>
              <w:pStyle w:val="ListParagraph"/>
              <w:keepNext/>
              <w:keepLines/>
              <w:ind w:left="0"/>
              <w:jc w:val="right"/>
              <w:rPr>
                <w:rFonts w:ascii="Arial" w:hAnsi="Arial" w:cs="Arial"/>
              </w:rPr>
            </w:pPr>
            <w:r w:rsidRPr="00EA581D">
              <w:rPr>
                <w:rFonts w:ascii="Arial" w:hAnsi="Arial" w:cs="Arial"/>
              </w:rPr>
              <w:t>(86.1)</w:t>
            </w:r>
          </w:p>
        </w:tc>
        <w:tc>
          <w:tcPr>
            <w:tcW w:w="1556" w:type="dxa"/>
            <w:shd w:val="clear" w:color="auto" w:fill="auto"/>
          </w:tcPr>
          <w:p w14:paraId="0B92E944" w14:textId="3BA60510" w:rsidR="00C855DD" w:rsidRPr="00EA581D" w:rsidRDefault="00C855DD" w:rsidP="00C855DD">
            <w:pPr>
              <w:keepNext/>
              <w:keepLines/>
              <w:jc w:val="center"/>
              <w:rPr>
                <w:rFonts w:ascii="Arial" w:hAnsi="Arial" w:cs="Arial"/>
              </w:rPr>
            </w:pPr>
            <w:r w:rsidRPr="00322349">
              <w:rPr>
                <w:rFonts w:ascii="Arial" w:hAnsi="Arial" w:cs="Arial"/>
              </w:rPr>
              <w:t>Yes</w:t>
            </w:r>
          </w:p>
        </w:tc>
      </w:tr>
      <w:tr w:rsidR="00C855DD" w:rsidRPr="00EA581D" w14:paraId="18BAD155" w14:textId="77777777" w:rsidTr="003B67B4">
        <w:tc>
          <w:tcPr>
            <w:tcW w:w="2978" w:type="dxa"/>
            <w:shd w:val="clear" w:color="auto" w:fill="auto"/>
          </w:tcPr>
          <w:p w14:paraId="3E075F73" w14:textId="77777777" w:rsidR="00C855DD" w:rsidRPr="00EA581D" w:rsidRDefault="00C855DD" w:rsidP="00C855DD">
            <w:pPr>
              <w:pStyle w:val="ListParagraph"/>
              <w:keepNext/>
              <w:keepLines/>
              <w:ind w:left="0"/>
              <w:rPr>
                <w:rFonts w:ascii="Arial" w:hAnsi="Arial" w:cs="Arial"/>
              </w:rPr>
            </w:pPr>
            <w:r w:rsidRPr="00EA581D">
              <w:rPr>
                <w:rFonts w:ascii="Arial" w:hAnsi="Arial" w:cs="Arial"/>
              </w:rPr>
              <w:t>Other long term liabilities</w:t>
            </w:r>
          </w:p>
        </w:tc>
        <w:tc>
          <w:tcPr>
            <w:tcW w:w="1417" w:type="dxa"/>
            <w:shd w:val="clear" w:color="auto" w:fill="auto"/>
            <w:vAlign w:val="center"/>
          </w:tcPr>
          <w:p w14:paraId="3BE59060" w14:textId="3DDA5AAB" w:rsidR="00C855DD" w:rsidRPr="00EA581D" w:rsidRDefault="00C855DD" w:rsidP="00C855DD">
            <w:pPr>
              <w:pStyle w:val="ListParagraph"/>
              <w:keepNext/>
              <w:keepLines/>
              <w:ind w:left="0"/>
              <w:jc w:val="right"/>
              <w:rPr>
                <w:rFonts w:ascii="Arial" w:hAnsi="Arial" w:cs="Arial"/>
              </w:rPr>
            </w:pPr>
            <w:r w:rsidRPr="00EA581D">
              <w:rPr>
                <w:rFonts w:ascii="Arial" w:hAnsi="Arial" w:cs="Arial"/>
              </w:rPr>
              <w:t>-</w:t>
            </w:r>
          </w:p>
        </w:tc>
        <w:tc>
          <w:tcPr>
            <w:tcW w:w="1276" w:type="dxa"/>
            <w:shd w:val="clear" w:color="auto" w:fill="auto"/>
            <w:vAlign w:val="center"/>
          </w:tcPr>
          <w:p w14:paraId="70E0854B" w14:textId="21CDC0E2" w:rsidR="00C855DD" w:rsidRPr="00EA581D" w:rsidRDefault="00C855DD" w:rsidP="00C855DD">
            <w:pPr>
              <w:pStyle w:val="ListParagraph"/>
              <w:keepNext/>
              <w:keepLines/>
              <w:ind w:left="0"/>
              <w:jc w:val="right"/>
              <w:rPr>
                <w:rFonts w:ascii="Arial" w:hAnsi="Arial" w:cs="Arial"/>
              </w:rPr>
            </w:pPr>
            <w:r w:rsidRPr="00EA581D">
              <w:rPr>
                <w:rFonts w:ascii="Arial" w:hAnsi="Arial" w:cs="Arial"/>
              </w:rPr>
              <w:t>-</w:t>
            </w:r>
          </w:p>
        </w:tc>
        <w:tc>
          <w:tcPr>
            <w:tcW w:w="1559" w:type="dxa"/>
            <w:shd w:val="clear" w:color="auto" w:fill="auto"/>
            <w:vAlign w:val="center"/>
          </w:tcPr>
          <w:p w14:paraId="706686F4" w14:textId="19C207AA" w:rsidR="00C855DD" w:rsidRPr="00EA581D" w:rsidRDefault="00C855DD" w:rsidP="00C855DD">
            <w:pPr>
              <w:pStyle w:val="ListParagraph"/>
              <w:keepNext/>
              <w:keepLines/>
              <w:ind w:left="0"/>
              <w:jc w:val="right"/>
              <w:rPr>
                <w:rFonts w:ascii="Arial" w:hAnsi="Arial" w:cs="Arial"/>
              </w:rPr>
            </w:pPr>
            <w:r w:rsidRPr="00EA581D">
              <w:rPr>
                <w:rFonts w:ascii="Arial" w:hAnsi="Arial" w:cs="Arial"/>
              </w:rPr>
              <w:t>(5.0)</w:t>
            </w:r>
          </w:p>
        </w:tc>
        <w:tc>
          <w:tcPr>
            <w:tcW w:w="1560" w:type="dxa"/>
            <w:shd w:val="clear" w:color="auto" w:fill="auto"/>
            <w:vAlign w:val="center"/>
          </w:tcPr>
          <w:p w14:paraId="28543075" w14:textId="4B239F8D" w:rsidR="00C855DD" w:rsidRPr="00EA581D" w:rsidRDefault="00C855DD" w:rsidP="00C855DD">
            <w:pPr>
              <w:pStyle w:val="ListParagraph"/>
              <w:keepNext/>
              <w:keepLines/>
              <w:ind w:left="0"/>
              <w:jc w:val="right"/>
              <w:rPr>
                <w:rFonts w:ascii="Arial" w:hAnsi="Arial" w:cs="Arial"/>
              </w:rPr>
            </w:pPr>
            <w:r w:rsidRPr="00EA581D">
              <w:rPr>
                <w:rFonts w:ascii="Arial" w:hAnsi="Arial" w:cs="Arial"/>
              </w:rPr>
              <w:t>(5.0)</w:t>
            </w:r>
          </w:p>
        </w:tc>
        <w:tc>
          <w:tcPr>
            <w:tcW w:w="1556" w:type="dxa"/>
            <w:shd w:val="clear" w:color="auto" w:fill="auto"/>
          </w:tcPr>
          <w:p w14:paraId="40D3CF0C" w14:textId="6B1D1020" w:rsidR="00C855DD" w:rsidRPr="00EA581D" w:rsidRDefault="00C855DD" w:rsidP="00C855DD">
            <w:pPr>
              <w:keepNext/>
              <w:keepLines/>
              <w:jc w:val="center"/>
              <w:rPr>
                <w:rFonts w:ascii="Arial" w:hAnsi="Arial" w:cs="Arial"/>
              </w:rPr>
            </w:pPr>
            <w:r w:rsidRPr="00322349">
              <w:rPr>
                <w:rFonts w:ascii="Arial" w:hAnsi="Arial" w:cs="Arial"/>
              </w:rPr>
              <w:t>Yes</w:t>
            </w:r>
          </w:p>
        </w:tc>
      </w:tr>
      <w:tr w:rsidR="00C855DD" w:rsidRPr="006D590C" w14:paraId="055CCEAB" w14:textId="77777777" w:rsidTr="003B67B4">
        <w:tc>
          <w:tcPr>
            <w:tcW w:w="2978" w:type="dxa"/>
            <w:shd w:val="clear" w:color="auto" w:fill="auto"/>
          </w:tcPr>
          <w:p w14:paraId="51FD78C7" w14:textId="77777777" w:rsidR="00C855DD" w:rsidRPr="00EA581D" w:rsidRDefault="00C855DD" w:rsidP="00C855DD">
            <w:pPr>
              <w:pStyle w:val="ListParagraph"/>
              <w:keepNext/>
              <w:keepLines/>
              <w:ind w:left="0"/>
              <w:rPr>
                <w:rFonts w:ascii="Arial" w:hAnsi="Arial" w:cs="Arial"/>
                <w:b/>
                <w:bCs/>
              </w:rPr>
            </w:pPr>
            <w:r w:rsidRPr="00EA581D">
              <w:rPr>
                <w:rFonts w:ascii="Arial" w:hAnsi="Arial" w:cs="Arial"/>
                <w:b/>
                <w:bCs/>
              </w:rPr>
              <w:t>Total debt</w:t>
            </w:r>
          </w:p>
        </w:tc>
        <w:tc>
          <w:tcPr>
            <w:tcW w:w="1417" w:type="dxa"/>
            <w:shd w:val="clear" w:color="auto" w:fill="auto"/>
            <w:vAlign w:val="center"/>
          </w:tcPr>
          <w:p w14:paraId="040F4E67" w14:textId="5FECB5B0" w:rsidR="00C855DD" w:rsidRPr="00EA581D" w:rsidRDefault="00C855DD" w:rsidP="00C855DD">
            <w:pPr>
              <w:pStyle w:val="ListParagraph"/>
              <w:keepNext/>
              <w:keepLines/>
              <w:ind w:left="0"/>
              <w:jc w:val="right"/>
              <w:rPr>
                <w:rFonts w:ascii="Arial" w:hAnsi="Arial" w:cs="Arial"/>
                <w:b/>
                <w:bCs/>
              </w:rPr>
            </w:pPr>
            <w:r w:rsidRPr="00EA581D">
              <w:rPr>
                <w:rFonts w:ascii="Arial" w:hAnsi="Arial" w:cs="Arial"/>
                <w:b/>
                <w:bCs/>
              </w:rPr>
              <w:t>(31.8)</w:t>
            </w:r>
          </w:p>
        </w:tc>
        <w:tc>
          <w:tcPr>
            <w:tcW w:w="1276" w:type="dxa"/>
            <w:shd w:val="clear" w:color="auto" w:fill="auto"/>
            <w:vAlign w:val="center"/>
          </w:tcPr>
          <w:p w14:paraId="5A3F6C4E" w14:textId="6A8EDC9D" w:rsidR="00C855DD" w:rsidRPr="00EA581D" w:rsidRDefault="00C855DD" w:rsidP="00C855DD">
            <w:pPr>
              <w:pStyle w:val="ListParagraph"/>
              <w:keepNext/>
              <w:keepLines/>
              <w:ind w:left="0"/>
              <w:jc w:val="right"/>
              <w:rPr>
                <w:rFonts w:ascii="Arial" w:hAnsi="Arial" w:cs="Arial"/>
                <w:b/>
                <w:bCs/>
              </w:rPr>
            </w:pPr>
            <w:r w:rsidRPr="00EA581D">
              <w:rPr>
                <w:rFonts w:ascii="Arial" w:hAnsi="Arial" w:cs="Arial"/>
                <w:b/>
                <w:bCs/>
              </w:rPr>
              <w:t>(30.0)</w:t>
            </w:r>
          </w:p>
        </w:tc>
        <w:tc>
          <w:tcPr>
            <w:tcW w:w="1559" w:type="dxa"/>
            <w:shd w:val="clear" w:color="auto" w:fill="auto"/>
            <w:vAlign w:val="center"/>
          </w:tcPr>
          <w:p w14:paraId="4E2AD097" w14:textId="3D63F104" w:rsidR="00C855DD" w:rsidRPr="00EA581D" w:rsidRDefault="00C855DD" w:rsidP="00C855DD">
            <w:pPr>
              <w:pStyle w:val="ListParagraph"/>
              <w:keepNext/>
              <w:keepLines/>
              <w:ind w:left="0"/>
              <w:jc w:val="right"/>
              <w:rPr>
                <w:rFonts w:ascii="Arial" w:hAnsi="Arial" w:cs="Arial"/>
                <w:b/>
                <w:bCs/>
              </w:rPr>
            </w:pPr>
            <w:r w:rsidRPr="00EA581D">
              <w:rPr>
                <w:rFonts w:ascii="Arial" w:hAnsi="Arial" w:cs="Arial"/>
                <w:b/>
                <w:bCs/>
              </w:rPr>
              <w:t>(76.1)</w:t>
            </w:r>
          </w:p>
        </w:tc>
        <w:tc>
          <w:tcPr>
            <w:tcW w:w="1560" w:type="dxa"/>
            <w:shd w:val="clear" w:color="auto" w:fill="auto"/>
            <w:vAlign w:val="center"/>
          </w:tcPr>
          <w:p w14:paraId="5B910C0B" w14:textId="395DEFD3" w:rsidR="00C855DD" w:rsidRPr="00EA581D" w:rsidRDefault="00C855DD" w:rsidP="00C855DD">
            <w:pPr>
              <w:pStyle w:val="ListParagraph"/>
              <w:keepNext/>
              <w:keepLines/>
              <w:ind w:left="0"/>
              <w:jc w:val="right"/>
              <w:rPr>
                <w:rFonts w:ascii="Arial" w:hAnsi="Arial" w:cs="Arial"/>
                <w:b/>
                <w:bCs/>
              </w:rPr>
            </w:pPr>
            <w:r w:rsidRPr="00EA581D">
              <w:rPr>
                <w:rFonts w:ascii="Arial" w:hAnsi="Arial" w:cs="Arial"/>
                <w:b/>
                <w:bCs/>
              </w:rPr>
              <w:t>(91.1)</w:t>
            </w:r>
          </w:p>
        </w:tc>
        <w:tc>
          <w:tcPr>
            <w:tcW w:w="1556" w:type="dxa"/>
            <w:shd w:val="clear" w:color="auto" w:fill="auto"/>
          </w:tcPr>
          <w:p w14:paraId="6687DE02" w14:textId="5500893E" w:rsidR="00C855DD" w:rsidRPr="00EA581D" w:rsidRDefault="00C855DD" w:rsidP="00C855DD">
            <w:pPr>
              <w:keepNext/>
              <w:keepLines/>
              <w:jc w:val="center"/>
              <w:rPr>
                <w:rFonts w:ascii="Arial" w:hAnsi="Arial" w:cs="Arial"/>
                <w:b/>
                <w:bCs/>
              </w:rPr>
            </w:pPr>
            <w:r w:rsidRPr="00322349">
              <w:rPr>
                <w:rFonts w:ascii="Arial" w:hAnsi="Arial" w:cs="Arial"/>
              </w:rPr>
              <w:t>Yes</w:t>
            </w:r>
          </w:p>
        </w:tc>
      </w:tr>
    </w:tbl>
    <w:p w14:paraId="547124BA" w14:textId="77777777" w:rsidR="00067763" w:rsidRPr="00E76963" w:rsidRDefault="00067763" w:rsidP="00067763">
      <w:pPr>
        <w:pStyle w:val="ListParagraph"/>
        <w:spacing w:after="240"/>
        <w:ind w:left="0"/>
        <w:rPr>
          <w:rFonts w:ascii="Arial" w:hAnsi="Arial" w:cs="Arial"/>
          <w:highlight w:val="yellow"/>
        </w:rPr>
      </w:pPr>
    </w:p>
    <w:p w14:paraId="292C0478" w14:textId="77777777" w:rsidR="005F19D8" w:rsidRPr="00AC15AD" w:rsidRDefault="005F19D8" w:rsidP="001D2B87">
      <w:pPr>
        <w:pStyle w:val="Heading5"/>
      </w:pPr>
      <w:r w:rsidRPr="00AC15AD">
        <w:t>Treasury Management Indicators</w:t>
      </w:r>
    </w:p>
    <w:p w14:paraId="6C7B3E1A" w14:textId="77777777" w:rsidR="001D2B87" w:rsidRPr="001D2B87" w:rsidRDefault="001D2B87" w:rsidP="001D2B87">
      <w:pPr>
        <w:pStyle w:val="ListParagraph"/>
        <w:numPr>
          <w:ilvl w:val="0"/>
          <w:numId w:val="2"/>
        </w:numPr>
        <w:spacing w:after="240"/>
        <w:rPr>
          <w:rFonts w:ascii="Arial" w:hAnsi="Arial" w:cs="Arial"/>
          <w:vanish/>
        </w:rPr>
      </w:pPr>
    </w:p>
    <w:p w14:paraId="18B42878" w14:textId="612F3E70" w:rsidR="005F19D8" w:rsidRPr="00AC15AD" w:rsidRDefault="005F19D8" w:rsidP="001D2B87">
      <w:pPr>
        <w:pStyle w:val="ListParagraph"/>
        <w:numPr>
          <w:ilvl w:val="1"/>
          <w:numId w:val="2"/>
        </w:numPr>
        <w:spacing w:after="240"/>
        <w:ind w:left="709" w:hanging="709"/>
        <w:rPr>
          <w:rFonts w:ascii="Arial" w:hAnsi="Arial" w:cs="Arial"/>
        </w:rPr>
      </w:pPr>
      <w:r w:rsidRPr="00AC15AD">
        <w:rPr>
          <w:rFonts w:ascii="Arial" w:hAnsi="Arial" w:cs="Arial"/>
        </w:rPr>
        <w:t xml:space="preserve">The </w:t>
      </w:r>
      <w:r w:rsidR="00547880" w:rsidRPr="00AC15AD">
        <w:rPr>
          <w:rFonts w:ascii="Arial" w:hAnsi="Arial" w:cs="Arial"/>
        </w:rPr>
        <w:t>OPCC</w:t>
      </w:r>
      <w:r w:rsidRPr="00AC15AD">
        <w:rPr>
          <w:rFonts w:ascii="Arial" w:hAnsi="Arial" w:cs="Arial"/>
        </w:rPr>
        <w:t xml:space="preserve"> measures and manages its exposures to treasury management risks using the following indicators.</w:t>
      </w:r>
    </w:p>
    <w:p w14:paraId="528131E6" w14:textId="7835E2F3" w:rsidR="00547880" w:rsidRPr="00AC15AD" w:rsidRDefault="005F19D8" w:rsidP="001D2B87">
      <w:pPr>
        <w:pStyle w:val="Heading6"/>
      </w:pPr>
      <w:r w:rsidRPr="00AC15AD">
        <w:t xml:space="preserve">Interest </w:t>
      </w:r>
      <w:r w:rsidR="00AC15AD" w:rsidRPr="00AC15AD">
        <w:t>r</w:t>
      </w:r>
      <w:r w:rsidRPr="00AC15AD">
        <w:t xml:space="preserve">ate </w:t>
      </w:r>
      <w:r w:rsidR="00AC15AD" w:rsidRPr="00AC15AD">
        <w:t>e</w:t>
      </w:r>
      <w:r w:rsidRPr="00AC15AD">
        <w:t>xposures</w:t>
      </w:r>
    </w:p>
    <w:p w14:paraId="41642822" w14:textId="222E8203" w:rsidR="005F19D8" w:rsidRPr="00AC15AD" w:rsidRDefault="005F19D8" w:rsidP="003C3808">
      <w:pPr>
        <w:pStyle w:val="ListParagraph"/>
        <w:numPr>
          <w:ilvl w:val="1"/>
          <w:numId w:val="2"/>
        </w:numPr>
        <w:spacing w:after="240"/>
        <w:ind w:left="720" w:hanging="720"/>
        <w:rPr>
          <w:rFonts w:ascii="Arial" w:hAnsi="Arial" w:cs="Arial"/>
        </w:rPr>
      </w:pPr>
      <w:r w:rsidRPr="00AC15AD">
        <w:rPr>
          <w:rFonts w:ascii="Arial" w:hAnsi="Arial" w:cs="Arial"/>
        </w:rPr>
        <w:t>Th</w:t>
      </w:r>
      <w:r w:rsidR="009D46FD" w:rsidRPr="00AC15AD">
        <w:rPr>
          <w:rFonts w:ascii="Arial" w:hAnsi="Arial" w:cs="Arial"/>
        </w:rPr>
        <w:t>e following</w:t>
      </w:r>
      <w:r w:rsidRPr="00AC15AD">
        <w:rPr>
          <w:rFonts w:ascii="Arial" w:hAnsi="Arial" w:cs="Arial"/>
        </w:rPr>
        <w:t xml:space="preserve"> indicator </w:t>
      </w:r>
      <w:r w:rsidR="007C45E1" w:rsidRPr="00AC15AD">
        <w:rPr>
          <w:rFonts w:ascii="Arial" w:hAnsi="Arial" w:cs="Arial"/>
        </w:rPr>
        <w:t>shows</w:t>
      </w:r>
      <w:r w:rsidRPr="00AC15AD">
        <w:rPr>
          <w:rFonts w:ascii="Arial" w:hAnsi="Arial" w:cs="Arial"/>
        </w:rPr>
        <w:t xml:space="preserve"> the</w:t>
      </w:r>
      <w:r w:rsidR="007C45E1" w:rsidRPr="00AC15AD">
        <w:rPr>
          <w:rFonts w:ascii="Arial" w:hAnsi="Arial" w:cs="Arial"/>
        </w:rPr>
        <w:t xml:space="preserve"> sensitivity of the</w:t>
      </w:r>
      <w:r w:rsidRPr="00AC15AD">
        <w:rPr>
          <w:rFonts w:ascii="Arial" w:hAnsi="Arial" w:cs="Arial"/>
        </w:rPr>
        <w:t xml:space="preserve"> </w:t>
      </w:r>
      <w:r w:rsidR="00547880" w:rsidRPr="00AC15AD">
        <w:rPr>
          <w:rFonts w:ascii="Arial" w:hAnsi="Arial" w:cs="Arial"/>
        </w:rPr>
        <w:t>OPCC</w:t>
      </w:r>
      <w:r w:rsidRPr="00AC15AD">
        <w:rPr>
          <w:rFonts w:ascii="Arial" w:hAnsi="Arial" w:cs="Arial"/>
        </w:rPr>
        <w:t xml:space="preserve">’s </w:t>
      </w:r>
      <w:r w:rsidR="007C45E1" w:rsidRPr="00AC15AD">
        <w:rPr>
          <w:rFonts w:ascii="Arial" w:hAnsi="Arial" w:cs="Arial"/>
        </w:rPr>
        <w:t>current investments and borrowing to a change in interest rates</w:t>
      </w:r>
      <w:r w:rsidR="009D46FD" w:rsidRPr="00AC15AD">
        <w:rPr>
          <w:rFonts w:ascii="Arial" w:hAnsi="Arial" w:cs="Arial"/>
        </w:rPr>
        <w:t>.</w:t>
      </w:r>
    </w:p>
    <w:tbl>
      <w:tblPr>
        <w:tblW w:w="0" w:type="auto"/>
        <w:tblInd w:w="-176" w:type="dxa"/>
        <w:tblLook w:val="04A0" w:firstRow="1" w:lastRow="0" w:firstColumn="1" w:lastColumn="0" w:noHBand="0" w:noVBand="1"/>
        <w:tblCaption w:val="Table 9: Interest rate risk indicator"/>
      </w:tblPr>
      <w:tblGrid>
        <w:gridCol w:w="4522"/>
        <w:gridCol w:w="1337"/>
        <w:gridCol w:w="2505"/>
      </w:tblGrid>
      <w:tr w:rsidR="007C45E1" w:rsidRPr="005C598D" w14:paraId="19FDA6C6" w14:textId="77777777" w:rsidTr="00E77DD8">
        <w:trPr>
          <w:trHeight w:val="340"/>
          <w:tblHeader/>
        </w:trPr>
        <w:tc>
          <w:tcPr>
            <w:tcW w:w="4522" w:type="dxa"/>
            <w:tcBorders>
              <w:top w:val="single" w:sz="4" w:space="0" w:color="auto"/>
              <w:left w:val="single" w:sz="4" w:space="0" w:color="auto"/>
              <w:bottom w:val="single" w:sz="4" w:space="0" w:color="auto"/>
              <w:right w:val="single" w:sz="4" w:space="0" w:color="auto"/>
            </w:tcBorders>
            <w:shd w:val="clear" w:color="auto" w:fill="auto"/>
          </w:tcPr>
          <w:p w14:paraId="4AE075EF" w14:textId="15CCC190" w:rsidR="007C45E1" w:rsidRPr="005C598D" w:rsidRDefault="00AC15AD" w:rsidP="00AC15AD">
            <w:pPr>
              <w:keepNext/>
              <w:keepLines/>
              <w:widowControl w:val="0"/>
              <w:rPr>
                <w:rFonts w:ascii="Arial" w:hAnsi="Arial" w:cs="Arial"/>
                <w:b/>
              </w:rPr>
            </w:pPr>
            <w:r w:rsidRPr="005C598D">
              <w:rPr>
                <w:rFonts w:ascii="Arial" w:hAnsi="Arial" w:cs="Arial"/>
                <w:b/>
              </w:rPr>
              <w:t>Table 9: Interest rate risk indicator</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20192020" w14:textId="570CECA9" w:rsidR="007C45E1" w:rsidRPr="005C598D" w:rsidRDefault="007C45E1" w:rsidP="00067763">
            <w:pPr>
              <w:keepNext/>
              <w:keepLines/>
              <w:widowControl w:val="0"/>
              <w:jc w:val="center"/>
              <w:rPr>
                <w:rFonts w:ascii="Arial" w:hAnsi="Arial" w:cs="Arial"/>
                <w:b/>
              </w:rPr>
            </w:pPr>
            <w:r w:rsidRPr="005C598D">
              <w:rPr>
                <w:rFonts w:ascii="Arial" w:hAnsi="Arial" w:cs="Arial"/>
                <w:b/>
              </w:rPr>
              <w:t>31/03/</w:t>
            </w:r>
            <w:r w:rsidR="00BA2521" w:rsidRPr="005C598D">
              <w:rPr>
                <w:rFonts w:ascii="Arial" w:hAnsi="Arial" w:cs="Arial"/>
                <w:b/>
              </w:rPr>
              <w:t>2</w:t>
            </w:r>
            <w:r w:rsidR="00AC15AD" w:rsidRPr="005C598D">
              <w:rPr>
                <w:rFonts w:ascii="Arial" w:hAnsi="Arial" w:cs="Arial"/>
                <w:b/>
              </w:rPr>
              <w:t>1</w:t>
            </w:r>
            <w:r w:rsidRPr="005C598D">
              <w:rPr>
                <w:rFonts w:ascii="Arial" w:hAnsi="Arial" w:cs="Arial"/>
                <w:b/>
              </w:rPr>
              <w:br/>
              <w:t>Actual</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bottom"/>
          </w:tcPr>
          <w:p w14:paraId="7EF23E58" w14:textId="374D8A41" w:rsidR="007C45E1" w:rsidRPr="005C598D" w:rsidRDefault="007C45E1" w:rsidP="00067763">
            <w:pPr>
              <w:keepNext/>
              <w:keepLines/>
              <w:widowControl w:val="0"/>
              <w:jc w:val="center"/>
              <w:rPr>
                <w:rFonts w:ascii="Arial" w:hAnsi="Arial" w:cs="Arial"/>
                <w:b/>
              </w:rPr>
            </w:pPr>
            <w:r w:rsidRPr="005C598D">
              <w:rPr>
                <w:rFonts w:ascii="Arial" w:hAnsi="Arial" w:cs="Arial"/>
                <w:b/>
              </w:rPr>
              <w:t>Impact of a +/- 1% interest rate change</w:t>
            </w:r>
          </w:p>
        </w:tc>
      </w:tr>
      <w:tr w:rsidR="00655C52" w:rsidRPr="005C598D" w14:paraId="3227F168" w14:textId="77777777" w:rsidTr="00AC15AD">
        <w:trPr>
          <w:trHeight w:val="340"/>
        </w:trPr>
        <w:tc>
          <w:tcPr>
            <w:tcW w:w="4522" w:type="dxa"/>
            <w:tcBorders>
              <w:top w:val="single" w:sz="4" w:space="0" w:color="auto"/>
              <w:left w:val="single" w:sz="4" w:space="0" w:color="auto"/>
              <w:bottom w:val="single" w:sz="4" w:space="0" w:color="auto"/>
              <w:right w:val="single" w:sz="4" w:space="0" w:color="auto"/>
            </w:tcBorders>
            <w:shd w:val="clear" w:color="auto" w:fill="auto"/>
            <w:vAlign w:val="center"/>
          </w:tcPr>
          <w:p w14:paraId="35560D5C" w14:textId="0F035437" w:rsidR="00655C52" w:rsidRPr="005C598D" w:rsidRDefault="00655C52" w:rsidP="00655C52">
            <w:pPr>
              <w:keepNext/>
              <w:keepLines/>
              <w:widowControl w:val="0"/>
              <w:rPr>
                <w:rFonts w:ascii="Arial" w:hAnsi="Arial" w:cs="Arial"/>
                <w:bCs/>
              </w:rPr>
            </w:pPr>
            <w:r w:rsidRPr="005C598D">
              <w:rPr>
                <w:rFonts w:ascii="Arial" w:hAnsi="Arial" w:cs="Arial"/>
                <w:bCs/>
              </w:rPr>
              <w:t>Sums subject to variable interest rates:</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414B640E" w14:textId="77777777" w:rsidR="00655C52" w:rsidRPr="005C598D" w:rsidRDefault="00655C52" w:rsidP="00067763">
            <w:pPr>
              <w:keepNext/>
              <w:keepLines/>
              <w:widowControl w:val="0"/>
              <w:jc w:val="center"/>
              <w:rPr>
                <w:rFonts w:ascii="Arial" w:hAnsi="Arial" w:cs="Arial"/>
                <w:bCs/>
              </w:rPr>
            </w:pPr>
          </w:p>
        </w:tc>
        <w:tc>
          <w:tcPr>
            <w:tcW w:w="2505" w:type="dxa"/>
            <w:tcBorders>
              <w:top w:val="single" w:sz="4" w:space="0" w:color="auto"/>
              <w:left w:val="single" w:sz="4" w:space="0" w:color="auto"/>
              <w:bottom w:val="single" w:sz="4" w:space="0" w:color="auto"/>
              <w:right w:val="single" w:sz="4" w:space="0" w:color="auto"/>
            </w:tcBorders>
            <w:shd w:val="clear" w:color="auto" w:fill="auto"/>
            <w:vAlign w:val="bottom"/>
          </w:tcPr>
          <w:p w14:paraId="044A5192" w14:textId="77777777" w:rsidR="00655C52" w:rsidRPr="005C598D" w:rsidRDefault="00655C52" w:rsidP="00067763">
            <w:pPr>
              <w:keepNext/>
              <w:keepLines/>
              <w:widowControl w:val="0"/>
              <w:jc w:val="center"/>
              <w:rPr>
                <w:rFonts w:ascii="Arial" w:hAnsi="Arial" w:cs="Arial"/>
                <w:bCs/>
              </w:rPr>
            </w:pPr>
          </w:p>
        </w:tc>
      </w:tr>
      <w:tr w:rsidR="007C45E1" w:rsidRPr="005C598D" w14:paraId="3F54B061" w14:textId="77777777" w:rsidTr="00AC15AD">
        <w:trPr>
          <w:trHeight w:val="340"/>
        </w:trPr>
        <w:tc>
          <w:tcPr>
            <w:tcW w:w="4522" w:type="dxa"/>
            <w:tcBorders>
              <w:top w:val="single" w:sz="4" w:space="0" w:color="auto"/>
              <w:left w:val="single" w:sz="4" w:space="0" w:color="auto"/>
              <w:bottom w:val="single" w:sz="4" w:space="0" w:color="auto"/>
              <w:right w:val="single" w:sz="4" w:space="0" w:color="auto"/>
            </w:tcBorders>
            <w:shd w:val="clear" w:color="auto" w:fill="auto"/>
            <w:vAlign w:val="center"/>
          </w:tcPr>
          <w:p w14:paraId="32F3AB89" w14:textId="6801B0A3" w:rsidR="007C45E1" w:rsidRPr="005C598D" w:rsidRDefault="00655C52" w:rsidP="00655C52">
            <w:pPr>
              <w:keepNext/>
              <w:keepLines/>
              <w:widowControl w:val="0"/>
              <w:ind w:left="720"/>
              <w:rPr>
                <w:rFonts w:ascii="Arial" w:hAnsi="Arial" w:cs="Arial"/>
                <w:bCs/>
              </w:rPr>
            </w:pPr>
            <w:r w:rsidRPr="005C598D">
              <w:rPr>
                <w:rFonts w:ascii="Arial" w:hAnsi="Arial" w:cs="Arial"/>
                <w:bCs/>
              </w:rPr>
              <w:t>I</w:t>
            </w:r>
            <w:r w:rsidR="007C45E1" w:rsidRPr="005C598D">
              <w:rPr>
                <w:rFonts w:ascii="Arial" w:hAnsi="Arial" w:cs="Arial"/>
                <w:bCs/>
              </w:rPr>
              <w:t>nvestment</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490863B0" w14:textId="1A2D3714" w:rsidR="007C45E1" w:rsidRPr="005C598D" w:rsidRDefault="003B6596" w:rsidP="003B6596">
            <w:pPr>
              <w:keepNext/>
              <w:keepLines/>
              <w:widowControl w:val="0"/>
              <w:jc w:val="center"/>
              <w:rPr>
                <w:rFonts w:ascii="Arial" w:hAnsi="Arial" w:cs="Arial"/>
              </w:rPr>
            </w:pPr>
            <w:r w:rsidRPr="005C598D">
              <w:rPr>
                <w:rFonts w:ascii="Arial" w:hAnsi="Arial" w:cs="Arial"/>
              </w:rPr>
              <w:t>£</w:t>
            </w:r>
            <w:r w:rsidR="005C598D" w:rsidRPr="005C598D">
              <w:rPr>
                <w:rFonts w:ascii="Arial" w:hAnsi="Arial" w:cs="Arial"/>
              </w:rPr>
              <w:t>71.0</w:t>
            </w:r>
            <w:r w:rsidRPr="005C598D">
              <w:rPr>
                <w:rFonts w:ascii="Arial" w:hAnsi="Arial" w:cs="Arial"/>
              </w:rPr>
              <w:t>m</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61E52443" w14:textId="53A6A6FF" w:rsidR="007C45E1" w:rsidRPr="005C598D" w:rsidRDefault="00655C52" w:rsidP="00623235">
            <w:pPr>
              <w:keepNext/>
              <w:keepLines/>
              <w:widowControl w:val="0"/>
              <w:jc w:val="center"/>
              <w:rPr>
                <w:rFonts w:ascii="Arial" w:hAnsi="Arial" w:cs="Arial"/>
              </w:rPr>
            </w:pPr>
            <w:r w:rsidRPr="005C598D">
              <w:rPr>
                <w:rFonts w:ascii="Arial" w:hAnsi="Arial" w:cs="Arial"/>
              </w:rPr>
              <w:t>+/-£</w:t>
            </w:r>
            <w:r w:rsidR="003B6596" w:rsidRPr="005C598D">
              <w:rPr>
                <w:rFonts w:ascii="Arial" w:hAnsi="Arial" w:cs="Arial"/>
              </w:rPr>
              <w:t>0.</w:t>
            </w:r>
            <w:r w:rsidR="00BA2521" w:rsidRPr="005C598D">
              <w:rPr>
                <w:rFonts w:ascii="Arial" w:hAnsi="Arial" w:cs="Arial"/>
              </w:rPr>
              <w:t>2</w:t>
            </w:r>
            <w:r w:rsidR="003B6596" w:rsidRPr="005C598D">
              <w:rPr>
                <w:rFonts w:ascii="Arial" w:hAnsi="Arial" w:cs="Arial"/>
              </w:rPr>
              <w:t>m</w:t>
            </w:r>
          </w:p>
        </w:tc>
      </w:tr>
      <w:tr w:rsidR="007C45E1" w:rsidRPr="00E76963" w14:paraId="6710C892" w14:textId="77777777" w:rsidTr="00AC15AD">
        <w:trPr>
          <w:trHeight w:val="340"/>
        </w:trPr>
        <w:tc>
          <w:tcPr>
            <w:tcW w:w="4522" w:type="dxa"/>
            <w:tcBorders>
              <w:top w:val="single" w:sz="4" w:space="0" w:color="auto"/>
              <w:left w:val="single" w:sz="4" w:space="0" w:color="auto"/>
              <w:bottom w:val="single" w:sz="4" w:space="0" w:color="auto"/>
              <w:right w:val="single" w:sz="4" w:space="0" w:color="auto"/>
            </w:tcBorders>
            <w:shd w:val="clear" w:color="auto" w:fill="auto"/>
            <w:vAlign w:val="center"/>
          </w:tcPr>
          <w:p w14:paraId="2EFF55A0" w14:textId="37E19C34" w:rsidR="007C45E1" w:rsidRPr="005C598D" w:rsidRDefault="00655C52" w:rsidP="00655C52">
            <w:pPr>
              <w:keepNext/>
              <w:keepLines/>
              <w:widowControl w:val="0"/>
              <w:ind w:left="720"/>
              <w:rPr>
                <w:rFonts w:ascii="Arial" w:hAnsi="Arial" w:cs="Arial"/>
                <w:bCs/>
              </w:rPr>
            </w:pPr>
            <w:r w:rsidRPr="005C598D">
              <w:rPr>
                <w:rFonts w:ascii="Arial" w:hAnsi="Arial" w:cs="Arial"/>
                <w:bCs/>
              </w:rPr>
              <w:t>B</w:t>
            </w:r>
            <w:r w:rsidR="007C45E1" w:rsidRPr="005C598D">
              <w:rPr>
                <w:rFonts w:ascii="Arial" w:hAnsi="Arial" w:cs="Arial"/>
                <w:bCs/>
              </w:rPr>
              <w:t>orrowing</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1484B38B" w14:textId="417C5D37" w:rsidR="007C45E1" w:rsidRPr="005C598D" w:rsidRDefault="009D46FD" w:rsidP="00623235">
            <w:pPr>
              <w:keepNext/>
              <w:keepLines/>
              <w:widowControl w:val="0"/>
              <w:jc w:val="center"/>
              <w:rPr>
                <w:rFonts w:ascii="Arial" w:hAnsi="Arial" w:cs="Arial"/>
              </w:rPr>
            </w:pPr>
            <w:r w:rsidRPr="005C598D">
              <w:rPr>
                <w:rFonts w:ascii="Arial" w:hAnsi="Arial" w:cs="Arial"/>
              </w:rPr>
              <w:t>-</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14:paraId="41E89BDC" w14:textId="137DD888" w:rsidR="007C45E1" w:rsidRPr="005C598D" w:rsidRDefault="009D46FD" w:rsidP="00F702B5">
            <w:pPr>
              <w:keepNext/>
              <w:keepLines/>
              <w:widowControl w:val="0"/>
              <w:jc w:val="center"/>
              <w:rPr>
                <w:rFonts w:ascii="Arial" w:hAnsi="Arial" w:cs="Arial"/>
              </w:rPr>
            </w:pPr>
            <w:r w:rsidRPr="005C598D">
              <w:rPr>
                <w:rFonts w:ascii="Arial" w:hAnsi="Arial" w:cs="Arial"/>
              </w:rPr>
              <w:t>-</w:t>
            </w:r>
          </w:p>
        </w:tc>
      </w:tr>
    </w:tbl>
    <w:p w14:paraId="7758864E" w14:textId="77777777" w:rsidR="00067763" w:rsidRPr="00E76963" w:rsidRDefault="00067763" w:rsidP="00067763">
      <w:pPr>
        <w:pStyle w:val="ListParagraph"/>
        <w:spacing w:after="240"/>
        <w:rPr>
          <w:rFonts w:ascii="Arial" w:hAnsi="Arial" w:cs="Arial"/>
          <w:highlight w:val="yellow"/>
        </w:rPr>
      </w:pPr>
    </w:p>
    <w:p w14:paraId="1A254F1B" w14:textId="77777777" w:rsidR="00922924" w:rsidRPr="004F69A4" w:rsidRDefault="005F19D8" w:rsidP="003C3808">
      <w:pPr>
        <w:pStyle w:val="ListParagraph"/>
        <w:numPr>
          <w:ilvl w:val="1"/>
          <w:numId w:val="2"/>
        </w:numPr>
        <w:spacing w:after="240"/>
        <w:ind w:left="720" w:hanging="720"/>
        <w:rPr>
          <w:rFonts w:ascii="Arial" w:hAnsi="Arial" w:cs="Arial"/>
        </w:rPr>
      </w:pPr>
      <w:r w:rsidRPr="004F69A4">
        <w:rPr>
          <w:rFonts w:ascii="Arial" w:hAnsi="Arial" w:cs="Arial"/>
        </w:rPr>
        <w:t>Fixed rate investments and borrowings are those where the rate of interest is fixed for the whole financial year.  Instruments that mature during the financial year are classed as varia</w:t>
      </w:r>
      <w:r w:rsidR="00365448" w:rsidRPr="004F69A4">
        <w:rPr>
          <w:rFonts w:ascii="Arial" w:hAnsi="Arial" w:cs="Arial"/>
        </w:rPr>
        <w:t>ble rate.</w:t>
      </w:r>
    </w:p>
    <w:p w14:paraId="24588086" w14:textId="129654CB" w:rsidR="00365448" w:rsidRPr="004F69A4" w:rsidRDefault="00365448" w:rsidP="001D2B87">
      <w:pPr>
        <w:pStyle w:val="Heading6"/>
      </w:pPr>
      <w:r w:rsidRPr="004F69A4">
        <w:t xml:space="preserve">Maturity </w:t>
      </w:r>
      <w:r w:rsidR="004F69A4" w:rsidRPr="004F69A4">
        <w:t>s</w:t>
      </w:r>
      <w:r w:rsidRPr="004F69A4">
        <w:t xml:space="preserve">tructure of </w:t>
      </w:r>
      <w:r w:rsidR="004F69A4" w:rsidRPr="004F69A4">
        <w:t>b</w:t>
      </w:r>
      <w:r w:rsidRPr="004F69A4">
        <w:t>orrowing</w:t>
      </w:r>
    </w:p>
    <w:p w14:paraId="7247539E" w14:textId="7DB1DAD7" w:rsidR="005F19D8" w:rsidRPr="004F69A4" w:rsidRDefault="005F19D8" w:rsidP="003C3808">
      <w:pPr>
        <w:pStyle w:val="ListParagraph"/>
        <w:numPr>
          <w:ilvl w:val="1"/>
          <w:numId w:val="2"/>
        </w:numPr>
        <w:spacing w:after="240"/>
        <w:ind w:left="720" w:hanging="720"/>
        <w:rPr>
          <w:rFonts w:ascii="Arial" w:hAnsi="Arial" w:cs="Arial"/>
        </w:rPr>
      </w:pPr>
      <w:r w:rsidRPr="004F69A4">
        <w:rPr>
          <w:rFonts w:ascii="Arial" w:hAnsi="Arial" w:cs="Arial"/>
        </w:rPr>
        <w:t xml:space="preserve">This indicator is set to control the </w:t>
      </w:r>
      <w:r w:rsidR="00365448" w:rsidRPr="004F69A4">
        <w:rPr>
          <w:rFonts w:ascii="Arial" w:hAnsi="Arial" w:cs="Arial"/>
        </w:rPr>
        <w:t>OPCC</w:t>
      </w:r>
      <w:r w:rsidRPr="004F69A4">
        <w:rPr>
          <w:rFonts w:ascii="Arial" w:hAnsi="Arial" w:cs="Arial"/>
        </w:rPr>
        <w:t xml:space="preserve">’s exposure to refinancing risk. The upper and lower limits </w:t>
      </w:r>
      <w:r w:rsidR="00514991" w:rsidRPr="004F69A4">
        <w:rPr>
          <w:rFonts w:ascii="Arial" w:hAnsi="Arial" w:cs="Arial"/>
        </w:rPr>
        <w:t xml:space="preserve">show </w:t>
      </w:r>
      <w:r w:rsidRPr="004F69A4">
        <w:rPr>
          <w:rFonts w:ascii="Arial" w:hAnsi="Arial" w:cs="Arial"/>
        </w:rPr>
        <w:t>the</w:t>
      </w:r>
      <w:r w:rsidR="00514991" w:rsidRPr="004F69A4">
        <w:rPr>
          <w:rFonts w:ascii="Arial" w:hAnsi="Arial" w:cs="Arial"/>
        </w:rPr>
        <w:t xml:space="preserve"> maximum and minimum</w:t>
      </w:r>
      <w:r w:rsidRPr="004F69A4">
        <w:rPr>
          <w:rFonts w:ascii="Arial" w:hAnsi="Arial" w:cs="Arial"/>
        </w:rPr>
        <w:t xml:space="preserve"> maturity </w:t>
      </w:r>
      <w:r w:rsidR="00385D2D" w:rsidRPr="004F69A4">
        <w:rPr>
          <w:rFonts w:ascii="Arial" w:hAnsi="Arial" w:cs="Arial"/>
        </w:rPr>
        <w:t>exposure to</w:t>
      </w:r>
      <w:r w:rsidRPr="004F69A4">
        <w:rPr>
          <w:rFonts w:ascii="Arial" w:hAnsi="Arial" w:cs="Arial"/>
        </w:rPr>
        <w:t xml:space="preserve"> </w:t>
      </w:r>
      <w:r w:rsidRPr="004F69A4">
        <w:rPr>
          <w:rFonts w:ascii="Arial" w:hAnsi="Arial" w:cs="Arial"/>
        </w:rPr>
        <w:lastRenderedPageBreak/>
        <w:t>fixed rate borrowing</w:t>
      </w:r>
      <w:r w:rsidR="00385D2D" w:rsidRPr="004F69A4">
        <w:rPr>
          <w:rFonts w:ascii="Arial" w:hAnsi="Arial" w:cs="Arial"/>
        </w:rPr>
        <w:t xml:space="preserve"> as agreed in the Treasury Management Strategy Statement.</w:t>
      </w:r>
    </w:p>
    <w:tbl>
      <w:tblPr>
        <w:tblW w:w="9450" w:type="dxa"/>
        <w:tblLook w:val="04A0" w:firstRow="1" w:lastRow="0" w:firstColumn="1" w:lastColumn="0" w:noHBand="0" w:noVBand="1"/>
        <w:tblCaption w:val="Table 10: Maturity structure of borrowing"/>
      </w:tblPr>
      <w:tblGrid>
        <w:gridCol w:w="3782"/>
        <w:gridCol w:w="1417"/>
        <w:gridCol w:w="1417"/>
        <w:gridCol w:w="1417"/>
        <w:gridCol w:w="1417"/>
      </w:tblGrid>
      <w:tr w:rsidR="001634BE" w:rsidRPr="00F57CB1" w14:paraId="6A45DCAC" w14:textId="77777777" w:rsidTr="00E77DD8">
        <w:trPr>
          <w:trHeight w:val="340"/>
          <w:tblHeader/>
        </w:trPr>
        <w:tc>
          <w:tcPr>
            <w:tcW w:w="3782" w:type="dxa"/>
            <w:tcBorders>
              <w:top w:val="single" w:sz="4" w:space="0" w:color="auto"/>
              <w:left w:val="single" w:sz="4" w:space="0" w:color="auto"/>
              <w:bottom w:val="single" w:sz="4" w:space="0" w:color="auto"/>
              <w:right w:val="single" w:sz="4" w:space="0" w:color="auto"/>
            </w:tcBorders>
            <w:shd w:val="clear" w:color="auto" w:fill="auto"/>
          </w:tcPr>
          <w:p w14:paraId="1387B347" w14:textId="6A4C235F" w:rsidR="001634BE" w:rsidRPr="00F57CB1" w:rsidRDefault="004F69A4" w:rsidP="004F69A4">
            <w:pPr>
              <w:keepNext/>
              <w:keepLines/>
              <w:widowControl w:val="0"/>
              <w:rPr>
                <w:rFonts w:ascii="Arial" w:hAnsi="Arial" w:cs="Arial"/>
                <w:b/>
              </w:rPr>
            </w:pPr>
            <w:r w:rsidRPr="00F57CB1">
              <w:rPr>
                <w:rFonts w:ascii="Arial" w:hAnsi="Arial" w:cs="Arial"/>
                <w:b/>
              </w:rPr>
              <w:t>Table 10: Maturity structure of borrowing</w:t>
            </w:r>
          </w:p>
        </w:tc>
        <w:tc>
          <w:tcPr>
            <w:tcW w:w="1417" w:type="dxa"/>
            <w:tcBorders>
              <w:top w:val="single" w:sz="4" w:space="0" w:color="auto"/>
              <w:left w:val="single" w:sz="4" w:space="0" w:color="auto"/>
              <w:bottom w:val="single" w:sz="4" w:space="0" w:color="auto"/>
              <w:right w:val="single" w:sz="4" w:space="0" w:color="auto"/>
            </w:tcBorders>
            <w:vAlign w:val="bottom"/>
          </w:tcPr>
          <w:p w14:paraId="57F570B3" w14:textId="67455C97" w:rsidR="001634BE" w:rsidRPr="00F57CB1" w:rsidRDefault="001634BE" w:rsidP="00804EDB">
            <w:pPr>
              <w:keepNext/>
              <w:keepLines/>
              <w:widowControl w:val="0"/>
              <w:jc w:val="center"/>
              <w:rPr>
                <w:rFonts w:ascii="Arial" w:hAnsi="Arial" w:cs="Arial"/>
                <w:b/>
              </w:rPr>
            </w:pPr>
            <w:r w:rsidRPr="00F57CB1">
              <w:rPr>
                <w:rFonts w:ascii="Arial" w:hAnsi="Arial" w:cs="Arial"/>
                <w:b/>
              </w:rPr>
              <w:t>31/03/</w:t>
            </w:r>
            <w:r w:rsidR="00BA2521" w:rsidRPr="00F57CB1">
              <w:rPr>
                <w:rFonts w:ascii="Arial" w:hAnsi="Arial" w:cs="Arial"/>
                <w:b/>
              </w:rPr>
              <w:t>2</w:t>
            </w:r>
            <w:r w:rsidR="004F69A4" w:rsidRPr="00F57CB1">
              <w:rPr>
                <w:rFonts w:ascii="Arial" w:hAnsi="Arial" w:cs="Arial"/>
                <w:b/>
              </w:rPr>
              <w:t>1</w:t>
            </w:r>
            <w:r w:rsidRPr="00F57CB1">
              <w:rPr>
                <w:rFonts w:ascii="Arial" w:hAnsi="Arial" w:cs="Arial"/>
                <w:b/>
              </w:rPr>
              <w:br/>
              <w:t>Actual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DF16EEC" w14:textId="77777777" w:rsidR="001634BE" w:rsidRPr="00F57CB1" w:rsidRDefault="001634BE" w:rsidP="00804EDB">
            <w:pPr>
              <w:keepNext/>
              <w:keepLines/>
              <w:widowControl w:val="0"/>
              <w:jc w:val="center"/>
              <w:rPr>
                <w:rFonts w:ascii="Arial" w:hAnsi="Arial" w:cs="Arial"/>
                <w:b/>
              </w:rPr>
            </w:pPr>
            <w:r w:rsidRPr="00F57CB1">
              <w:rPr>
                <w:rFonts w:ascii="Arial" w:hAnsi="Arial" w:cs="Arial"/>
                <w:b/>
              </w:rPr>
              <w:t>Upper Limit</w:t>
            </w:r>
          </w:p>
        </w:tc>
        <w:tc>
          <w:tcPr>
            <w:tcW w:w="1417" w:type="dxa"/>
            <w:tcBorders>
              <w:top w:val="single" w:sz="4" w:space="0" w:color="auto"/>
              <w:left w:val="single" w:sz="4" w:space="0" w:color="auto"/>
              <w:bottom w:val="single" w:sz="4" w:space="0" w:color="auto"/>
              <w:right w:val="single" w:sz="4" w:space="0" w:color="auto"/>
            </w:tcBorders>
            <w:vAlign w:val="bottom"/>
          </w:tcPr>
          <w:p w14:paraId="32394327" w14:textId="77777777" w:rsidR="001634BE" w:rsidRPr="00F57CB1" w:rsidRDefault="001634BE" w:rsidP="00804EDB">
            <w:pPr>
              <w:keepNext/>
              <w:keepLines/>
              <w:widowControl w:val="0"/>
              <w:jc w:val="center"/>
              <w:rPr>
                <w:rFonts w:ascii="Arial" w:hAnsi="Arial" w:cs="Arial"/>
                <w:b/>
              </w:rPr>
            </w:pPr>
            <w:r w:rsidRPr="00F57CB1">
              <w:rPr>
                <w:rFonts w:ascii="Arial" w:hAnsi="Arial" w:cs="Arial"/>
                <w:b/>
              </w:rPr>
              <w:t>Lower Limit</w:t>
            </w:r>
          </w:p>
        </w:tc>
        <w:tc>
          <w:tcPr>
            <w:tcW w:w="1417" w:type="dxa"/>
            <w:tcBorders>
              <w:top w:val="single" w:sz="4" w:space="0" w:color="auto"/>
              <w:left w:val="single" w:sz="4" w:space="0" w:color="auto"/>
              <w:bottom w:val="single" w:sz="4" w:space="0" w:color="auto"/>
              <w:right w:val="single" w:sz="4" w:space="0" w:color="auto"/>
            </w:tcBorders>
          </w:tcPr>
          <w:p w14:paraId="59D20CE7" w14:textId="77777777" w:rsidR="001634BE" w:rsidRPr="00F57CB1" w:rsidRDefault="001634BE" w:rsidP="004F69A4">
            <w:pPr>
              <w:keepNext/>
              <w:keepLines/>
              <w:widowControl w:val="0"/>
              <w:jc w:val="right"/>
              <w:rPr>
                <w:rFonts w:ascii="Arial" w:hAnsi="Arial" w:cs="Arial"/>
                <w:b/>
              </w:rPr>
            </w:pPr>
            <w:r w:rsidRPr="00F57CB1">
              <w:rPr>
                <w:rFonts w:ascii="Arial" w:hAnsi="Arial" w:cs="Arial"/>
                <w:b/>
              </w:rPr>
              <w:t>Complied</w:t>
            </w:r>
          </w:p>
        </w:tc>
      </w:tr>
      <w:tr w:rsidR="00C855DD" w:rsidRPr="00F57CB1" w14:paraId="1B21A893" w14:textId="77777777" w:rsidTr="008C207A">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152F9BC3" w14:textId="77777777" w:rsidR="00C855DD" w:rsidRPr="00F57CB1" w:rsidRDefault="00C855DD" w:rsidP="00C855DD">
            <w:pPr>
              <w:keepLines/>
              <w:widowControl w:val="0"/>
              <w:rPr>
                <w:rFonts w:ascii="Arial" w:hAnsi="Arial" w:cs="Arial"/>
                <w:bCs/>
              </w:rPr>
            </w:pPr>
            <w:r w:rsidRPr="00F57CB1">
              <w:rPr>
                <w:rFonts w:ascii="Arial" w:hAnsi="Arial" w:cs="Arial"/>
                <w:bCs/>
              </w:rPr>
              <w:t>Under 12 months</w:t>
            </w:r>
          </w:p>
        </w:tc>
        <w:tc>
          <w:tcPr>
            <w:tcW w:w="1417" w:type="dxa"/>
            <w:tcBorders>
              <w:top w:val="single" w:sz="4" w:space="0" w:color="auto"/>
              <w:left w:val="single" w:sz="4" w:space="0" w:color="auto"/>
              <w:bottom w:val="single" w:sz="4" w:space="0" w:color="auto"/>
              <w:right w:val="single" w:sz="4" w:space="0" w:color="auto"/>
            </w:tcBorders>
            <w:vAlign w:val="center"/>
          </w:tcPr>
          <w:p w14:paraId="5E77432E" w14:textId="7A5FA4D6" w:rsidR="00C855DD" w:rsidRPr="00F57CB1" w:rsidRDefault="00C855DD" w:rsidP="00C855DD">
            <w:pPr>
              <w:keepLines/>
              <w:widowControl w:val="0"/>
              <w:jc w:val="center"/>
              <w:rPr>
                <w:rFonts w:ascii="Arial" w:hAnsi="Arial" w:cs="Arial"/>
              </w:rPr>
            </w:pPr>
            <w:r w:rsidRPr="00F57CB1">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593685" w14:textId="77777777" w:rsidR="00C855DD" w:rsidRPr="00F57CB1" w:rsidRDefault="00C855DD" w:rsidP="00C855DD">
            <w:pPr>
              <w:keepLines/>
              <w:widowControl w:val="0"/>
              <w:jc w:val="center"/>
              <w:rPr>
                <w:rFonts w:ascii="Arial" w:hAnsi="Arial" w:cs="Arial"/>
              </w:rPr>
            </w:pPr>
            <w:r w:rsidRPr="00F57CB1">
              <w:rPr>
                <w:rFonts w:ascii="Arial" w:hAnsi="Arial" w:cs="Arial"/>
              </w:rPr>
              <w:t>50%</w:t>
            </w:r>
          </w:p>
        </w:tc>
        <w:tc>
          <w:tcPr>
            <w:tcW w:w="1417" w:type="dxa"/>
            <w:tcBorders>
              <w:top w:val="single" w:sz="4" w:space="0" w:color="auto"/>
              <w:left w:val="single" w:sz="4" w:space="0" w:color="auto"/>
              <w:bottom w:val="single" w:sz="4" w:space="0" w:color="auto"/>
              <w:right w:val="single" w:sz="4" w:space="0" w:color="auto"/>
            </w:tcBorders>
            <w:vAlign w:val="center"/>
          </w:tcPr>
          <w:p w14:paraId="198D5AFE" w14:textId="77777777" w:rsidR="00C855DD" w:rsidRPr="00F57CB1" w:rsidRDefault="00C855DD" w:rsidP="00C855DD">
            <w:pPr>
              <w:keepLines/>
              <w:widowControl w:val="0"/>
              <w:jc w:val="center"/>
              <w:rPr>
                <w:rFonts w:ascii="Arial" w:hAnsi="Arial" w:cs="Arial"/>
              </w:rPr>
            </w:pPr>
            <w:r w:rsidRPr="00F57CB1">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tcPr>
          <w:p w14:paraId="5EE89179" w14:textId="206503D5" w:rsidR="00C855DD" w:rsidRPr="00F57CB1" w:rsidRDefault="00C855DD" w:rsidP="00C855DD">
            <w:pPr>
              <w:keepNext/>
              <w:keepLines/>
              <w:widowControl w:val="0"/>
              <w:jc w:val="center"/>
              <w:rPr>
                <w:rFonts w:ascii="Arial" w:hAnsi="Arial" w:cs="Arial"/>
              </w:rPr>
            </w:pPr>
            <w:r w:rsidRPr="00502D7A">
              <w:rPr>
                <w:rFonts w:ascii="Arial" w:hAnsi="Arial" w:cs="Arial"/>
              </w:rPr>
              <w:t>Yes</w:t>
            </w:r>
          </w:p>
        </w:tc>
      </w:tr>
      <w:tr w:rsidR="00C855DD" w:rsidRPr="00F57CB1" w14:paraId="0298A41D" w14:textId="77777777" w:rsidTr="008C207A">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754CCC2B" w14:textId="77777777" w:rsidR="00C855DD" w:rsidRPr="00F57CB1" w:rsidRDefault="00C855DD" w:rsidP="00C855DD">
            <w:pPr>
              <w:keepLines/>
              <w:widowControl w:val="0"/>
              <w:rPr>
                <w:rFonts w:ascii="Arial" w:hAnsi="Arial" w:cs="Arial"/>
                <w:bCs/>
              </w:rPr>
            </w:pPr>
            <w:r w:rsidRPr="00F57CB1">
              <w:rPr>
                <w:rFonts w:ascii="Arial" w:hAnsi="Arial" w:cs="Arial"/>
                <w:bCs/>
              </w:rPr>
              <w:t>12 months and within 24 months</w:t>
            </w:r>
          </w:p>
        </w:tc>
        <w:tc>
          <w:tcPr>
            <w:tcW w:w="1417" w:type="dxa"/>
            <w:tcBorders>
              <w:top w:val="single" w:sz="4" w:space="0" w:color="auto"/>
              <w:left w:val="single" w:sz="4" w:space="0" w:color="auto"/>
              <w:bottom w:val="single" w:sz="4" w:space="0" w:color="auto"/>
              <w:right w:val="single" w:sz="4" w:space="0" w:color="auto"/>
            </w:tcBorders>
            <w:vAlign w:val="center"/>
          </w:tcPr>
          <w:p w14:paraId="1E417360" w14:textId="375C1102" w:rsidR="00C855DD" w:rsidRPr="00F57CB1" w:rsidRDefault="00C855DD" w:rsidP="00C855DD">
            <w:pPr>
              <w:keepLines/>
              <w:widowControl w:val="0"/>
              <w:jc w:val="center"/>
              <w:rPr>
                <w:rFonts w:ascii="Arial" w:hAnsi="Arial" w:cs="Arial"/>
              </w:rPr>
            </w:pPr>
            <w:r w:rsidRPr="00F57CB1">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F3F720" w14:textId="77777777" w:rsidR="00C855DD" w:rsidRPr="00F57CB1" w:rsidRDefault="00C855DD" w:rsidP="00C855DD">
            <w:pPr>
              <w:keepLines/>
              <w:widowControl w:val="0"/>
              <w:jc w:val="center"/>
              <w:rPr>
                <w:rFonts w:ascii="Arial" w:hAnsi="Arial" w:cs="Arial"/>
              </w:rPr>
            </w:pPr>
            <w:r w:rsidRPr="00F57CB1">
              <w:rPr>
                <w:rFonts w:ascii="Arial" w:hAnsi="Arial" w:cs="Arial"/>
              </w:rPr>
              <w:t>50%</w:t>
            </w:r>
          </w:p>
        </w:tc>
        <w:tc>
          <w:tcPr>
            <w:tcW w:w="1417" w:type="dxa"/>
            <w:tcBorders>
              <w:top w:val="single" w:sz="4" w:space="0" w:color="auto"/>
              <w:left w:val="single" w:sz="4" w:space="0" w:color="auto"/>
              <w:bottom w:val="single" w:sz="4" w:space="0" w:color="auto"/>
              <w:right w:val="single" w:sz="4" w:space="0" w:color="auto"/>
            </w:tcBorders>
            <w:vAlign w:val="center"/>
          </w:tcPr>
          <w:p w14:paraId="5D5C6AE1" w14:textId="77777777" w:rsidR="00C855DD" w:rsidRPr="00F57CB1" w:rsidRDefault="00C855DD" w:rsidP="00C855DD">
            <w:pPr>
              <w:keepLines/>
              <w:widowControl w:val="0"/>
              <w:jc w:val="center"/>
              <w:rPr>
                <w:rFonts w:ascii="Arial" w:hAnsi="Arial" w:cs="Arial"/>
              </w:rPr>
            </w:pPr>
            <w:r w:rsidRPr="00F57CB1">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tcPr>
          <w:p w14:paraId="3D7D14ED" w14:textId="5E50D121" w:rsidR="00C855DD" w:rsidRPr="00F57CB1" w:rsidRDefault="00C855DD" w:rsidP="00C855DD">
            <w:pPr>
              <w:keepNext/>
              <w:keepLines/>
              <w:widowControl w:val="0"/>
              <w:jc w:val="center"/>
              <w:rPr>
                <w:rFonts w:ascii="Arial" w:hAnsi="Arial" w:cs="Arial"/>
              </w:rPr>
            </w:pPr>
            <w:r w:rsidRPr="00502D7A">
              <w:rPr>
                <w:rFonts w:ascii="Arial" w:hAnsi="Arial" w:cs="Arial"/>
              </w:rPr>
              <w:t>Yes</w:t>
            </w:r>
          </w:p>
        </w:tc>
      </w:tr>
      <w:tr w:rsidR="00C855DD" w:rsidRPr="00F57CB1" w14:paraId="37DBCB6A" w14:textId="77777777" w:rsidTr="008C207A">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34DCA21C" w14:textId="77777777" w:rsidR="00C855DD" w:rsidRPr="00F57CB1" w:rsidRDefault="00C855DD" w:rsidP="00C855DD">
            <w:pPr>
              <w:keepLines/>
              <w:widowControl w:val="0"/>
              <w:rPr>
                <w:rFonts w:ascii="Arial" w:hAnsi="Arial" w:cs="Arial"/>
                <w:bCs/>
              </w:rPr>
            </w:pPr>
            <w:r w:rsidRPr="00F57CB1">
              <w:rPr>
                <w:rFonts w:ascii="Arial" w:hAnsi="Arial" w:cs="Arial"/>
                <w:bCs/>
              </w:rPr>
              <w:t>24 months and within 5 years</w:t>
            </w:r>
          </w:p>
        </w:tc>
        <w:tc>
          <w:tcPr>
            <w:tcW w:w="1417" w:type="dxa"/>
            <w:tcBorders>
              <w:top w:val="single" w:sz="4" w:space="0" w:color="auto"/>
              <w:left w:val="single" w:sz="4" w:space="0" w:color="auto"/>
              <w:bottom w:val="single" w:sz="4" w:space="0" w:color="auto"/>
              <w:right w:val="single" w:sz="4" w:space="0" w:color="auto"/>
            </w:tcBorders>
            <w:vAlign w:val="center"/>
          </w:tcPr>
          <w:p w14:paraId="0F43E125" w14:textId="7EC627BF" w:rsidR="00C855DD" w:rsidRPr="00F57CB1" w:rsidRDefault="00C855DD" w:rsidP="00C855DD">
            <w:pPr>
              <w:keepLines/>
              <w:widowControl w:val="0"/>
              <w:jc w:val="center"/>
              <w:rPr>
                <w:rFonts w:ascii="Arial" w:hAnsi="Arial" w:cs="Arial"/>
              </w:rPr>
            </w:pPr>
            <w:r w:rsidRPr="00F57CB1">
              <w:rPr>
                <w:rFonts w:ascii="Arial" w:hAnsi="Arial" w:cs="Arial"/>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1122C" w14:textId="77777777" w:rsidR="00C855DD" w:rsidRPr="00F57CB1" w:rsidRDefault="00C855DD" w:rsidP="00C855DD">
            <w:pPr>
              <w:keepLines/>
              <w:widowControl w:val="0"/>
              <w:jc w:val="center"/>
              <w:rPr>
                <w:rFonts w:ascii="Arial" w:hAnsi="Arial" w:cs="Arial"/>
              </w:rPr>
            </w:pPr>
            <w:r w:rsidRPr="00F57CB1">
              <w:rPr>
                <w:rFonts w:ascii="Arial" w:hAnsi="Arial" w:cs="Arial"/>
              </w:rPr>
              <w:t>50%</w:t>
            </w:r>
          </w:p>
        </w:tc>
        <w:tc>
          <w:tcPr>
            <w:tcW w:w="1417" w:type="dxa"/>
            <w:tcBorders>
              <w:top w:val="single" w:sz="4" w:space="0" w:color="auto"/>
              <w:left w:val="single" w:sz="4" w:space="0" w:color="auto"/>
              <w:bottom w:val="single" w:sz="4" w:space="0" w:color="auto"/>
              <w:right w:val="single" w:sz="4" w:space="0" w:color="auto"/>
            </w:tcBorders>
            <w:vAlign w:val="center"/>
          </w:tcPr>
          <w:p w14:paraId="21C2F1A3" w14:textId="77777777" w:rsidR="00C855DD" w:rsidRPr="00F57CB1" w:rsidRDefault="00C855DD" w:rsidP="00C855DD">
            <w:pPr>
              <w:keepLines/>
              <w:widowControl w:val="0"/>
              <w:jc w:val="center"/>
              <w:rPr>
                <w:rFonts w:ascii="Arial" w:hAnsi="Arial" w:cs="Arial"/>
              </w:rPr>
            </w:pPr>
            <w:r w:rsidRPr="00F57CB1">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tcPr>
          <w:p w14:paraId="4EBCB0E9" w14:textId="5D73B528" w:rsidR="00C855DD" w:rsidRPr="00F57CB1" w:rsidRDefault="00C855DD" w:rsidP="00C855DD">
            <w:pPr>
              <w:keepNext/>
              <w:keepLines/>
              <w:widowControl w:val="0"/>
              <w:jc w:val="center"/>
              <w:rPr>
                <w:rFonts w:ascii="Arial" w:hAnsi="Arial" w:cs="Arial"/>
              </w:rPr>
            </w:pPr>
            <w:r w:rsidRPr="00502D7A">
              <w:rPr>
                <w:rFonts w:ascii="Arial" w:hAnsi="Arial" w:cs="Arial"/>
              </w:rPr>
              <w:t>Yes</w:t>
            </w:r>
          </w:p>
        </w:tc>
      </w:tr>
      <w:tr w:rsidR="00C855DD" w:rsidRPr="00F57CB1" w14:paraId="5626179E" w14:textId="77777777" w:rsidTr="008C207A">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06176326" w14:textId="77777777" w:rsidR="00C855DD" w:rsidRPr="00F57CB1" w:rsidRDefault="00C855DD" w:rsidP="00C855DD">
            <w:pPr>
              <w:keepLines/>
              <w:widowControl w:val="0"/>
              <w:rPr>
                <w:rFonts w:ascii="Arial" w:hAnsi="Arial" w:cs="Arial"/>
                <w:bCs/>
              </w:rPr>
            </w:pPr>
            <w:r w:rsidRPr="00F57CB1">
              <w:rPr>
                <w:rFonts w:ascii="Arial" w:hAnsi="Arial" w:cs="Arial"/>
                <w:bCs/>
              </w:rPr>
              <w:t>5 years and within 10 years</w:t>
            </w:r>
          </w:p>
        </w:tc>
        <w:tc>
          <w:tcPr>
            <w:tcW w:w="1417" w:type="dxa"/>
            <w:tcBorders>
              <w:top w:val="single" w:sz="4" w:space="0" w:color="auto"/>
              <w:left w:val="single" w:sz="4" w:space="0" w:color="auto"/>
              <w:bottom w:val="single" w:sz="4" w:space="0" w:color="auto"/>
              <w:right w:val="single" w:sz="4" w:space="0" w:color="auto"/>
            </w:tcBorders>
            <w:vAlign w:val="center"/>
          </w:tcPr>
          <w:p w14:paraId="4A4360C7" w14:textId="7E7F9B7A" w:rsidR="00C855DD" w:rsidRPr="00F57CB1" w:rsidRDefault="00C855DD" w:rsidP="00C855DD">
            <w:pPr>
              <w:keepLines/>
              <w:widowControl w:val="0"/>
              <w:jc w:val="center"/>
              <w:rPr>
                <w:rFonts w:ascii="Arial" w:hAnsi="Arial" w:cs="Arial"/>
              </w:rPr>
            </w:pPr>
            <w:r w:rsidRPr="00F57CB1">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E48012" w14:textId="77777777" w:rsidR="00C855DD" w:rsidRPr="00F57CB1" w:rsidRDefault="00C855DD" w:rsidP="00C855DD">
            <w:pPr>
              <w:keepLines/>
              <w:widowControl w:val="0"/>
              <w:jc w:val="center"/>
              <w:rPr>
                <w:rFonts w:ascii="Arial" w:hAnsi="Arial" w:cs="Arial"/>
              </w:rPr>
            </w:pPr>
            <w:r w:rsidRPr="00F57CB1">
              <w:rPr>
                <w:rFonts w:ascii="Arial" w:hAnsi="Arial" w:cs="Arial"/>
              </w:rPr>
              <w:t>75%</w:t>
            </w:r>
          </w:p>
        </w:tc>
        <w:tc>
          <w:tcPr>
            <w:tcW w:w="1417" w:type="dxa"/>
            <w:tcBorders>
              <w:top w:val="single" w:sz="4" w:space="0" w:color="auto"/>
              <w:left w:val="single" w:sz="4" w:space="0" w:color="auto"/>
              <w:bottom w:val="single" w:sz="4" w:space="0" w:color="auto"/>
              <w:right w:val="single" w:sz="4" w:space="0" w:color="auto"/>
            </w:tcBorders>
            <w:vAlign w:val="center"/>
          </w:tcPr>
          <w:p w14:paraId="7A11FAD7" w14:textId="77777777" w:rsidR="00C855DD" w:rsidRPr="00F57CB1" w:rsidRDefault="00C855DD" w:rsidP="00C855DD">
            <w:pPr>
              <w:keepLines/>
              <w:widowControl w:val="0"/>
              <w:jc w:val="center"/>
              <w:rPr>
                <w:rFonts w:ascii="Arial" w:hAnsi="Arial" w:cs="Arial"/>
              </w:rPr>
            </w:pPr>
            <w:r w:rsidRPr="00F57CB1">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tcPr>
          <w:p w14:paraId="1ED1152D" w14:textId="3AF99506" w:rsidR="00C855DD" w:rsidRPr="00F57CB1" w:rsidRDefault="00C855DD" w:rsidP="00C855DD">
            <w:pPr>
              <w:keepNext/>
              <w:keepLines/>
              <w:widowControl w:val="0"/>
              <w:jc w:val="center"/>
              <w:rPr>
                <w:rFonts w:ascii="Arial" w:hAnsi="Arial" w:cs="Arial"/>
              </w:rPr>
            </w:pPr>
            <w:r w:rsidRPr="00502D7A">
              <w:rPr>
                <w:rFonts w:ascii="Arial" w:hAnsi="Arial" w:cs="Arial"/>
              </w:rPr>
              <w:t>Yes</w:t>
            </w:r>
          </w:p>
        </w:tc>
      </w:tr>
      <w:tr w:rsidR="00C855DD" w:rsidRPr="00F57CB1" w14:paraId="35A838AF" w14:textId="77777777" w:rsidTr="008C207A">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0E64F20D" w14:textId="77777777" w:rsidR="00C855DD" w:rsidRPr="00F57CB1" w:rsidRDefault="00C855DD" w:rsidP="00C855DD">
            <w:pPr>
              <w:keepLines/>
              <w:widowControl w:val="0"/>
              <w:rPr>
                <w:rFonts w:ascii="Arial" w:hAnsi="Arial" w:cs="Arial"/>
                <w:bCs/>
              </w:rPr>
            </w:pPr>
            <w:r w:rsidRPr="00F57CB1">
              <w:rPr>
                <w:rFonts w:ascii="Arial" w:hAnsi="Arial" w:cs="Arial"/>
                <w:bCs/>
              </w:rPr>
              <w:t>10 years and within 20 years</w:t>
            </w:r>
          </w:p>
        </w:tc>
        <w:tc>
          <w:tcPr>
            <w:tcW w:w="1417" w:type="dxa"/>
            <w:tcBorders>
              <w:top w:val="single" w:sz="4" w:space="0" w:color="auto"/>
              <w:left w:val="single" w:sz="4" w:space="0" w:color="auto"/>
              <w:bottom w:val="single" w:sz="4" w:space="0" w:color="auto"/>
              <w:right w:val="single" w:sz="4" w:space="0" w:color="auto"/>
            </w:tcBorders>
            <w:vAlign w:val="center"/>
          </w:tcPr>
          <w:p w14:paraId="51A6948B" w14:textId="0007E300" w:rsidR="00C855DD" w:rsidRPr="00F57CB1" w:rsidRDefault="00C855DD" w:rsidP="00C855DD">
            <w:pPr>
              <w:keepLines/>
              <w:widowControl w:val="0"/>
              <w:jc w:val="center"/>
              <w:rPr>
                <w:rFonts w:ascii="Arial" w:hAnsi="Arial" w:cs="Arial"/>
              </w:rPr>
            </w:pPr>
            <w:r w:rsidRPr="00F57CB1">
              <w:rPr>
                <w:rFonts w:ascii="Arial" w:hAnsi="Arial" w:cs="Arial"/>
              </w:rPr>
              <w:t>97%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D7EB2" w14:textId="77777777" w:rsidR="00C855DD" w:rsidRPr="00F57CB1" w:rsidRDefault="00C855DD" w:rsidP="00C855DD">
            <w:pPr>
              <w:keepLines/>
              <w:widowControl w:val="0"/>
              <w:jc w:val="center"/>
              <w:rPr>
                <w:rFonts w:ascii="Arial" w:hAnsi="Arial" w:cs="Arial"/>
              </w:rPr>
            </w:pPr>
            <w:r w:rsidRPr="00F57CB1">
              <w:rPr>
                <w:rFonts w:ascii="Arial" w:hAnsi="Arial" w:cs="Arial"/>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7B126992" w14:textId="77777777" w:rsidR="00C855DD" w:rsidRPr="00F57CB1" w:rsidRDefault="00C855DD" w:rsidP="00C855DD">
            <w:pPr>
              <w:keepLines/>
              <w:widowControl w:val="0"/>
              <w:jc w:val="center"/>
              <w:rPr>
                <w:rFonts w:ascii="Arial" w:hAnsi="Arial" w:cs="Arial"/>
              </w:rPr>
            </w:pPr>
            <w:r w:rsidRPr="00F57CB1">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tcPr>
          <w:p w14:paraId="0C69106F" w14:textId="13D6EAB0" w:rsidR="00C855DD" w:rsidRPr="00F57CB1" w:rsidRDefault="00C855DD" w:rsidP="00C855DD">
            <w:pPr>
              <w:keepNext/>
              <w:keepLines/>
              <w:widowControl w:val="0"/>
              <w:jc w:val="center"/>
              <w:rPr>
                <w:rFonts w:ascii="Arial" w:hAnsi="Arial" w:cs="Arial"/>
              </w:rPr>
            </w:pPr>
            <w:r w:rsidRPr="00502D7A">
              <w:rPr>
                <w:rFonts w:ascii="Arial" w:hAnsi="Arial" w:cs="Arial"/>
              </w:rPr>
              <w:t>Yes</w:t>
            </w:r>
          </w:p>
        </w:tc>
      </w:tr>
      <w:tr w:rsidR="00C855DD" w:rsidRPr="00E76963" w14:paraId="2FE37057" w14:textId="77777777" w:rsidTr="008C207A">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11935A8F" w14:textId="77777777" w:rsidR="00C855DD" w:rsidRPr="00F57CB1" w:rsidRDefault="00C855DD" w:rsidP="00C855DD">
            <w:pPr>
              <w:keepLines/>
              <w:widowControl w:val="0"/>
              <w:rPr>
                <w:rFonts w:ascii="Arial" w:hAnsi="Arial" w:cs="Arial"/>
                <w:bCs/>
              </w:rPr>
            </w:pPr>
            <w:r w:rsidRPr="00F57CB1">
              <w:rPr>
                <w:rFonts w:ascii="Arial" w:hAnsi="Arial" w:cs="Arial"/>
                <w:bCs/>
              </w:rPr>
              <w:t>20 years and above</w:t>
            </w:r>
          </w:p>
        </w:tc>
        <w:tc>
          <w:tcPr>
            <w:tcW w:w="1417" w:type="dxa"/>
            <w:tcBorders>
              <w:top w:val="single" w:sz="4" w:space="0" w:color="auto"/>
              <w:left w:val="single" w:sz="4" w:space="0" w:color="auto"/>
              <w:bottom w:val="single" w:sz="4" w:space="0" w:color="auto"/>
              <w:right w:val="single" w:sz="4" w:space="0" w:color="auto"/>
            </w:tcBorders>
            <w:vAlign w:val="center"/>
          </w:tcPr>
          <w:p w14:paraId="5D05D047" w14:textId="635DD053" w:rsidR="00C855DD" w:rsidRPr="00F57CB1" w:rsidRDefault="00C855DD" w:rsidP="00C855DD">
            <w:pPr>
              <w:keepLines/>
              <w:widowControl w:val="0"/>
              <w:jc w:val="center"/>
              <w:rPr>
                <w:rFonts w:ascii="Arial" w:hAnsi="Arial" w:cs="Arial"/>
              </w:rPr>
            </w:pPr>
            <w:r w:rsidRPr="00F57CB1">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1413B4" w14:textId="77777777" w:rsidR="00C855DD" w:rsidRPr="00F57CB1" w:rsidRDefault="00C855DD" w:rsidP="00C855DD">
            <w:pPr>
              <w:keepLines/>
              <w:widowControl w:val="0"/>
              <w:jc w:val="center"/>
              <w:rPr>
                <w:rFonts w:ascii="Arial" w:hAnsi="Arial" w:cs="Arial"/>
              </w:rPr>
            </w:pPr>
            <w:r w:rsidRPr="00F57CB1">
              <w:rPr>
                <w:rFonts w:ascii="Arial" w:hAnsi="Arial" w:cs="Arial"/>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7444A70C" w14:textId="77777777" w:rsidR="00C855DD" w:rsidRPr="00F57CB1" w:rsidRDefault="00C855DD" w:rsidP="00C855DD">
            <w:pPr>
              <w:keepLines/>
              <w:widowControl w:val="0"/>
              <w:jc w:val="center"/>
              <w:rPr>
                <w:rFonts w:ascii="Arial" w:hAnsi="Arial" w:cs="Arial"/>
              </w:rPr>
            </w:pPr>
            <w:r w:rsidRPr="00F57CB1">
              <w:rPr>
                <w:rFonts w:ascii="Arial" w:hAnsi="Arial" w:cs="Arial"/>
              </w:rPr>
              <w:t>0%</w:t>
            </w:r>
          </w:p>
        </w:tc>
        <w:tc>
          <w:tcPr>
            <w:tcW w:w="1417" w:type="dxa"/>
            <w:tcBorders>
              <w:top w:val="single" w:sz="4" w:space="0" w:color="auto"/>
              <w:left w:val="single" w:sz="4" w:space="0" w:color="auto"/>
              <w:bottom w:val="single" w:sz="4" w:space="0" w:color="auto"/>
              <w:right w:val="single" w:sz="4" w:space="0" w:color="auto"/>
            </w:tcBorders>
          </w:tcPr>
          <w:p w14:paraId="08C95C37" w14:textId="36F61DCE" w:rsidR="00C855DD" w:rsidRPr="00F57CB1" w:rsidRDefault="00C855DD" w:rsidP="00C855DD">
            <w:pPr>
              <w:keepNext/>
              <w:keepLines/>
              <w:widowControl w:val="0"/>
              <w:jc w:val="center"/>
              <w:rPr>
                <w:rFonts w:ascii="Arial" w:hAnsi="Arial" w:cs="Arial"/>
              </w:rPr>
            </w:pPr>
            <w:r w:rsidRPr="00502D7A">
              <w:rPr>
                <w:rFonts w:ascii="Arial" w:hAnsi="Arial" w:cs="Arial"/>
              </w:rPr>
              <w:t>Yes</w:t>
            </w:r>
          </w:p>
        </w:tc>
      </w:tr>
    </w:tbl>
    <w:p w14:paraId="43598296" w14:textId="77777777" w:rsidR="001634BE" w:rsidRPr="00E76963" w:rsidRDefault="001634BE" w:rsidP="00365448">
      <w:pPr>
        <w:pStyle w:val="ListParagraph"/>
        <w:spacing w:after="240"/>
        <w:rPr>
          <w:rFonts w:ascii="Arial" w:hAnsi="Arial" w:cs="Arial"/>
          <w:b/>
          <w:highlight w:val="yellow"/>
        </w:rPr>
      </w:pPr>
    </w:p>
    <w:p w14:paraId="5BF38B2F" w14:textId="54CD45B1" w:rsidR="00365448" w:rsidRPr="003131E3" w:rsidRDefault="005F19D8" w:rsidP="001D2B87">
      <w:pPr>
        <w:pStyle w:val="Heading6"/>
      </w:pPr>
      <w:r w:rsidRPr="003131E3">
        <w:t xml:space="preserve">Principal </w:t>
      </w:r>
      <w:r w:rsidR="00977FF4" w:rsidRPr="003131E3">
        <w:t>s</w:t>
      </w:r>
      <w:r w:rsidRPr="003131E3">
        <w:t xml:space="preserve">ums </w:t>
      </w:r>
      <w:r w:rsidR="00977FF4" w:rsidRPr="003131E3">
        <w:t>i</w:t>
      </w:r>
      <w:r w:rsidRPr="003131E3">
        <w:t xml:space="preserve">nvested for </w:t>
      </w:r>
      <w:r w:rsidR="00977FF4" w:rsidRPr="003131E3">
        <w:t>p</w:t>
      </w:r>
      <w:r w:rsidRPr="003131E3">
        <w:t xml:space="preserve">eriods </w:t>
      </w:r>
      <w:r w:rsidR="00977FF4" w:rsidRPr="003131E3">
        <w:t>l</w:t>
      </w:r>
      <w:r w:rsidRPr="003131E3">
        <w:t xml:space="preserve">onger than </w:t>
      </w:r>
      <w:r w:rsidR="00AD07AA" w:rsidRPr="003131E3">
        <w:t>a year</w:t>
      </w:r>
    </w:p>
    <w:p w14:paraId="292F69FC" w14:textId="7F0A775F" w:rsidR="005F19D8" w:rsidRPr="003131E3" w:rsidRDefault="005F19D8" w:rsidP="003C3808">
      <w:pPr>
        <w:pStyle w:val="ListParagraph"/>
        <w:numPr>
          <w:ilvl w:val="1"/>
          <w:numId w:val="2"/>
        </w:numPr>
        <w:spacing w:after="240"/>
        <w:ind w:left="720" w:hanging="720"/>
        <w:rPr>
          <w:rFonts w:ascii="Arial" w:hAnsi="Arial" w:cs="Arial"/>
        </w:rPr>
      </w:pPr>
      <w:r w:rsidRPr="003131E3">
        <w:rPr>
          <w:rFonts w:ascii="Arial" w:hAnsi="Arial" w:cs="Arial"/>
        </w:rPr>
        <w:t xml:space="preserve">The purpose of this indicator is to control the </w:t>
      </w:r>
      <w:r w:rsidR="00365448" w:rsidRPr="003131E3">
        <w:rPr>
          <w:rFonts w:ascii="Arial" w:hAnsi="Arial" w:cs="Arial"/>
        </w:rPr>
        <w:t>OPCC</w:t>
      </w:r>
      <w:r w:rsidRPr="003131E3">
        <w:rPr>
          <w:rFonts w:ascii="Arial" w:hAnsi="Arial" w:cs="Arial"/>
        </w:rPr>
        <w:t>’s exposure to the risk of incurring losses by seeking early repayment of its investments.</w:t>
      </w:r>
      <w:r w:rsidR="00AD07AA" w:rsidRPr="003131E3">
        <w:rPr>
          <w:rFonts w:ascii="Arial" w:hAnsi="Arial" w:cs="Arial"/>
        </w:rPr>
        <w:t xml:space="preserve">  The limits on the long-term principal sum invested to final maturities beyond the period end were:</w:t>
      </w:r>
    </w:p>
    <w:tbl>
      <w:tblPr>
        <w:tblW w:w="0" w:type="auto"/>
        <w:tblLayout w:type="fixed"/>
        <w:tblLook w:val="04A0" w:firstRow="1" w:lastRow="0" w:firstColumn="1" w:lastColumn="0" w:noHBand="0" w:noVBand="1"/>
        <w:tblCaption w:val="Table 11: Price risk indicator"/>
      </w:tblPr>
      <w:tblGrid>
        <w:gridCol w:w="4835"/>
        <w:gridCol w:w="1417"/>
        <w:gridCol w:w="1417"/>
        <w:gridCol w:w="1417"/>
      </w:tblGrid>
      <w:tr w:rsidR="004C042A" w:rsidRPr="003131E3" w14:paraId="099E4C60" w14:textId="77777777" w:rsidTr="00E77DD8">
        <w:trPr>
          <w:trHeight w:val="340"/>
          <w:tblHeader/>
        </w:trPr>
        <w:tc>
          <w:tcPr>
            <w:tcW w:w="4835" w:type="dxa"/>
            <w:tcBorders>
              <w:top w:val="single" w:sz="4" w:space="0" w:color="auto"/>
              <w:left w:val="single" w:sz="4" w:space="0" w:color="auto"/>
              <w:bottom w:val="single" w:sz="4" w:space="0" w:color="auto"/>
              <w:right w:val="single" w:sz="4" w:space="0" w:color="auto"/>
            </w:tcBorders>
            <w:shd w:val="clear" w:color="auto" w:fill="auto"/>
          </w:tcPr>
          <w:p w14:paraId="072C5F99" w14:textId="78D61316" w:rsidR="004C042A" w:rsidRPr="003131E3" w:rsidRDefault="00977FF4" w:rsidP="00977FF4">
            <w:pPr>
              <w:rPr>
                <w:rFonts w:ascii="Arial" w:hAnsi="Arial" w:cs="Arial"/>
                <w:b/>
              </w:rPr>
            </w:pPr>
            <w:r w:rsidRPr="003131E3">
              <w:rPr>
                <w:rFonts w:ascii="Arial" w:hAnsi="Arial" w:cs="Arial"/>
                <w:b/>
              </w:rPr>
              <w:t>Table 11: Price risk indicator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5C2BA0" w14:textId="18A785E6" w:rsidR="004C042A" w:rsidRPr="003131E3" w:rsidRDefault="004C042A" w:rsidP="00977FF4">
            <w:pPr>
              <w:jc w:val="center"/>
              <w:rPr>
                <w:rFonts w:ascii="Arial" w:hAnsi="Arial" w:cs="Arial"/>
                <w:b/>
              </w:rPr>
            </w:pPr>
            <w:r w:rsidRPr="003131E3">
              <w:rPr>
                <w:rFonts w:ascii="Arial" w:hAnsi="Arial" w:cs="Arial"/>
                <w:b/>
              </w:rPr>
              <w:t>2020</w:t>
            </w:r>
            <w:r w:rsidR="003131E3" w:rsidRPr="003131E3">
              <w:rPr>
                <w:rFonts w:ascii="Arial" w:hAnsi="Arial" w:cs="Arial"/>
                <w:b/>
              </w:rPr>
              <w:t>/21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027810" w14:textId="210575E2" w:rsidR="004C042A" w:rsidRPr="003131E3" w:rsidRDefault="004C042A" w:rsidP="00977FF4">
            <w:pPr>
              <w:jc w:val="center"/>
              <w:rPr>
                <w:rFonts w:ascii="Arial" w:hAnsi="Arial" w:cs="Arial"/>
                <w:b/>
              </w:rPr>
            </w:pPr>
            <w:r w:rsidRPr="003131E3">
              <w:rPr>
                <w:rFonts w:ascii="Arial" w:hAnsi="Arial" w:cs="Arial"/>
                <w:b/>
              </w:rPr>
              <w:t>2021</w:t>
            </w:r>
            <w:r w:rsidR="003131E3" w:rsidRPr="003131E3">
              <w:rPr>
                <w:rFonts w:ascii="Arial" w:hAnsi="Arial" w:cs="Arial"/>
                <w:b/>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C4B69D" w14:textId="7A579CB9" w:rsidR="004C042A" w:rsidRPr="003131E3" w:rsidRDefault="004C042A" w:rsidP="00977FF4">
            <w:pPr>
              <w:jc w:val="center"/>
              <w:rPr>
                <w:rFonts w:ascii="Arial" w:hAnsi="Arial" w:cs="Arial"/>
                <w:b/>
              </w:rPr>
            </w:pPr>
            <w:r w:rsidRPr="003131E3">
              <w:rPr>
                <w:rFonts w:ascii="Arial" w:hAnsi="Arial" w:cs="Arial"/>
                <w:b/>
              </w:rPr>
              <w:t>2022</w:t>
            </w:r>
            <w:r w:rsidR="003131E3" w:rsidRPr="003131E3">
              <w:rPr>
                <w:rFonts w:ascii="Arial" w:hAnsi="Arial" w:cs="Arial"/>
                <w:b/>
              </w:rPr>
              <w:t>/23</w:t>
            </w:r>
          </w:p>
        </w:tc>
      </w:tr>
      <w:tr w:rsidR="001634BE" w:rsidRPr="003131E3" w14:paraId="2947C371" w14:textId="77777777" w:rsidTr="001634BE">
        <w:trPr>
          <w:trHeight w:val="34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18E4C037" w14:textId="77777777" w:rsidR="001634BE" w:rsidRPr="003131E3" w:rsidRDefault="001634BE" w:rsidP="00B41031">
            <w:pPr>
              <w:rPr>
                <w:rFonts w:ascii="Arial" w:hAnsi="Arial" w:cs="Arial"/>
                <w:bCs/>
              </w:rPr>
            </w:pPr>
            <w:r w:rsidRPr="003131E3">
              <w:rPr>
                <w:rFonts w:ascii="Arial" w:hAnsi="Arial" w:cs="Arial"/>
                <w:bCs/>
              </w:rPr>
              <w:t>Actual principal invested beyond year end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AEC072" w14:textId="196FC014" w:rsidR="001634BE" w:rsidRPr="003131E3" w:rsidRDefault="00761536" w:rsidP="00623235">
            <w:pPr>
              <w:jc w:val="center"/>
              <w:rPr>
                <w:rFonts w:ascii="Arial" w:hAnsi="Arial" w:cs="Arial"/>
                <w:bCs/>
              </w:rPr>
            </w:pPr>
            <w:r w:rsidRPr="003131E3">
              <w:rPr>
                <w:rFonts w:ascii="Arial" w:hAnsi="Arial" w:cs="Arial"/>
                <w:bCs/>
              </w:rPr>
              <w:t>£</w:t>
            </w:r>
            <w:r w:rsidR="003131E3" w:rsidRPr="003131E3">
              <w:rPr>
                <w:rFonts w:ascii="Arial" w:hAnsi="Arial" w:cs="Arial"/>
                <w:bCs/>
              </w:rPr>
              <w:t>11</w:t>
            </w:r>
            <w:r w:rsidRPr="003131E3">
              <w:rPr>
                <w:rFonts w:ascii="Arial" w:hAnsi="Arial" w:cs="Arial"/>
                <w:bCs/>
              </w:rP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198D50" w14:textId="38B25C8A" w:rsidR="001634BE" w:rsidRPr="003131E3" w:rsidRDefault="00B80378" w:rsidP="00623235">
            <w:pPr>
              <w:jc w:val="center"/>
              <w:rPr>
                <w:rFonts w:ascii="Arial" w:hAnsi="Arial" w:cs="Arial"/>
                <w:bCs/>
              </w:rPr>
            </w:pPr>
            <w:r w:rsidRPr="003131E3">
              <w:rPr>
                <w:rFonts w:ascii="Arial" w:hAnsi="Arial" w:cs="Arial"/>
                <w:bCs/>
              </w:rPr>
              <w:t>£</w:t>
            </w:r>
            <w:r w:rsidR="003131E3" w:rsidRPr="003131E3">
              <w:rPr>
                <w:rFonts w:ascii="Arial" w:hAnsi="Arial" w:cs="Arial"/>
                <w:bCs/>
              </w:rPr>
              <w:t>11</w:t>
            </w:r>
            <w:r w:rsidRPr="003131E3">
              <w:rPr>
                <w:rFonts w:ascii="Arial" w:hAnsi="Arial" w:cs="Arial"/>
                <w:bCs/>
              </w:rP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4EFCDF" w14:textId="0C9F6979" w:rsidR="001634BE" w:rsidRPr="003131E3" w:rsidRDefault="00B80378" w:rsidP="00623235">
            <w:pPr>
              <w:jc w:val="center"/>
              <w:rPr>
                <w:rFonts w:ascii="Arial" w:hAnsi="Arial" w:cs="Arial"/>
                <w:bCs/>
              </w:rPr>
            </w:pPr>
            <w:r w:rsidRPr="003131E3">
              <w:rPr>
                <w:rFonts w:ascii="Arial" w:hAnsi="Arial" w:cs="Arial"/>
                <w:bCs/>
              </w:rPr>
              <w:t>£</w:t>
            </w:r>
            <w:r w:rsidR="003131E3" w:rsidRPr="003131E3">
              <w:rPr>
                <w:rFonts w:ascii="Arial" w:hAnsi="Arial" w:cs="Arial"/>
                <w:bCs/>
              </w:rPr>
              <w:t>9</w:t>
            </w:r>
            <w:r w:rsidRPr="003131E3">
              <w:rPr>
                <w:rFonts w:ascii="Arial" w:hAnsi="Arial" w:cs="Arial"/>
                <w:bCs/>
              </w:rPr>
              <w:t>m</w:t>
            </w:r>
          </w:p>
        </w:tc>
      </w:tr>
      <w:tr w:rsidR="00BA4E55" w:rsidRPr="003131E3" w14:paraId="00E39E94" w14:textId="77777777" w:rsidTr="001634BE">
        <w:trPr>
          <w:trHeight w:val="34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41218404" w14:textId="77777777" w:rsidR="00BA4E55" w:rsidRPr="003131E3" w:rsidRDefault="00BA4E55" w:rsidP="00B41031">
            <w:pPr>
              <w:rPr>
                <w:rFonts w:ascii="Arial" w:hAnsi="Arial" w:cs="Arial"/>
                <w:bCs/>
              </w:rPr>
            </w:pPr>
            <w:r w:rsidRPr="003131E3">
              <w:rPr>
                <w:rFonts w:ascii="Arial" w:hAnsi="Arial" w:cs="Arial"/>
                <w:bCs/>
              </w:rPr>
              <w:t>Limit on principal invested beyond year end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D26F9C" w14:textId="2A9C31E2" w:rsidR="00BA4E55" w:rsidRPr="003131E3" w:rsidRDefault="00E67D98" w:rsidP="00623235">
            <w:pPr>
              <w:jc w:val="center"/>
              <w:rPr>
                <w:rFonts w:ascii="Arial" w:hAnsi="Arial" w:cs="Arial"/>
                <w:bCs/>
              </w:rPr>
            </w:pPr>
            <w:r w:rsidRPr="003131E3">
              <w:rPr>
                <w:rFonts w:ascii="Arial" w:hAnsi="Arial" w:cs="Arial"/>
                <w:bCs/>
              </w:rPr>
              <w:t>£</w:t>
            </w:r>
            <w:r w:rsidR="003131E3" w:rsidRPr="003131E3">
              <w:rPr>
                <w:rFonts w:ascii="Arial" w:hAnsi="Arial" w:cs="Arial"/>
                <w:bCs/>
              </w:rPr>
              <w:t>15</w:t>
            </w:r>
            <w:r w:rsidRPr="003131E3">
              <w:rPr>
                <w:rFonts w:ascii="Arial" w:hAnsi="Arial" w:cs="Arial"/>
                <w:bCs/>
              </w:rP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108B90" w14:textId="43248E60" w:rsidR="00BA4E55" w:rsidRPr="003131E3" w:rsidRDefault="00E67D98" w:rsidP="00623235">
            <w:pPr>
              <w:jc w:val="center"/>
              <w:rPr>
                <w:rFonts w:ascii="Arial" w:hAnsi="Arial" w:cs="Arial"/>
                <w:bCs/>
              </w:rPr>
            </w:pPr>
            <w:r w:rsidRPr="003131E3">
              <w:rPr>
                <w:rFonts w:ascii="Arial" w:hAnsi="Arial" w:cs="Arial"/>
                <w:bCs/>
              </w:rPr>
              <w:t>£</w:t>
            </w:r>
            <w:r w:rsidR="004C042A" w:rsidRPr="003131E3">
              <w:rPr>
                <w:rFonts w:ascii="Arial" w:hAnsi="Arial" w:cs="Arial"/>
                <w:bCs/>
              </w:rPr>
              <w:t>1</w:t>
            </w:r>
            <w:r w:rsidRPr="003131E3">
              <w:rPr>
                <w:rFonts w:ascii="Arial" w:hAnsi="Arial" w:cs="Arial"/>
                <w:bCs/>
              </w:rPr>
              <w:t>5m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C6EFA1" w14:textId="7A4F7DFA" w:rsidR="00BA4E55" w:rsidRPr="003131E3" w:rsidRDefault="00E67D98" w:rsidP="00623235">
            <w:pPr>
              <w:jc w:val="center"/>
              <w:rPr>
                <w:rFonts w:ascii="Arial" w:hAnsi="Arial" w:cs="Arial"/>
                <w:bCs/>
              </w:rPr>
            </w:pPr>
            <w:r w:rsidRPr="003131E3">
              <w:rPr>
                <w:rFonts w:ascii="Arial" w:hAnsi="Arial" w:cs="Arial"/>
                <w:bCs/>
              </w:rPr>
              <w:t>£</w:t>
            </w:r>
            <w:r w:rsidR="004C042A" w:rsidRPr="003131E3">
              <w:rPr>
                <w:rFonts w:ascii="Arial" w:hAnsi="Arial" w:cs="Arial"/>
                <w:bCs/>
              </w:rPr>
              <w:t>1</w:t>
            </w:r>
            <w:r w:rsidRPr="003131E3">
              <w:rPr>
                <w:rFonts w:ascii="Arial" w:hAnsi="Arial" w:cs="Arial"/>
                <w:bCs/>
              </w:rPr>
              <w:t>5m</w:t>
            </w:r>
          </w:p>
        </w:tc>
      </w:tr>
      <w:tr w:rsidR="00B80378" w:rsidRPr="00E76963" w14:paraId="4CF4EF6C" w14:textId="77777777" w:rsidTr="001634BE">
        <w:trPr>
          <w:trHeight w:val="34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374731E3" w14:textId="77777777" w:rsidR="00B80378" w:rsidRPr="003131E3" w:rsidRDefault="00B80378" w:rsidP="00BA4E55">
            <w:pPr>
              <w:rPr>
                <w:rFonts w:ascii="Arial" w:hAnsi="Arial" w:cs="Arial"/>
                <w:bCs/>
              </w:rPr>
            </w:pPr>
            <w:r w:rsidRPr="003131E3">
              <w:rPr>
                <w:rFonts w:ascii="Arial" w:hAnsi="Arial" w:cs="Arial"/>
                <w:bCs/>
              </w:rPr>
              <w:t>Complied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51AC0E" w14:textId="0A666002" w:rsidR="00B80378" w:rsidRPr="003131E3" w:rsidRDefault="00C855DD" w:rsidP="00C855DD">
            <w:pPr>
              <w:keepNext/>
              <w:keepLines/>
              <w:widowControl w:val="0"/>
              <w:ind w:left="360"/>
              <w:rPr>
                <w:rFonts w:ascii="Arial" w:hAnsi="Arial" w:cs="Arial"/>
              </w:rPr>
            </w:pPr>
            <w:r>
              <w:rPr>
                <w:rFonts w:ascii="Arial" w:hAnsi="Arial" w:cs="Arial"/>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426B2D" w14:textId="147DF5EF" w:rsidR="00B80378" w:rsidRPr="003131E3" w:rsidRDefault="00C855DD" w:rsidP="00C855DD">
            <w:pPr>
              <w:keepNext/>
              <w:keepLines/>
              <w:widowControl w:val="0"/>
              <w:jc w:val="center"/>
              <w:rPr>
                <w:rFonts w:ascii="Arial" w:hAnsi="Arial" w:cs="Arial"/>
              </w:rPr>
            </w:pPr>
            <w:r>
              <w:rPr>
                <w:rFonts w:ascii="Arial" w:hAnsi="Arial" w:cs="Arial"/>
              </w:rPr>
              <w:t>Yes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16923D" w14:textId="3F50970F" w:rsidR="00B80378" w:rsidRPr="003131E3" w:rsidRDefault="00C855DD" w:rsidP="00C855DD">
            <w:pPr>
              <w:keepNext/>
              <w:keepLines/>
              <w:widowControl w:val="0"/>
              <w:jc w:val="center"/>
              <w:rPr>
                <w:rFonts w:ascii="Arial" w:hAnsi="Arial" w:cs="Arial"/>
              </w:rPr>
            </w:pPr>
            <w:r>
              <w:rPr>
                <w:rFonts w:ascii="Arial" w:hAnsi="Arial" w:cs="Arial"/>
              </w:rPr>
              <w:t>Yes</w:t>
            </w:r>
          </w:p>
        </w:tc>
      </w:tr>
    </w:tbl>
    <w:p w14:paraId="36E90CCC" w14:textId="77777777" w:rsidR="00804EDB" w:rsidRPr="00E76963" w:rsidRDefault="00804EDB" w:rsidP="00804EDB">
      <w:pPr>
        <w:pStyle w:val="ListParagraph"/>
        <w:spacing w:after="240"/>
        <w:rPr>
          <w:rFonts w:ascii="Arial" w:hAnsi="Arial" w:cs="Arial"/>
          <w:highlight w:val="yellow"/>
        </w:rPr>
      </w:pPr>
    </w:p>
    <w:p w14:paraId="6B91E417" w14:textId="7784A23B" w:rsidR="003B3C50" w:rsidRPr="004563B5" w:rsidRDefault="00D02E5B" w:rsidP="00D02E5B">
      <w:pPr>
        <w:pStyle w:val="ListParagraph"/>
        <w:numPr>
          <w:ilvl w:val="1"/>
          <w:numId w:val="2"/>
        </w:numPr>
        <w:spacing w:after="240"/>
        <w:ind w:left="720" w:hanging="720"/>
        <w:rPr>
          <w:rFonts w:ascii="Arial" w:hAnsi="Arial" w:cs="Arial"/>
        </w:rPr>
      </w:pPr>
      <w:r w:rsidRPr="004563B5">
        <w:rPr>
          <w:rFonts w:ascii="Arial" w:hAnsi="Arial" w:cs="Arial"/>
        </w:rPr>
        <w:t>The table includes investments in strategic pooled funds of £</w:t>
      </w:r>
      <w:r w:rsidR="004563B5" w:rsidRPr="004563B5">
        <w:rPr>
          <w:rFonts w:ascii="Arial" w:hAnsi="Arial" w:cs="Arial"/>
        </w:rPr>
        <w:t>9</w:t>
      </w:r>
      <w:r w:rsidRPr="004563B5">
        <w:rPr>
          <w:rFonts w:ascii="Arial" w:hAnsi="Arial" w:cs="Arial"/>
        </w:rPr>
        <w:t>m as although these can usually be redeemed at short notice, the OPCC intends to hold these investments for at least the medium term.</w:t>
      </w:r>
    </w:p>
    <w:sectPr w:rsidR="003B3C50" w:rsidRPr="004563B5" w:rsidSect="00B83A56">
      <w:headerReference w:type="default" r:id="rId13"/>
      <w:headerReference w:type="first" r:id="rId14"/>
      <w:pgSz w:w="11907" w:h="16840" w:code="9"/>
      <w:pgMar w:top="1440" w:right="1440" w:bottom="1440"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5035D" w14:textId="77777777" w:rsidR="00EE395D" w:rsidRDefault="00EE395D">
      <w:r>
        <w:separator/>
      </w:r>
    </w:p>
  </w:endnote>
  <w:endnote w:type="continuationSeparator" w:id="0">
    <w:p w14:paraId="40A69BD1" w14:textId="77777777" w:rsidR="00EE395D" w:rsidRDefault="00EE395D">
      <w:r>
        <w:continuationSeparator/>
      </w:r>
    </w:p>
  </w:endnote>
  <w:endnote w:type="continuationNotice" w:id="1">
    <w:p w14:paraId="719CD9F3" w14:textId="77777777" w:rsidR="00EE395D" w:rsidRDefault="00EE3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76CCD" w14:textId="77777777" w:rsidR="00EE395D" w:rsidRDefault="00EE395D">
      <w:r>
        <w:separator/>
      </w:r>
    </w:p>
  </w:footnote>
  <w:footnote w:type="continuationSeparator" w:id="0">
    <w:p w14:paraId="2CB3F8B5" w14:textId="77777777" w:rsidR="00EE395D" w:rsidRDefault="00EE395D">
      <w:r>
        <w:continuationSeparator/>
      </w:r>
    </w:p>
  </w:footnote>
  <w:footnote w:type="continuationNotice" w:id="1">
    <w:p w14:paraId="6701E605" w14:textId="77777777" w:rsidR="00EE395D" w:rsidRDefault="00EE39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D244" w14:textId="34614390" w:rsidR="00EE395D" w:rsidRDefault="00EE395D" w:rsidP="00B83A56">
    <w:pPr>
      <w:pStyle w:val="Header"/>
      <w:ind w:left="360"/>
      <w:jc w:val="right"/>
    </w:pPr>
    <w:r>
      <w:rPr>
        <w:noProof/>
        <w:lang w:eastAsia="en-GB"/>
      </w:rPr>
      <w:drawing>
        <wp:inline distT="0" distB="0" distL="0" distR="0" wp14:anchorId="482CA1DB" wp14:editId="737941AB">
          <wp:extent cx="1508125" cy="937895"/>
          <wp:effectExtent l="0" t="0" r="0" b="0"/>
          <wp:docPr id="28" name="Picture 28" title="Police and Crime Commissio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Z:\Office of the Police &amp; Crime Commissioner\Communications &amp; Engagement\Branding\Graphics and artwork\OPCC Branding May 2021\Logos\Logo-OPCC-2021-Colour 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25" cy="937895"/>
                  </a:xfrm>
                  <a:prstGeom prst="rect">
                    <a:avLst/>
                  </a:prstGeom>
                  <a:noFill/>
                  <a:ln>
                    <a:noFill/>
                  </a:ln>
                </pic:spPr>
              </pic:pic>
            </a:graphicData>
          </a:graphic>
        </wp:inline>
      </w:drawing>
    </w:r>
  </w:p>
  <w:p w14:paraId="34217211" w14:textId="77777777" w:rsidR="00EE395D" w:rsidRDefault="00EE395D" w:rsidP="001634BE">
    <w:pPr>
      <w:pStyle w:val="Header"/>
      <w:ind w:left="360"/>
      <w:jc w:val="center"/>
      <w:rPr>
        <w:rFonts w:ascii="Arial" w:hAnsi="Arial" w:cs="Arial"/>
      </w:rPr>
    </w:pPr>
    <w:r w:rsidRPr="00B23736">
      <w:rPr>
        <w:rFonts w:ascii="Arial" w:hAnsi="Arial" w:cs="Arial"/>
      </w:rPr>
      <w:t>- NOT PROTECTIVELY MARKED/PROTECT/RESTRICTED -</w:t>
    </w:r>
  </w:p>
  <w:p w14:paraId="0221B738" w14:textId="77777777" w:rsidR="00EE395D" w:rsidRPr="00382A4E" w:rsidRDefault="00EE395D" w:rsidP="00365448">
    <w:pPr>
      <w:pStyle w:val="Header"/>
      <w:ind w:left="360"/>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53C2" w14:textId="49E5A289" w:rsidR="00EE395D" w:rsidRDefault="00EE395D" w:rsidP="0051299B">
    <w:pPr>
      <w:pStyle w:val="Header"/>
      <w:ind w:left="360"/>
      <w:jc w:val="right"/>
      <w:rPr>
        <w:rFonts w:ascii="Arial" w:hAnsi="Arial" w:cs="Arial"/>
      </w:rPr>
    </w:pPr>
    <w:r>
      <w:rPr>
        <w:noProof/>
        <w:lang w:eastAsia="en-GB"/>
      </w:rPr>
      <w:drawing>
        <wp:inline distT="0" distB="0" distL="0" distR="0" wp14:anchorId="5527190A" wp14:editId="1ED76FB8">
          <wp:extent cx="2802890" cy="783590"/>
          <wp:effectExtent l="0" t="0" r="0" b="0"/>
          <wp:docPr id="27" name="Picture 14205603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056035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2890" cy="783590"/>
                  </a:xfrm>
                  <a:prstGeom prst="rect">
                    <a:avLst/>
                  </a:prstGeom>
                  <a:noFill/>
                  <a:ln>
                    <a:noFill/>
                  </a:ln>
                </pic:spPr>
              </pic:pic>
            </a:graphicData>
          </a:graphic>
        </wp:inline>
      </w:drawing>
    </w:r>
  </w:p>
  <w:p w14:paraId="01852A79" w14:textId="77777777" w:rsidR="00EE395D" w:rsidRDefault="00EE395D" w:rsidP="0051299B">
    <w:pPr>
      <w:pStyle w:val="Header"/>
      <w:ind w:left="360"/>
      <w:jc w:val="center"/>
      <w:rPr>
        <w:rFonts w:ascii="Arial" w:hAnsi="Arial" w:cs="Arial"/>
      </w:rPr>
    </w:pPr>
  </w:p>
  <w:p w14:paraId="6CBB1422" w14:textId="77777777" w:rsidR="00EE395D" w:rsidRDefault="00EE395D" w:rsidP="0051299B">
    <w:pPr>
      <w:pStyle w:val="Header"/>
      <w:ind w:left="360"/>
      <w:jc w:val="center"/>
      <w:rPr>
        <w:rFonts w:ascii="Arial" w:hAnsi="Arial" w:cs="Arial"/>
      </w:rPr>
    </w:pPr>
    <w:r>
      <w:rPr>
        <w:rFonts w:ascii="Arial" w:hAnsi="Arial" w:cs="Arial"/>
      </w:rPr>
      <w:t xml:space="preserve">- </w:t>
    </w:r>
    <w:r w:rsidRPr="00382A4E">
      <w:rPr>
        <w:rFonts w:ascii="Arial" w:hAnsi="Arial" w:cs="Arial"/>
      </w:rPr>
      <w:t>NOT PROTECTIVELY MARKED</w:t>
    </w:r>
    <w:r>
      <w:rPr>
        <w:rFonts w:ascii="Arial" w:hAnsi="Arial" w:cs="Arial"/>
      </w:rPr>
      <w:t>/PROTECT/RESTRICTED –</w:t>
    </w:r>
  </w:p>
  <w:p w14:paraId="600054B0" w14:textId="77777777" w:rsidR="00EE395D" w:rsidRDefault="00EE395D" w:rsidP="0051299B">
    <w:pPr>
      <w:pStyle w:val="Header"/>
      <w:ind w:left="360"/>
      <w:jc w:val="center"/>
      <w:rPr>
        <w:rFonts w:ascii="Arial" w:hAnsi="Arial" w:cs="Arial"/>
      </w:rPr>
    </w:pPr>
    <w:r>
      <w:rPr>
        <w:rFonts w:ascii="Arial" w:hAnsi="Arial" w:cs="Arial"/>
      </w:rPr>
      <w:tab/>
    </w:r>
    <w:r>
      <w:rPr>
        <w:rFonts w:ascii="Arial" w:hAnsi="Arial" w:cs="Arial"/>
      </w:rPr>
      <w:tab/>
      <w:t>Appendix 1</w:t>
    </w:r>
  </w:p>
  <w:p w14:paraId="07BDBE61" w14:textId="77777777" w:rsidR="00EE395D" w:rsidRPr="00382A4E" w:rsidRDefault="00EE395D" w:rsidP="0051299B">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79F"/>
    <w:multiLevelType w:val="hybridMultilevel"/>
    <w:tmpl w:val="A690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1075"/>
    <w:multiLevelType w:val="hybridMultilevel"/>
    <w:tmpl w:val="2F66C690"/>
    <w:lvl w:ilvl="0" w:tplc="EC32EF48">
      <w:start w:val="5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887BF7"/>
    <w:multiLevelType w:val="multilevel"/>
    <w:tmpl w:val="60F2B56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655A1B"/>
    <w:multiLevelType w:val="hybridMultilevel"/>
    <w:tmpl w:val="B380C31C"/>
    <w:lvl w:ilvl="0" w:tplc="8A26586A">
      <w:start w:val="2"/>
      <w:numFmt w:val="bullet"/>
      <w:lvlText w:val="-"/>
      <w:lvlJc w:val="left"/>
      <w:pPr>
        <w:ind w:left="720" w:hanging="360"/>
      </w:pPr>
      <w:rPr>
        <w:rFonts w:ascii="Trebuchet MS" w:eastAsia="Times New Roman" w:hAnsi="Trebuchet MS" w:cs="Arial" w:hint="default"/>
      </w:rPr>
    </w:lvl>
    <w:lvl w:ilvl="1" w:tplc="8A26586A">
      <w:start w:val="2"/>
      <w:numFmt w:val="bullet"/>
      <w:lvlText w:val="-"/>
      <w:lvlJc w:val="left"/>
      <w:pPr>
        <w:ind w:left="1440" w:hanging="360"/>
      </w:pPr>
      <w:rPr>
        <w:rFonts w:ascii="Trebuchet MS" w:eastAsia="Times New Roman" w:hAnsi="Trebuchet M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9D3741"/>
    <w:multiLevelType w:val="hybridMultilevel"/>
    <w:tmpl w:val="04243922"/>
    <w:lvl w:ilvl="0" w:tplc="A7584E96">
      <w:start w:val="1"/>
      <w:numFmt w:val="decimal"/>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E42543"/>
    <w:multiLevelType w:val="hybridMultilevel"/>
    <w:tmpl w:val="B44679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804E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num>
  <w:num w:numId="3">
    <w:abstractNumId w:val="5"/>
  </w:num>
  <w:num w:numId="4">
    <w:abstractNumId w:val="5"/>
  </w:num>
  <w:num w:numId="5">
    <w:abstractNumId w:val="0"/>
  </w:num>
  <w:num w:numId="6">
    <w:abstractNumId w:val="2"/>
  </w:num>
  <w:num w:numId="7">
    <w:abstractNumId w:val="1"/>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0C"/>
    <w:rsid w:val="00000C34"/>
    <w:rsid w:val="00003E24"/>
    <w:rsid w:val="000040CD"/>
    <w:rsid w:val="00004136"/>
    <w:rsid w:val="000046E2"/>
    <w:rsid w:val="00005517"/>
    <w:rsid w:val="00005E19"/>
    <w:rsid w:val="00006165"/>
    <w:rsid w:val="00006BD7"/>
    <w:rsid w:val="00007AA2"/>
    <w:rsid w:val="0001064E"/>
    <w:rsid w:val="000108F3"/>
    <w:rsid w:val="00011951"/>
    <w:rsid w:val="0001331B"/>
    <w:rsid w:val="00013D13"/>
    <w:rsid w:val="00014022"/>
    <w:rsid w:val="000148B5"/>
    <w:rsid w:val="00014B4B"/>
    <w:rsid w:val="00014F0D"/>
    <w:rsid w:val="00015953"/>
    <w:rsid w:val="00015F36"/>
    <w:rsid w:val="00017398"/>
    <w:rsid w:val="000213A0"/>
    <w:rsid w:val="000232FE"/>
    <w:rsid w:val="00023423"/>
    <w:rsid w:val="00024AC7"/>
    <w:rsid w:val="00024DF4"/>
    <w:rsid w:val="00025364"/>
    <w:rsid w:val="00025DF5"/>
    <w:rsid w:val="00026EBD"/>
    <w:rsid w:val="00027768"/>
    <w:rsid w:val="00027E51"/>
    <w:rsid w:val="00031FDD"/>
    <w:rsid w:val="0003290B"/>
    <w:rsid w:val="0003555B"/>
    <w:rsid w:val="00035D17"/>
    <w:rsid w:val="00035E3F"/>
    <w:rsid w:val="00036181"/>
    <w:rsid w:val="0003753A"/>
    <w:rsid w:val="00037F69"/>
    <w:rsid w:val="0004183B"/>
    <w:rsid w:val="00041A67"/>
    <w:rsid w:val="000423FA"/>
    <w:rsid w:val="00042E30"/>
    <w:rsid w:val="00043816"/>
    <w:rsid w:val="00043A25"/>
    <w:rsid w:val="00043BF5"/>
    <w:rsid w:val="000441DF"/>
    <w:rsid w:val="000446C2"/>
    <w:rsid w:val="000461D1"/>
    <w:rsid w:val="000462E7"/>
    <w:rsid w:val="0004733F"/>
    <w:rsid w:val="0004746F"/>
    <w:rsid w:val="00047770"/>
    <w:rsid w:val="00047A0B"/>
    <w:rsid w:val="00047AF1"/>
    <w:rsid w:val="00047CDB"/>
    <w:rsid w:val="00047E7D"/>
    <w:rsid w:val="00050E27"/>
    <w:rsid w:val="00051F65"/>
    <w:rsid w:val="00052222"/>
    <w:rsid w:val="00052552"/>
    <w:rsid w:val="000525A4"/>
    <w:rsid w:val="00052758"/>
    <w:rsid w:val="0005293C"/>
    <w:rsid w:val="0005315E"/>
    <w:rsid w:val="000533C4"/>
    <w:rsid w:val="0005365D"/>
    <w:rsid w:val="000538CC"/>
    <w:rsid w:val="000543DC"/>
    <w:rsid w:val="0005471A"/>
    <w:rsid w:val="000550EF"/>
    <w:rsid w:val="00055142"/>
    <w:rsid w:val="00055FE3"/>
    <w:rsid w:val="00056450"/>
    <w:rsid w:val="0005645D"/>
    <w:rsid w:val="0005665D"/>
    <w:rsid w:val="00057C64"/>
    <w:rsid w:val="00057D9A"/>
    <w:rsid w:val="00060720"/>
    <w:rsid w:val="000608B1"/>
    <w:rsid w:val="00062780"/>
    <w:rsid w:val="000630CC"/>
    <w:rsid w:val="00064F5A"/>
    <w:rsid w:val="00065027"/>
    <w:rsid w:val="0006696B"/>
    <w:rsid w:val="00066DFB"/>
    <w:rsid w:val="000670C1"/>
    <w:rsid w:val="00067763"/>
    <w:rsid w:val="00067DC1"/>
    <w:rsid w:val="00067EA6"/>
    <w:rsid w:val="000708D8"/>
    <w:rsid w:val="00070D9F"/>
    <w:rsid w:val="00071401"/>
    <w:rsid w:val="00071513"/>
    <w:rsid w:val="00071E26"/>
    <w:rsid w:val="000731C4"/>
    <w:rsid w:val="00074DB9"/>
    <w:rsid w:val="00080508"/>
    <w:rsid w:val="0008073E"/>
    <w:rsid w:val="000810A6"/>
    <w:rsid w:val="0008168E"/>
    <w:rsid w:val="00081D9C"/>
    <w:rsid w:val="00083249"/>
    <w:rsid w:val="00084837"/>
    <w:rsid w:val="00084865"/>
    <w:rsid w:val="000852EF"/>
    <w:rsid w:val="0008644C"/>
    <w:rsid w:val="00086DFA"/>
    <w:rsid w:val="000873C5"/>
    <w:rsid w:val="00090706"/>
    <w:rsid w:val="00090A81"/>
    <w:rsid w:val="00092533"/>
    <w:rsid w:val="00092C57"/>
    <w:rsid w:val="000931C3"/>
    <w:rsid w:val="0009577C"/>
    <w:rsid w:val="00095CAC"/>
    <w:rsid w:val="000961B7"/>
    <w:rsid w:val="000969C9"/>
    <w:rsid w:val="000A007B"/>
    <w:rsid w:val="000A1BCC"/>
    <w:rsid w:val="000A2213"/>
    <w:rsid w:val="000A2D04"/>
    <w:rsid w:val="000A34E3"/>
    <w:rsid w:val="000A3A39"/>
    <w:rsid w:val="000A4959"/>
    <w:rsid w:val="000A4EB0"/>
    <w:rsid w:val="000A5718"/>
    <w:rsid w:val="000A6D81"/>
    <w:rsid w:val="000A7F06"/>
    <w:rsid w:val="000A7F14"/>
    <w:rsid w:val="000A7FAC"/>
    <w:rsid w:val="000B02C5"/>
    <w:rsid w:val="000B10A1"/>
    <w:rsid w:val="000B35FE"/>
    <w:rsid w:val="000B3B33"/>
    <w:rsid w:val="000B6A54"/>
    <w:rsid w:val="000B6FC0"/>
    <w:rsid w:val="000C0DDA"/>
    <w:rsid w:val="000C2A6F"/>
    <w:rsid w:val="000C5533"/>
    <w:rsid w:val="000C695B"/>
    <w:rsid w:val="000C715F"/>
    <w:rsid w:val="000C7379"/>
    <w:rsid w:val="000C7F08"/>
    <w:rsid w:val="000D1F1F"/>
    <w:rsid w:val="000D20F5"/>
    <w:rsid w:val="000D2479"/>
    <w:rsid w:val="000D3BF7"/>
    <w:rsid w:val="000D5019"/>
    <w:rsid w:val="000D662C"/>
    <w:rsid w:val="000D7217"/>
    <w:rsid w:val="000E0F9D"/>
    <w:rsid w:val="000E18FC"/>
    <w:rsid w:val="000E19CB"/>
    <w:rsid w:val="000E27CB"/>
    <w:rsid w:val="000E2E37"/>
    <w:rsid w:val="000E30E1"/>
    <w:rsid w:val="000E362F"/>
    <w:rsid w:val="000E4B71"/>
    <w:rsid w:val="000E4BE2"/>
    <w:rsid w:val="000E5204"/>
    <w:rsid w:val="000E6710"/>
    <w:rsid w:val="000E6E0C"/>
    <w:rsid w:val="000E6E49"/>
    <w:rsid w:val="000E6FAB"/>
    <w:rsid w:val="000E70F3"/>
    <w:rsid w:val="000E7BC2"/>
    <w:rsid w:val="000E7E38"/>
    <w:rsid w:val="000F01F5"/>
    <w:rsid w:val="000F1AC7"/>
    <w:rsid w:val="000F20A9"/>
    <w:rsid w:val="000F29A8"/>
    <w:rsid w:val="000F29C3"/>
    <w:rsid w:val="000F3805"/>
    <w:rsid w:val="000F476E"/>
    <w:rsid w:val="000F4C13"/>
    <w:rsid w:val="000F75EC"/>
    <w:rsid w:val="00101648"/>
    <w:rsid w:val="00102F57"/>
    <w:rsid w:val="00103CAA"/>
    <w:rsid w:val="00103E74"/>
    <w:rsid w:val="00104982"/>
    <w:rsid w:val="00104BC3"/>
    <w:rsid w:val="00104D10"/>
    <w:rsid w:val="00104EEF"/>
    <w:rsid w:val="0010570C"/>
    <w:rsid w:val="001101ED"/>
    <w:rsid w:val="00110901"/>
    <w:rsid w:val="00110BB6"/>
    <w:rsid w:val="00111801"/>
    <w:rsid w:val="00111FAD"/>
    <w:rsid w:val="001127C1"/>
    <w:rsid w:val="00112D58"/>
    <w:rsid w:val="0011311A"/>
    <w:rsid w:val="00113DE0"/>
    <w:rsid w:val="001147FA"/>
    <w:rsid w:val="00115893"/>
    <w:rsid w:val="001166C6"/>
    <w:rsid w:val="00120744"/>
    <w:rsid w:val="00121ABA"/>
    <w:rsid w:val="0012252D"/>
    <w:rsid w:val="0012254D"/>
    <w:rsid w:val="001228AE"/>
    <w:rsid w:val="00122DCF"/>
    <w:rsid w:val="001238E5"/>
    <w:rsid w:val="00123955"/>
    <w:rsid w:val="00123BE4"/>
    <w:rsid w:val="00124FB9"/>
    <w:rsid w:val="00125466"/>
    <w:rsid w:val="00127092"/>
    <w:rsid w:val="00127ABC"/>
    <w:rsid w:val="00130E0F"/>
    <w:rsid w:val="001313E7"/>
    <w:rsid w:val="001324C4"/>
    <w:rsid w:val="00132DA3"/>
    <w:rsid w:val="00133105"/>
    <w:rsid w:val="00133499"/>
    <w:rsid w:val="001341A9"/>
    <w:rsid w:val="001346A7"/>
    <w:rsid w:val="00134E28"/>
    <w:rsid w:val="0013537A"/>
    <w:rsid w:val="001354E0"/>
    <w:rsid w:val="0013577F"/>
    <w:rsid w:val="00136AB8"/>
    <w:rsid w:val="001376F5"/>
    <w:rsid w:val="00137D69"/>
    <w:rsid w:val="00140D97"/>
    <w:rsid w:val="00141385"/>
    <w:rsid w:val="0014141F"/>
    <w:rsid w:val="001416EC"/>
    <w:rsid w:val="00141B85"/>
    <w:rsid w:val="0014285D"/>
    <w:rsid w:val="00142B74"/>
    <w:rsid w:val="00145754"/>
    <w:rsid w:val="0014638B"/>
    <w:rsid w:val="00146588"/>
    <w:rsid w:val="00147C76"/>
    <w:rsid w:val="00150300"/>
    <w:rsid w:val="001511EB"/>
    <w:rsid w:val="001512BA"/>
    <w:rsid w:val="00153E59"/>
    <w:rsid w:val="001546C7"/>
    <w:rsid w:val="00155B77"/>
    <w:rsid w:val="00155FC6"/>
    <w:rsid w:val="001566C8"/>
    <w:rsid w:val="001567FC"/>
    <w:rsid w:val="001569FB"/>
    <w:rsid w:val="00157E63"/>
    <w:rsid w:val="00161292"/>
    <w:rsid w:val="0016199B"/>
    <w:rsid w:val="00161DD1"/>
    <w:rsid w:val="0016200B"/>
    <w:rsid w:val="001634BE"/>
    <w:rsid w:val="00163F84"/>
    <w:rsid w:val="00166802"/>
    <w:rsid w:val="00166C91"/>
    <w:rsid w:val="0016704B"/>
    <w:rsid w:val="00167542"/>
    <w:rsid w:val="0017056B"/>
    <w:rsid w:val="0017220D"/>
    <w:rsid w:val="001722F5"/>
    <w:rsid w:val="0017251A"/>
    <w:rsid w:val="001734B2"/>
    <w:rsid w:val="001742F3"/>
    <w:rsid w:val="001748C1"/>
    <w:rsid w:val="00174EF9"/>
    <w:rsid w:val="00177A4A"/>
    <w:rsid w:val="001803C9"/>
    <w:rsid w:val="001826DF"/>
    <w:rsid w:val="00182748"/>
    <w:rsid w:val="001827A9"/>
    <w:rsid w:val="00183950"/>
    <w:rsid w:val="0018463D"/>
    <w:rsid w:val="00184826"/>
    <w:rsid w:val="00186501"/>
    <w:rsid w:val="00186566"/>
    <w:rsid w:val="00187BCD"/>
    <w:rsid w:val="00190B98"/>
    <w:rsid w:val="001919B5"/>
    <w:rsid w:val="001919F1"/>
    <w:rsid w:val="001921CB"/>
    <w:rsid w:val="0019400F"/>
    <w:rsid w:val="001947D4"/>
    <w:rsid w:val="00194E0E"/>
    <w:rsid w:val="001959A7"/>
    <w:rsid w:val="00195A5E"/>
    <w:rsid w:val="001961B5"/>
    <w:rsid w:val="001976A3"/>
    <w:rsid w:val="001A04A9"/>
    <w:rsid w:val="001A09D8"/>
    <w:rsid w:val="001A11CC"/>
    <w:rsid w:val="001A14E6"/>
    <w:rsid w:val="001A2DE3"/>
    <w:rsid w:val="001A39FD"/>
    <w:rsid w:val="001A4572"/>
    <w:rsid w:val="001A4E20"/>
    <w:rsid w:val="001A5167"/>
    <w:rsid w:val="001A51C6"/>
    <w:rsid w:val="001A5581"/>
    <w:rsid w:val="001A62F9"/>
    <w:rsid w:val="001A72E6"/>
    <w:rsid w:val="001B0663"/>
    <w:rsid w:val="001B0F48"/>
    <w:rsid w:val="001B130F"/>
    <w:rsid w:val="001B1835"/>
    <w:rsid w:val="001B2565"/>
    <w:rsid w:val="001B312F"/>
    <w:rsid w:val="001B3134"/>
    <w:rsid w:val="001B37B9"/>
    <w:rsid w:val="001B4043"/>
    <w:rsid w:val="001B4496"/>
    <w:rsid w:val="001B59AA"/>
    <w:rsid w:val="001B683E"/>
    <w:rsid w:val="001B732E"/>
    <w:rsid w:val="001B7937"/>
    <w:rsid w:val="001C0C54"/>
    <w:rsid w:val="001C2664"/>
    <w:rsid w:val="001C4213"/>
    <w:rsid w:val="001C4C96"/>
    <w:rsid w:val="001C4FB0"/>
    <w:rsid w:val="001C5D24"/>
    <w:rsid w:val="001C5E6B"/>
    <w:rsid w:val="001C62A6"/>
    <w:rsid w:val="001C6908"/>
    <w:rsid w:val="001C6C1A"/>
    <w:rsid w:val="001D0F8E"/>
    <w:rsid w:val="001D128A"/>
    <w:rsid w:val="001D2AF7"/>
    <w:rsid w:val="001D2B87"/>
    <w:rsid w:val="001D3D3B"/>
    <w:rsid w:val="001D4183"/>
    <w:rsid w:val="001D67CF"/>
    <w:rsid w:val="001E146D"/>
    <w:rsid w:val="001E21B7"/>
    <w:rsid w:val="001E241C"/>
    <w:rsid w:val="001E27FC"/>
    <w:rsid w:val="001E2F70"/>
    <w:rsid w:val="001E3ACB"/>
    <w:rsid w:val="001E3F63"/>
    <w:rsid w:val="001E4E83"/>
    <w:rsid w:val="001E5356"/>
    <w:rsid w:val="001E57DF"/>
    <w:rsid w:val="001E5E82"/>
    <w:rsid w:val="001E655E"/>
    <w:rsid w:val="001E6638"/>
    <w:rsid w:val="001E6B81"/>
    <w:rsid w:val="001E77EB"/>
    <w:rsid w:val="001E7C8C"/>
    <w:rsid w:val="001F1A1C"/>
    <w:rsid w:val="001F1D18"/>
    <w:rsid w:val="001F2834"/>
    <w:rsid w:val="001F2C3D"/>
    <w:rsid w:val="001F2CDD"/>
    <w:rsid w:val="001F34A4"/>
    <w:rsid w:val="001F4D6E"/>
    <w:rsid w:val="001F6417"/>
    <w:rsid w:val="001F6D1F"/>
    <w:rsid w:val="001F6EB2"/>
    <w:rsid w:val="001F726D"/>
    <w:rsid w:val="00200BBB"/>
    <w:rsid w:val="00201892"/>
    <w:rsid w:val="002024F0"/>
    <w:rsid w:val="002042D7"/>
    <w:rsid w:val="00205D59"/>
    <w:rsid w:val="0021067E"/>
    <w:rsid w:val="00211218"/>
    <w:rsid w:val="002113CA"/>
    <w:rsid w:val="002117BC"/>
    <w:rsid w:val="00212539"/>
    <w:rsid w:val="002137D8"/>
    <w:rsid w:val="00213EEC"/>
    <w:rsid w:val="00215730"/>
    <w:rsid w:val="002158F5"/>
    <w:rsid w:val="00216CD4"/>
    <w:rsid w:val="00216E95"/>
    <w:rsid w:val="0022094A"/>
    <w:rsid w:val="00220E60"/>
    <w:rsid w:val="00220F54"/>
    <w:rsid w:val="00221851"/>
    <w:rsid w:val="002218A8"/>
    <w:rsid w:val="00223737"/>
    <w:rsid w:val="002240EA"/>
    <w:rsid w:val="0022439C"/>
    <w:rsid w:val="00224791"/>
    <w:rsid w:val="00224F50"/>
    <w:rsid w:val="0022507C"/>
    <w:rsid w:val="00225106"/>
    <w:rsid w:val="00226ACD"/>
    <w:rsid w:val="00226CED"/>
    <w:rsid w:val="00227C3E"/>
    <w:rsid w:val="0023116F"/>
    <w:rsid w:val="0023225B"/>
    <w:rsid w:val="0023379D"/>
    <w:rsid w:val="00234403"/>
    <w:rsid w:val="00234D07"/>
    <w:rsid w:val="002352CD"/>
    <w:rsid w:val="0023548B"/>
    <w:rsid w:val="0023590A"/>
    <w:rsid w:val="002369AF"/>
    <w:rsid w:val="002378DC"/>
    <w:rsid w:val="00237FB9"/>
    <w:rsid w:val="00240475"/>
    <w:rsid w:val="0024206A"/>
    <w:rsid w:val="00242A06"/>
    <w:rsid w:val="0024314E"/>
    <w:rsid w:val="00243B0D"/>
    <w:rsid w:val="0024434A"/>
    <w:rsid w:val="00247751"/>
    <w:rsid w:val="00247F76"/>
    <w:rsid w:val="00251C02"/>
    <w:rsid w:val="00252777"/>
    <w:rsid w:val="00252C4C"/>
    <w:rsid w:val="00253AE7"/>
    <w:rsid w:val="00253BF7"/>
    <w:rsid w:val="00254DDF"/>
    <w:rsid w:val="002558D6"/>
    <w:rsid w:val="002559FB"/>
    <w:rsid w:val="00256073"/>
    <w:rsid w:val="00256FC2"/>
    <w:rsid w:val="00257540"/>
    <w:rsid w:val="00257C34"/>
    <w:rsid w:val="002609EF"/>
    <w:rsid w:val="00261118"/>
    <w:rsid w:val="00261864"/>
    <w:rsid w:val="002619A3"/>
    <w:rsid w:val="00262025"/>
    <w:rsid w:val="00262315"/>
    <w:rsid w:val="0026231F"/>
    <w:rsid w:val="00262CBA"/>
    <w:rsid w:val="00263800"/>
    <w:rsid w:val="00263A7B"/>
    <w:rsid w:val="00264E2C"/>
    <w:rsid w:val="00265F96"/>
    <w:rsid w:val="002663A8"/>
    <w:rsid w:val="002669D7"/>
    <w:rsid w:val="00267F6A"/>
    <w:rsid w:val="002701C0"/>
    <w:rsid w:val="00271FA5"/>
    <w:rsid w:val="002720D3"/>
    <w:rsid w:val="00272D72"/>
    <w:rsid w:val="002745EF"/>
    <w:rsid w:val="00276635"/>
    <w:rsid w:val="00276671"/>
    <w:rsid w:val="00277004"/>
    <w:rsid w:val="002778B0"/>
    <w:rsid w:val="00277C3C"/>
    <w:rsid w:val="00277ED3"/>
    <w:rsid w:val="0028036B"/>
    <w:rsid w:val="00280751"/>
    <w:rsid w:val="00280B58"/>
    <w:rsid w:val="00280CF9"/>
    <w:rsid w:val="002811E6"/>
    <w:rsid w:val="0028150D"/>
    <w:rsid w:val="002824CD"/>
    <w:rsid w:val="00282ACA"/>
    <w:rsid w:val="00283119"/>
    <w:rsid w:val="00285D8C"/>
    <w:rsid w:val="00291D76"/>
    <w:rsid w:val="00292489"/>
    <w:rsid w:val="00292A67"/>
    <w:rsid w:val="00292B47"/>
    <w:rsid w:val="00295567"/>
    <w:rsid w:val="002955D1"/>
    <w:rsid w:val="002958A1"/>
    <w:rsid w:val="00295F78"/>
    <w:rsid w:val="00296A85"/>
    <w:rsid w:val="00296FEE"/>
    <w:rsid w:val="0029746A"/>
    <w:rsid w:val="00297F8B"/>
    <w:rsid w:val="002A0641"/>
    <w:rsid w:val="002A087D"/>
    <w:rsid w:val="002A0D0A"/>
    <w:rsid w:val="002A125F"/>
    <w:rsid w:val="002A17AF"/>
    <w:rsid w:val="002A28E1"/>
    <w:rsid w:val="002A47A0"/>
    <w:rsid w:val="002A54F2"/>
    <w:rsid w:val="002A6534"/>
    <w:rsid w:val="002A7553"/>
    <w:rsid w:val="002A7E6E"/>
    <w:rsid w:val="002B1208"/>
    <w:rsid w:val="002B22F8"/>
    <w:rsid w:val="002B3B8A"/>
    <w:rsid w:val="002B475E"/>
    <w:rsid w:val="002B48D3"/>
    <w:rsid w:val="002B49E6"/>
    <w:rsid w:val="002B7066"/>
    <w:rsid w:val="002B7612"/>
    <w:rsid w:val="002B7971"/>
    <w:rsid w:val="002B7CF0"/>
    <w:rsid w:val="002B7F22"/>
    <w:rsid w:val="002C0524"/>
    <w:rsid w:val="002C0D71"/>
    <w:rsid w:val="002C0FF9"/>
    <w:rsid w:val="002C1356"/>
    <w:rsid w:val="002C14ED"/>
    <w:rsid w:val="002C21DC"/>
    <w:rsid w:val="002C2FE0"/>
    <w:rsid w:val="002C3988"/>
    <w:rsid w:val="002C4566"/>
    <w:rsid w:val="002C5A8C"/>
    <w:rsid w:val="002C662C"/>
    <w:rsid w:val="002C7788"/>
    <w:rsid w:val="002C7912"/>
    <w:rsid w:val="002D07BC"/>
    <w:rsid w:val="002D1DD4"/>
    <w:rsid w:val="002D29B2"/>
    <w:rsid w:val="002D2A4E"/>
    <w:rsid w:val="002D2C2B"/>
    <w:rsid w:val="002D2D11"/>
    <w:rsid w:val="002D398B"/>
    <w:rsid w:val="002D4A66"/>
    <w:rsid w:val="002D4B32"/>
    <w:rsid w:val="002D502D"/>
    <w:rsid w:val="002D57AA"/>
    <w:rsid w:val="002D5E5E"/>
    <w:rsid w:val="002D7940"/>
    <w:rsid w:val="002E0223"/>
    <w:rsid w:val="002E07C2"/>
    <w:rsid w:val="002E138F"/>
    <w:rsid w:val="002E139B"/>
    <w:rsid w:val="002E1AA7"/>
    <w:rsid w:val="002E1CA0"/>
    <w:rsid w:val="002E22BC"/>
    <w:rsid w:val="002E38F1"/>
    <w:rsid w:val="002E3C09"/>
    <w:rsid w:val="002E3C4B"/>
    <w:rsid w:val="002E45BF"/>
    <w:rsid w:val="002E64A3"/>
    <w:rsid w:val="002E6C65"/>
    <w:rsid w:val="002E6DBF"/>
    <w:rsid w:val="002F0188"/>
    <w:rsid w:val="002F0A95"/>
    <w:rsid w:val="002F0C2E"/>
    <w:rsid w:val="002F1F6D"/>
    <w:rsid w:val="002F2A8E"/>
    <w:rsid w:val="002F3F5A"/>
    <w:rsid w:val="002F53BC"/>
    <w:rsid w:val="002F583E"/>
    <w:rsid w:val="002F648B"/>
    <w:rsid w:val="002F7066"/>
    <w:rsid w:val="002F7B97"/>
    <w:rsid w:val="00300E43"/>
    <w:rsid w:val="00302389"/>
    <w:rsid w:val="003037DA"/>
    <w:rsid w:val="00303825"/>
    <w:rsid w:val="00303F00"/>
    <w:rsid w:val="00304DC9"/>
    <w:rsid w:val="00305A39"/>
    <w:rsid w:val="00305A6A"/>
    <w:rsid w:val="00305E21"/>
    <w:rsid w:val="00307225"/>
    <w:rsid w:val="00307EAF"/>
    <w:rsid w:val="00311522"/>
    <w:rsid w:val="00312090"/>
    <w:rsid w:val="0031250C"/>
    <w:rsid w:val="00312AAB"/>
    <w:rsid w:val="003131E3"/>
    <w:rsid w:val="0031367F"/>
    <w:rsid w:val="00314361"/>
    <w:rsid w:val="00314B7F"/>
    <w:rsid w:val="00314F5D"/>
    <w:rsid w:val="00315C49"/>
    <w:rsid w:val="00317DA6"/>
    <w:rsid w:val="00317F82"/>
    <w:rsid w:val="00320951"/>
    <w:rsid w:val="00321BFB"/>
    <w:rsid w:val="00322697"/>
    <w:rsid w:val="0032325D"/>
    <w:rsid w:val="00323AD4"/>
    <w:rsid w:val="00323F10"/>
    <w:rsid w:val="003240FF"/>
    <w:rsid w:val="0032425C"/>
    <w:rsid w:val="003249EB"/>
    <w:rsid w:val="00325416"/>
    <w:rsid w:val="00325E2E"/>
    <w:rsid w:val="00326219"/>
    <w:rsid w:val="0032696E"/>
    <w:rsid w:val="00326FBB"/>
    <w:rsid w:val="00327113"/>
    <w:rsid w:val="003275B2"/>
    <w:rsid w:val="00327B9B"/>
    <w:rsid w:val="00330110"/>
    <w:rsid w:val="003310AA"/>
    <w:rsid w:val="003319A0"/>
    <w:rsid w:val="00332A4C"/>
    <w:rsid w:val="00334321"/>
    <w:rsid w:val="003349AD"/>
    <w:rsid w:val="00334C94"/>
    <w:rsid w:val="0033543F"/>
    <w:rsid w:val="00335C7A"/>
    <w:rsid w:val="00335EB9"/>
    <w:rsid w:val="0033789B"/>
    <w:rsid w:val="00337B19"/>
    <w:rsid w:val="00340BDB"/>
    <w:rsid w:val="00340E49"/>
    <w:rsid w:val="00340F59"/>
    <w:rsid w:val="003411BA"/>
    <w:rsid w:val="003435A2"/>
    <w:rsid w:val="00344688"/>
    <w:rsid w:val="00344E0A"/>
    <w:rsid w:val="00345D7F"/>
    <w:rsid w:val="00346551"/>
    <w:rsid w:val="00346CCE"/>
    <w:rsid w:val="00347154"/>
    <w:rsid w:val="003471A9"/>
    <w:rsid w:val="00347FAE"/>
    <w:rsid w:val="00350078"/>
    <w:rsid w:val="00350643"/>
    <w:rsid w:val="00350867"/>
    <w:rsid w:val="00350B37"/>
    <w:rsid w:val="00350F69"/>
    <w:rsid w:val="003515A1"/>
    <w:rsid w:val="00352519"/>
    <w:rsid w:val="003529A9"/>
    <w:rsid w:val="003529F3"/>
    <w:rsid w:val="00353C62"/>
    <w:rsid w:val="00354723"/>
    <w:rsid w:val="00354FDC"/>
    <w:rsid w:val="00355635"/>
    <w:rsid w:val="00357ECE"/>
    <w:rsid w:val="003600A2"/>
    <w:rsid w:val="00360571"/>
    <w:rsid w:val="003607EB"/>
    <w:rsid w:val="00360B2B"/>
    <w:rsid w:val="003618A4"/>
    <w:rsid w:val="003620CF"/>
    <w:rsid w:val="00363BD8"/>
    <w:rsid w:val="00364460"/>
    <w:rsid w:val="00364764"/>
    <w:rsid w:val="00365041"/>
    <w:rsid w:val="00365448"/>
    <w:rsid w:val="00366E50"/>
    <w:rsid w:val="00367ADC"/>
    <w:rsid w:val="00367D2A"/>
    <w:rsid w:val="00370A7F"/>
    <w:rsid w:val="003733D4"/>
    <w:rsid w:val="00374F2B"/>
    <w:rsid w:val="00377CE8"/>
    <w:rsid w:val="00377E7F"/>
    <w:rsid w:val="00380F99"/>
    <w:rsid w:val="00382730"/>
    <w:rsid w:val="003845A3"/>
    <w:rsid w:val="00384ABA"/>
    <w:rsid w:val="00385D2D"/>
    <w:rsid w:val="00386FA2"/>
    <w:rsid w:val="0039046B"/>
    <w:rsid w:val="00390CF6"/>
    <w:rsid w:val="00391293"/>
    <w:rsid w:val="00391C3C"/>
    <w:rsid w:val="00392684"/>
    <w:rsid w:val="00392BDC"/>
    <w:rsid w:val="003950E7"/>
    <w:rsid w:val="0039625C"/>
    <w:rsid w:val="003976DC"/>
    <w:rsid w:val="00397B70"/>
    <w:rsid w:val="003A0AD9"/>
    <w:rsid w:val="003A0DEC"/>
    <w:rsid w:val="003A0EF5"/>
    <w:rsid w:val="003A1191"/>
    <w:rsid w:val="003A22A3"/>
    <w:rsid w:val="003A2F8F"/>
    <w:rsid w:val="003A3579"/>
    <w:rsid w:val="003A3AD4"/>
    <w:rsid w:val="003A3B33"/>
    <w:rsid w:val="003A46C5"/>
    <w:rsid w:val="003A51DC"/>
    <w:rsid w:val="003A52CC"/>
    <w:rsid w:val="003A6663"/>
    <w:rsid w:val="003A7F2A"/>
    <w:rsid w:val="003A7FE7"/>
    <w:rsid w:val="003B04A6"/>
    <w:rsid w:val="003B0CC2"/>
    <w:rsid w:val="003B0F75"/>
    <w:rsid w:val="003B1D16"/>
    <w:rsid w:val="003B2C3E"/>
    <w:rsid w:val="003B3A67"/>
    <w:rsid w:val="003B3C50"/>
    <w:rsid w:val="003B601A"/>
    <w:rsid w:val="003B6596"/>
    <w:rsid w:val="003B661E"/>
    <w:rsid w:val="003B76D4"/>
    <w:rsid w:val="003B76E5"/>
    <w:rsid w:val="003C0D0B"/>
    <w:rsid w:val="003C0D40"/>
    <w:rsid w:val="003C1348"/>
    <w:rsid w:val="003C229C"/>
    <w:rsid w:val="003C2402"/>
    <w:rsid w:val="003C3658"/>
    <w:rsid w:val="003C36E4"/>
    <w:rsid w:val="003C3808"/>
    <w:rsid w:val="003C3AC8"/>
    <w:rsid w:val="003C4105"/>
    <w:rsid w:val="003C45D1"/>
    <w:rsid w:val="003C5286"/>
    <w:rsid w:val="003C6D0E"/>
    <w:rsid w:val="003C7197"/>
    <w:rsid w:val="003C7712"/>
    <w:rsid w:val="003C783F"/>
    <w:rsid w:val="003C7F23"/>
    <w:rsid w:val="003D0036"/>
    <w:rsid w:val="003D082D"/>
    <w:rsid w:val="003D16D6"/>
    <w:rsid w:val="003D2137"/>
    <w:rsid w:val="003D2311"/>
    <w:rsid w:val="003D3249"/>
    <w:rsid w:val="003D3F89"/>
    <w:rsid w:val="003D5998"/>
    <w:rsid w:val="003D5D6E"/>
    <w:rsid w:val="003D6D83"/>
    <w:rsid w:val="003E0177"/>
    <w:rsid w:val="003E0DA1"/>
    <w:rsid w:val="003E19CB"/>
    <w:rsid w:val="003E22AA"/>
    <w:rsid w:val="003E2B2E"/>
    <w:rsid w:val="003E31C4"/>
    <w:rsid w:val="003E48DA"/>
    <w:rsid w:val="003E5143"/>
    <w:rsid w:val="003E7DC0"/>
    <w:rsid w:val="003F00E9"/>
    <w:rsid w:val="003F122D"/>
    <w:rsid w:val="003F12FE"/>
    <w:rsid w:val="003F1ECF"/>
    <w:rsid w:val="003F25FC"/>
    <w:rsid w:val="003F2731"/>
    <w:rsid w:val="003F2BA7"/>
    <w:rsid w:val="003F4B06"/>
    <w:rsid w:val="003F5B44"/>
    <w:rsid w:val="003F5E4A"/>
    <w:rsid w:val="003F62F6"/>
    <w:rsid w:val="003F718D"/>
    <w:rsid w:val="003F73D8"/>
    <w:rsid w:val="003F73EC"/>
    <w:rsid w:val="003F7818"/>
    <w:rsid w:val="00401559"/>
    <w:rsid w:val="00402575"/>
    <w:rsid w:val="00402F9A"/>
    <w:rsid w:val="00403480"/>
    <w:rsid w:val="00403E61"/>
    <w:rsid w:val="00404B56"/>
    <w:rsid w:val="00405649"/>
    <w:rsid w:val="00410D01"/>
    <w:rsid w:val="004110E8"/>
    <w:rsid w:val="00411818"/>
    <w:rsid w:val="00411908"/>
    <w:rsid w:val="0041351F"/>
    <w:rsid w:val="00413ECF"/>
    <w:rsid w:val="00413F43"/>
    <w:rsid w:val="00414C3A"/>
    <w:rsid w:val="004159FA"/>
    <w:rsid w:val="00416CA5"/>
    <w:rsid w:val="004202BE"/>
    <w:rsid w:val="00420AE8"/>
    <w:rsid w:val="00420B0A"/>
    <w:rsid w:val="00422205"/>
    <w:rsid w:val="00422BEF"/>
    <w:rsid w:val="0042447D"/>
    <w:rsid w:val="00424C4D"/>
    <w:rsid w:val="00425EA5"/>
    <w:rsid w:val="0042741A"/>
    <w:rsid w:val="004279A6"/>
    <w:rsid w:val="004309AA"/>
    <w:rsid w:val="004319F2"/>
    <w:rsid w:val="00431C83"/>
    <w:rsid w:val="00432835"/>
    <w:rsid w:val="00432FE1"/>
    <w:rsid w:val="004338C5"/>
    <w:rsid w:val="00433C5B"/>
    <w:rsid w:val="00433D75"/>
    <w:rsid w:val="00434ADD"/>
    <w:rsid w:val="004352D8"/>
    <w:rsid w:val="004359B3"/>
    <w:rsid w:val="00436E58"/>
    <w:rsid w:val="004376E5"/>
    <w:rsid w:val="00442F99"/>
    <w:rsid w:val="00444D8A"/>
    <w:rsid w:val="0044518B"/>
    <w:rsid w:val="00446327"/>
    <w:rsid w:val="004470C8"/>
    <w:rsid w:val="004479AC"/>
    <w:rsid w:val="00447C3B"/>
    <w:rsid w:val="00450895"/>
    <w:rsid w:val="00451C35"/>
    <w:rsid w:val="00452607"/>
    <w:rsid w:val="00452841"/>
    <w:rsid w:val="004528EE"/>
    <w:rsid w:val="00453930"/>
    <w:rsid w:val="0045481F"/>
    <w:rsid w:val="00454D8F"/>
    <w:rsid w:val="004551C6"/>
    <w:rsid w:val="00456073"/>
    <w:rsid w:val="004563B5"/>
    <w:rsid w:val="004568FA"/>
    <w:rsid w:val="00456E18"/>
    <w:rsid w:val="00457EC5"/>
    <w:rsid w:val="00457F70"/>
    <w:rsid w:val="00461BC5"/>
    <w:rsid w:val="004623A9"/>
    <w:rsid w:val="00463D59"/>
    <w:rsid w:val="004648CE"/>
    <w:rsid w:val="004663E7"/>
    <w:rsid w:val="00466A42"/>
    <w:rsid w:val="00466EC9"/>
    <w:rsid w:val="00467B4E"/>
    <w:rsid w:val="00470E77"/>
    <w:rsid w:val="00471100"/>
    <w:rsid w:val="004729F7"/>
    <w:rsid w:val="004743B6"/>
    <w:rsid w:val="0047591F"/>
    <w:rsid w:val="00475BF8"/>
    <w:rsid w:val="00475CBC"/>
    <w:rsid w:val="004762BA"/>
    <w:rsid w:val="00476AF7"/>
    <w:rsid w:val="004801CA"/>
    <w:rsid w:val="00480502"/>
    <w:rsid w:val="004820BE"/>
    <w:rsid w:val="00483489"/>
    <w:rsid w:val="00483AD9"/>
    <w:rsid w:val="00485DC1"/>
    <w:rsid w:val="00486B85"/>
    <w:rsid w:val="0048728D"/>
    <w:rsid w:val="0048745E"/>
    <w:rsid w:val="00491E48"/>
    <w:rsid w:val="004928CD"/>
    <w:rsid w:val="0049309A"/>
    <w:rsid w:val="0049401B"/>
    <w:rsid w:val="00494D64"/>
    <w:rsid w:val="00495A33"/>
    <w:rsid w:val="00496AB0"/>
    <w:rsid w:val="00497B37"/>
    <w:rsid w:val="004A0279"/>
    <w:rsid w:val="004A07BA"/>
    <w:rsid w:val="004A4261"/>
    <w:rsid w:val="004A66F8"/>
    <w:rsid w:val="004A6751"/>
    <w:rsid w:val="004A6898"/>
    <w:rsid w:val="004A710C"/>
    <w:rsid w:val="004B018B"/>
    <w:rsid w:val="004B0FF9"/>
    <w:rsid w:val="004B163C"/>
    <w:rsid w:val="004B2833"/>
    <w:rsid w:val="004B2E5A"/>
    <w:rsid w:val="004B31AD"/>
    <w:rsid w:val="004B5D54"/>
    <w:rsid w:val="004B6C0E"/>
    <w:rsid w:val="004B7E71"/>
    <w:rsid w:val="004C03CC"/>
    <w:rsid w:val="004C042A"/>
    <w:rsid w:val="004C084A"/>
    <w:rsid w:val="004C1B6A"/>
    <w:rsid w:val="004C1B73"/>
    <w:rsid w:val="004C1C52"/>
    <w:rsid w:val="004C247B"/>
    <w:rsid w:val="004C4106"/>
    <w:rsid w:val="004C6EF0"/>
    <w:rsid w:val="004C78CB"/>
    <w:rsid w:val="004D08CB"/>
    <w:rsid w:val="004D151B"/>
    <w:rsid w:val="004D152B"/>
    <w:rsid w:val="004D15EF"/>
    <w:rsid w:val="004D1619"/>
    <w:rsid w:val="004D1FFD"/>
    <w:rsid w:val="004D3DC1"/>
    <w:rsid w:val="004D4887"/>
    <w:rsid w:val="004D5426"/>
    <w:rsid w:val="004D5A59"/>
    <w:rsid w:val="004D696F"/>
    <w:rsid w:val="004D6CC9"/>
    <w:rsid w:val="004D6D43"/>
    <w:rsid w:val="004D74C9"/>
    <w:rsid w:val="004E0745"/>
    <w:rsid w:val="004E1231"/>
    <w:rsid w:val="004E17DC"/>
    <w:rsid w:val="004E19AD"/>
    <w:rsid w:val="004E2640"/>
    <w:rsid w:val="004E2E65"/>
    <w:rsid w:val="004E7328"/>
    <w:rsid w:val="004E7542"/>
    <w:rsid w:val="004E7F8F"/>
    <w:rsid w:val="004F1F2B"/>
    <w:rsid w:val="004F1F4A"/>
    <w:rsid w:val="004F22C8"/>
    <w:rsid w:val="004F2BFE"/>
    <w:rsid w:val="004F3D84"/>
    <w:rsid w:val="004F6834"/>
    <w:rsid w:val="004F696B"/>
    <w:rsid w:val="004F69A4"/>
    <w:rsid w:val="004F7121"/>
    <w:rsid w:val="00500D31"/>
    <w:rsid w:val="005023E7"/>
    <w:rsid w:val="0050347E"/>
    <w:rsid w:val="005035B6"/>
    <w:rsid w:val="00504157"/>
    <w:rsid w:val="00504297"/>
    <w:rsid w:val="00505A1E"/>
    <w:rsid w:val="00505A5D"/>
    <w:rsid w:val="0050627B"/>
    <w:rsid w:val="00506324"/>
    <w:rsid w:val="00506340"/>
    <w:rsid w:val="00506851"/>
    <w:rsid w:val="00506C77"/>
    <w:rsid w:val="00507A64"/>
    <w:rsid w:val="0051299B"/>
    <w:rsid w:val="005144FD"/>
    <w:rsid w:val="0051485E"/>
    <w:rsid w:val="00514991"/>
    <w:rsid w:val="00514D86"/>
    <w:rsid w:val="0051519E"/>
    <w:rsid w:val="005155DB"/>
    <w:rsid w:val="00515C3C"/>
    <w:rsid w:val="00515E42"/>
    <w:rsid w:val="00516B7C"/>
    <w:rsid w:val="00516C22"/>
    <w:rsid w:val="0051763F"/>
    <w:rsid w:val="0051795C"/>
    <w:rsid w:val="00517DEE"/>
    <w:rsid w:val="0052026E"/>
    <w:rsid w:val="005223B5"/>
    <w:rsid w:val="00522844"/>
    <w:rsid w:val="00523903"/>
    <w:rsid w:val="00524B57"/>
    <w:rsid w:val="00526032"/>
    <w:rsid w:val="005263AD"/>
    <w:rsid w:val="0052666F"/>
    <w:rsid w:val="00527B94"/>
    <w:rsid w:val="00527C81"/>
    <w:rsid w:val="005305C4"/>
    <w:rsid w:val="005306ED"/>
    <w:rsid w:val="00531FBD"/>
    <w:rsid w:val="00532924"/>
    <w:rsid w:val="005355BA"/>
    <w:rsid w:val="005363A9"/>
    <w:rsid w:val="00536AA4"/>
    <w:rsid w:val="00536B5C"/>
    <w:rsid w:val="00537607"/>
    <w:rsid w:val="00537E5B"/>
    <w:rsid w:val="00543E37"/>
    <w:rsid w:val="005441DE"/>
    <w:rsid w:val="005443F5"/>
    <w:rsid w:val="00544598"/>
    <w:rsid w:val="00544642"/>
    <w:rsid w:val="00545194"/>
    <w:rsid w:val="00545952"/>
    <w:rsid w:val="0054648F"/>
    <w:rsid w:val="005467B8"/>
    <w:rsid w:val="00546819"/>
    <w:rsid w:val="005471E6"/>
    <w:rsid w:val="00547846"/>
    <w:rsid w:val="00547880"/>
    <w:rsid w:val="00547897"/>
    <w:rsid w:val="0055140D"/>
    <w:rsid w:val="00552A7B"/>
    <w:rsid w:val="00553C20"/>
    <w:rsid w:val="00554936"/>
    <w:rsid w:val="0055532A"/>
    <w:rsid w:val="00557178"/>
    <w:rsid w:val="00557BB5"/>
    <w:rsid w:val="00557FDD"/>
    <w:rsid w:val="00560A86"/>
    <w:rsid w:val="0056189B"/>
    <w:rsid w:val="00562042"/>
    <w:rsid w:val="005621A8"/>
    <w:rsid w:val="00564235"/>
    <w:rsid w:val="005643A2"/>
    <w:rsid w:val="00564821"/>
    <w:rsid w:val="00564BE3"/>
    <w:rsid w:val="005655E7"/>
    <w:rsid w:val="00565AE9"/>
    <w:rsid w:val="005661EE"/>
    <w:rsid w:val="00567572"/>
    <w:rsid w:val="00567ABF"/>
    <w:rsid w:val="0057037D"/>
    <w:rsid w:val="00570382"/>
    <w:rsid w:val="00570B21"/>
    <w:rsid w:val="0057159A"/>
    <w:rsid w:val="005723E3"/>
    <w:rsid w:val="005726C1"/>
    <w:rsid w:val="005735B0"/>
    <w:rsid w:val="00573A78"/>
    <w:rsid w:val="005741DE"/>
    <w:rsid w:val="005742CA"/>
    <w:rsid w:val="00577A69"/>
    <w:rsid w:val="00581C48"/>
    <w:rsid w:val="0058240E"/>
    <w:rsid w:val="00582675"/>
    <w:rsid w:val="005830D0"/>
    <w:rsid w:val="00583697"/>
    <w:rsid w:val="005847B0"/>
    <w:rsid w:val="00584BCA"/>
    <w:rsid w:val="005872AE"/>
    <w:rsid w:val="00587660"/>
    <w:rsid w:val="0058777E"/>
    <w:rsid w:val="005877D2"/>
    <w:rsid w:val="00587D72"/>
    <w:rsid w:val="00587FE8"/>
    <w:rsid w:val="005904B3"/>
    <w:rsid w:val="005904DA"/>
    <w:rsid w:val="005909F5"/>
    <w:rsid w:val="005913FB"/>
    <w:rsid w:val="00592166"/>
    <w:rsid w:val="005925E5"/>
    <w:rsid w:val="00593374"/>
    <w:rsid w:val="005947CD"/>
    <w:rsid w:val="00594E66"/>
    <w:rsid w:val="005950A0"/>
    <w:rsid w:val="005966CE"/>
    <w:rsid w:val="00596854"/>
    <w:rsid w:val="00596D62"/>
    <w:rsid w:val="005973FD"/>
    <w:rsid w:val="005A08F6"/>
    <w:rsid w:val="005A0E95"/>
    <w:rsid w:val="005A16D5"/>
    <w:rsid w:val="005A182B"/>
    <w:rsid w:val="005A2B74"/>
    <w:rsid w:val="005A300F"/>
    <w:rsid w:val="005A31B9"/>
    <w:rsid w:val="005A3618"/>
    <w:rsid w:val="005A3FEA"/>
    <w:rsid w:val="005A5C79"/>
    <w:rsid w:val="005A6023"/>
    <w:rsid w:val="005A60B2"/>
    <w:rsid w:val="005A66FC"/>
    <w:rsid w:val="005B110A"/>
    <w:rsid w:val="005B2349"/>
    <w:rsid w:val="005B2771"/>
    <w:rsid w:val="005B2E74"/>
    <w:rsid w:val="005B381B"/>
    <w:rsid w:val="005B4251"/>
    <w:rsid w:val="005B47D3"/>
    <w:rsid w:val="005B50AF"/>
    <w:rsid w:val="005B5978"/>
    <w:rsid w:val="005B7406"/>
    <w:rsid w:val="005B7E15"/>
    <w:rsid w:val="005C019B"/>
    <w:rsid w:val="005C03D5"/>
    <w:rsid w:val="005C0EF6"/>
    <w:rsid w:val="005C1A67"/>
    <w:rsid w:val="005C1DAF"/>
    <w:rsid w:val="005C20D4"/>
    <w:rsid w:val="005C25C1"/>
    <w:rsid w:val="005C28C4"/>
    <w:rsid w:val="005C400E"/>
    <w:rsid w:val="005C459C"/>
    <w:rsid w:val="005C4922"/>
    <w:rsid w:val="005C4A00"/>
    <w:rsid w:val="005C4D73"/>
    <w:rsid w:val="005C5041"/>
    <w:rsid w:val="005C5376"/>
    <w:rsid w:val="005C598D"/>
    <w:rsid w:val="005C5FCB"/>
    <w:rsid w:val="005C625A"/>
    <w:rsid w:val="005C7735"/>
    <w:rsid w:val="005C7DDF"/>
    <w:rsid w:val="005D1179"/>
    <w:rsid w:val="005D2088"/>
    <w:rsid w:val="005D334A"/>
    <w:rsid w:val="005D3D3F"/>
    <w:rsid w:val="005D4139"/>
    <w:rsid w:val="005D4882"/>
    <w:rsid w:val="005D6431"/>
    <w:rsid w:val="005D6B96"/>
    <w:rsid w:val="005D7244"/>
    <w:rsid w:val="005D724E"/>
    <w:rsid w:val="005D7676"/>
    <w:rsid w:val="005D7721"/>
    <w:rsid w:val="005D7779"/>
    <w:rsid w:val="005D79C8"/>
    <w:rsid w:val="005E06E3"/>
    <w:rsid w:val="005E0C1C"/>
    <w:rsid w:val="005E126F"/>
    <w:rsid w:val="005E199C"/>
    <w:rsid w:val="005E19DF"/>
    <w:rsid w:val="005E227A"/>
    <w:rsid w:val="005E3566"/>
    <w:rsid w:val="005E5353"/>
    <w:rsid w:val="005E5FB8"/>
    <w:rsid w:val="005E5FE2"/>
    <w:rsid w:val="005E6FA5"/>
    <w:rsid w:val="005E7E7C"/>
    <w:rsid w:val="005F05C5"/>
    <w:rsid w:val="005F19D8"/>
    <w:rsid w:val="005F1C03"/>
    <w:rsid w:val="005F21D6"/>
    <w:rsid w:val="005F3E62"/>
    <w:rsid w:val="005F400C"/>
    <w:rsid w:val="005F490F"/>
    <w:rsid w:val="005F4B8E"/>
    <w:rsid w:val="005F5784"/>
    <w:rsid w:val="005F61BC"/>
    <w:rsid w:val="005F6EF9"/>
    <w:rsid w:val="00601509"/>
    <w:rsid w:val="006016E1"/>
    <w:rsid w:val="00601796"/>
    <w:rsid w:val="0060180D"/>
    <w:rsid w:val="00602A6A"/>
    <w:rsid w:val="00603D10"/>
    <w:rsid w:val="00604159"/>
    <w:rsid w:val="00607505"/>
    <w:rsid w:val="006100D0"/>
    <w:rsid w:val="006108CC"/>
    <w:rsid w:val="00610C20"/>
    <w:rsid w:val="006118AC"/>
    <w:rsid w:val="0061283A"/>
    <w:rsid w:val="00612DBF"/>
    <w:rsid w:val="00613762"/>
    <w:rsid w:val="00613C04"/>
    <w:rsid w:val="0061409F"/>
    <w:rsid w:val="006148BD"/>
    <w:rsid w:val="006225D0"/>
    <w:rsid w:val="006229A8"/>
    <w:rsid w:val="00623092"/>
    <w:rsid w:val="00623235"/>
    <w:rsid w:val="006232F7"/>
    <w:rsid w:val="00623F4A"/>
    <w:rsid w:val="0062434B"/>
    <w:rsid w:val="0062445D"/>
    <w:rsid w:val="00625FA1"/>
    <w:rsid w:val="00625FCB"/>
    <w:rsid w:val="00626261"/>
    <w:rsid w:val="00627C2A"/>
    <w:rsid w:val="0063033F"/>
    <w:rsid w:val="00632EFC"/>
    <w:rsid w:val="0063418F"/>
    <w:rsid w:val="0063427C"/>
    <w:rsid w:val="0063585D"/>
    <w:rsid w:val="00636428"/>
    <w:rsid w:val="006375E1"/>
    <w:rsid w:val="00637B57"/>
    <w:rsid w:val="00637D3D"/>
    <w:rsid w:val="00640820"/>
    <w:rsid w:val="006414D2"/>
    <w:rsid w:val="00641A74"/>
    <w:rsid w:val="00642D18"/>
    <w:rsid w:val="00643207"/>
    <w:rsid w:val="00643F66"/>
    <w:rsid w:val="00645F27"/>
    <w:rsid w:val="00646046"/>
    <w:rsid w:val="00650679"/>
    <w:rsid w:val="00651201"/>
    <w:rsid w:val="00651978"/>
    <w:rsid w:val="00652275"/>
    <w:rsid w:val="0065354D"/>
    <w:rsid w:val="006539E2"/>
    <w:rsid w:val="00654838"/>
    <w:rsid w:val="0065510A"/>
    <w:rsid w:val="00655C52"/>
    <w:rsid w:val="00655D7F"/>
    <w:rsid w:val="00655DD5"/>
    <w:rsid w:val="00656B4A"/>
    <w:rsid w:val="00656C99"/>
    <w:rsid w:val="00657679"/>
    <w:rsid w:val="006579F4"/>
    <w:rsid w:val="00661043"/>
    <w:rsid w:val="00661B40"/>
    <w:rsid w:val="00661C62"/>
    <w:rsid w:val="00661E02"/>
    <w:rsid w:val="00661FF6"/>
    <w:rsid w:val="0066305D"/>
    <w:rsid w:val="00664D74"/>
    <w:rsid w:val="00664F3D"/>
    <w:rsid w:val="00666DDA"/>
    <w:rsid w:val="00667598"/>
    <w:rsid w:val="00671852"/>
    <w:rsid w:val="00671BED"/>
    <w:rsid w:val="00672B5D"/>
    <w:rsid w:val="00672DB3"/>
    <w:rsid w:val="006748D0"/>
    <w:rsid w:val="00675A57"/>
    <w:rsid w:val="00675E2C"/>
    <w:rsid w:val="00680711"/>
    <w:rsid w:val="00680C71"/>
    <w:rsid w:val="00680FC7"/>
    <w:rsid w:val="006813FC"/>
    <w:rsid w:val="0068224C"/>
    <w:rsid w:val="006833F2"/>
    <w:rsid w:val="00684F6F"/>
    <w:rsid w:val="006850A8"/>
    <w:rsid w:val="00687DEE"/>
    <w:rsid w:val="00690F98"/>
    <w:rsid w:val="006922AD"/>
    <w:rsid w:val="00692397"/>
    <w:rsid w:val="006947A0"/>
    <w:rsid w:val="006947F4"/>
    <w:rsid w:val="00694A5E"/>
    <w:rsid w:val="00694FDC"/>
    <w:rsid w:val="0069567D"/>
    <w:rsid w:val="006967D2"/>
    <w:rsid w:val="0069736D"/>
    <w:rsid w:val="006A0361"/>
    <w:rsid w:val="006A06A6"/>
    <w:rsid w:val="006A2A16"/>
    <w:rsid w:val="006A2DD0"/>
    <w:rsid w:val="006A2ED3"/>
    <w:rsid w:val="006A3419"/>
    <w:rsid w:val="006A5235"/>
    <w:rsid w:val="006A55A0"/>
    <w:rsid w:val="006A731D"/>
    <w:rsid w:val="006A737E"/>
    <w:rsid w:val="006B0CF6"/>
    <w:rsid w:val="006B1DDB"/>
    <w:rsid w:val="006B2E57"/>
    <w:rsid w:val="006B5918"/>
    <w:rsid w:val="006B5952"/>
    <w:rsid w:val="006B5BB6"/>
    <w:rsid w:val="006B6197"/>
    <w:rsid w:val="006B62D3"/>
    <w:rsid w:val="006B6463"/>
    <w:rsid w:val="006B6633"/>
    <w:rsid w:val="006C03BB"/>
    <w:rsid w:val="006C0506"/>
    <w:rsid w:val="006C0E5D"/>
    <w:rsid w:val="006C154B"/>
    <w:rsid w:val="006C26EE"/>
    <w:rsid w:val="006C38B2"/>
    <w:rsid w:val="006C738B"/>
    <w:rsid w:val="006C7471"/>
    <w:rsid w:val="006C75A1"/>
    <w:rsid w:val="006D16C8"/>
    <w:rsid w:val="006D268D"/>
    <w:rsid w:val="006D33D0"/>
    <w:rsid w:val="006D3420"/>
    <w:rsid w:val="006D41CC"/>
    <w:rsid w:val="006D590C"/>
    <w:rsid w:val="006D5FDD"/>
    <w:rsid w:val="006D6963"/>
    <w:rsid w:val="006D6EEA"/>
    <w:rsid w:val="006E15B8"/>
    <w:rsid w:val="006E2659"/>
    <w:rsid w:val="006E43F5"/>
    <w:rsid w:val="006E5630"/>
    <w:rsid w:val="006E5E9B"/>
    <w:rsid w:val="006E60B8"/>
    <w:rsid w:val="006E6772"/>
    <w:rsid w:val="006F0072"/>
    <w:rsid w:val="006F21FF"/>
    <w:rsid w:val="006F2B7A"/>
    <w:rsid w:val="006F4BDE"/>
    <w:rsid w:val="006F4FB2"/>
    <w:rsid w:val="006F5660"/>
    <w:rsid w:val="006F6190"/>
    <w:rsid w:val="006F6795"/>
    <w:rsid w:val="006F68D8"/>
    <w:rsid w:val="007014D8"/>
    <w:rsid w:val="0070367D"/>
    <w:rsid w:val="00704227"/>
    <w:rsid w:val="007042FB"/>
    <w:rsid w:val="00704DA4"/>
    <w:rsid w:val="00705D2C"/>
    <w:rsid w:val="007063D6"/>
    <w:rsid w:val="00706798"/>
    <w:rsid w:val="00710596"/>
    <w:rsid w:val="00711D34"/>
    <w:rsid w:val="00712690"/>
    <w:rsid w:val="007127F1"/>
    <w:rsid w:val="00712D11"/>
    <w:rsid w:val="00713A0E"/>
    <w:rsid w:val="0071436D"/>
    <w:rsid w:val="007154C7"/>
    <w:rsid w:val="00715B88"/>
    <w:rsid w:val="00716DC8"/>
    <w:rsid w:val="00717A83"/>
    <w:rsid w:val="00720226"/>
    <w:rsid w:val="00721128"/>
    <w:rsid w:val="0072317F"/>
    <w:rsid w:val="0072373E"/>
    <w:rsid w:val="00726005"/>
    <w:rsid w:val="007268D7"/>
    <w:rsid w:val="00726FDF"/>
    <w:rsid w:val="007277D7"/>
    <w:rsid w:val="00730C35"/>
    <w:rsid w:val="00732EE3"/>
    <w:rsid w:val="007337C3"/>
    <w:rsid w:val="00733D26"/>
    <w:rsid w:val="0073632B"/>
    <w:rsid w:val="00736FD1"/>
    <w:rsid w:val="007375ED"/>
    <w:rsid w:val="007403DE"/>
    <w:rsid w:val="007407F1"/>
    <w:rsid w:val="007410D4"/>
    <w:rsid w:val="00741178"/>
    <w:rsid w:val="00743554"/>
    <w:rsid w:val="0074421B"/>
    <w:rsid w:val="00745616"/>
    <w:rsid w:val="00745DF8"/>
    <w:rsid w:val="007521CF"/>
    <w:rsid w:val="007525E6"/>
    <w:rsid w:val="0075277B"/>
    <w:rsid w:val="00752ADC"/>
    <w:rsid w:val="007537FB"/>
    <w:rsid w:val="00753F63"/>
    <w:rsid w:val="00754B7E"/>
    <w:rsid w:val="00757753"/>
    <w:rsid w:val="00757B3A"/>
    <w:rsid w:val="00760839"/>
    <w:rsid w:val="00761536"/>
    <w:rsid w:val="0076189D"/>
    <w:rsid w:val="00761C8D"/>
    <w:rsid w:val="00761E09"/>
    <w:rsid w:val="0076200F"/>
    <w:rsid w:val="00762C1C"/>
    <w:rsid w:val="00764557"/>
    <w:rsid w:val="0076598F"/>
    <w:rsid w:val="00765EE0"/>
    <w:rsid w:val="00766241"/>
    <w:rsid w:val="00766DBF"/>
    <w:rsid w:val="007710D1"/>
    <w:rsid w:val="00772B2C"/>
    <w:rsid w:val="00774D30"/>
    <w:rsid w:val="007752A3"/>
    <w:rsid w:val="007768A4"/>
    <w:rsid w:val="00776979"/>
    <w:rsid w:val="007805B1"/>
    <w:rsid w:val="007811E1"/>
    <w:rsid w:val="007812BA"/>
    <w:rsid w:val="0078148A"/>
    <w:rsid w:val="00781C6B"/>
    <w:rsid w:val="00782E8B"/>
    <w:rsid w:val="00783177"/>
    <w:rsid w:val="007842BA"/>
    <w:rsid w:val="0078432F"/>
    <w:rsid w:val="00784A5B"/>
    <w:rsid w:val="007855A2"/>
    <w:rsid w:val="00785A7C"/>
    <w:rsid w:val="00785AB0"/>
    <w:rsid w:val="00786C65"/>
    <w:rsid w:val="00791D20"/>
    <w:rsid w:val="007928AC"/>
    <w:rsid w:val="00792D02"/>
    <w:rsid w:val="00792E67"/>
    <w:rsid w:val="00793166"/>
    <w:rsid w:val="00793697"/>
    <w:rsid w:val="007938A3"/>
    <w:rsid w:val="007940FD"/>
    <w:rsid w:val="007943C0"/>
    <w:rsid w:val="007945D9"/>
    <w:rsid w:val="00794940"/>
    <w:rsid w:val="007973AA"/>
    <w:rsid w:val="00797CBD"/>
    <w:rsid w:val="007A085C"/>
    <w:rsid w:val="007A1181"/>
    <w:rsid w:val="007A190C"/>
    <w:rsid w:val="007A2ECA"/>
    <w:rsid w:val="007A3373"/>
    <w:rsid w:val="007A3382"/>
    <w:rsid w:val="007A457D"/>
    <w:rsid w:val="007A4625"/>
    <w:rsid w:val="007A596D"/>
    <w:rsid w:val="007A5F7E"/>
    <w:rsid w:val="007A6D06"/>
    <w:rsid w:val="007A7C1D"/>
    <w:rsid w:val="007B0142"/>
    <w:rsid w:val="007B0AA5"/>
    <w:rsid w:val="007B19D2"/>
    <w:rsid w:val="007B1C55"/>
    <w:rsid w:val="007B27A5"/>
    <w:rsid w:val="007B2B46"/>
    <w:rsid w:val="007B2FA6"/>
    <w:rsid w:val="007B3F65"/>
    <w:rsid w:val="007B4F7D"/>
    <w:rsid w:val="007B56E5"/>
    <w:rsid w:val="007B5B28"/>
    <w:rsid w:val="007B5BA7"/>
    <w:rsid w:val="007B61E1"/>
    <w:rsid w:val="007B6D63"/>
    <w:rsid w:val="007B6D68"/>
    <w:rsid w:val="007B7643"/>
    <w:rsid w:val="007B7754"/>
    <w:rsid w:val="007C368B"/>
    <w:rsid w:val="007C371F"/>
    <w:rsid w:val="007C3D21"/>
    <w:rsid w:val="007C4297"/>
    <w:rsid w:val="007C45E1"/>
    <w:rsid w:val="007C4694"/>
    <w:rsid w:val="007C72DA"/>
    <w:rsid w:val="007C75CD"/>
    <w:rsid w:val="007C7EF2"/>
    <w:rsid w:val="007D277A"/>
    <w:rsid w:val="007D3386"/>
    <w:rsid w:val="007D3E6C"/>
    <w:rsid w:val="007D50DD"/>
    <w:rsid w:val="007D61AA"/>
    <w:rsid w:val="007D6A7A"/>
    <w:rsid w:val="007E2152"/>
    <w:rsid w:val="007E2C97"/>
    <w:rsid w:val="007E3C0A"/>
    <w:rsid w:val="007E6ABF"/>
    <w:rsid w:val="007F01B0"/>
    <w:rsid w:val="007F02C5"/>
    <w:rsid w:val="007F317F"/>
    <w:rsid w:val="007F341E"/>
    <w:rsid w:val="007F3C9E"/>
    <w:rsid w:val="007F3DD6"/>
    <w:rsid w:val="007F4062"/>
    <w:rsid w:val="007F425D"/>
    <w:rsid w:val="007F4276"/>
    <w:rsid w:val="007F5C71"/>
    <w:rsid w:val="007F65CD"/>
    <w:rsid w:val="007F6A2E"/>
    <w:rsid w:val="007F7431"/>
    <w:rsid w:val="007F7777"/>
    <w:rsid w:val="007F7CD9"/>
    <w:rsid w:val="008001EC"/>
    <w:rsid w:val="008005BF"/>
    <w:rsid w:val="008007B7"/>
    <w:rsid w:val="008017A4"/>
    <w:rsid w:val="00802D3E"/>
    <w:rsid w:val="008030B3"/>
    <w:rsid w:val="008030FF"/>
    <w:rsid w:val="00803329"/>
    <w:rsid w:val="00803851"/>
    <w:rsid w:val="00803990"/>
    <w:rsid w:val="008048F1"/>
    <w:rsid w:val="00804E4F"/>
    <w:rsid w:val="00804EDB"/>
    <w:rsid w:val="0080544A"/>
    <w:rsid w:val="00805643"/>
    <w:rsid w:val="00806B9C"/>
    <w:rsid w:val="00807941"/>
    <w:rsid w:val="00810F0A"/>
    <w:rsid w:val="0081181E"/>
    <w:rsid w:val="00811E6B"/>
    <w:rsid w:val="00811E75"/>
    <w:rsid w:val="00812038"/>
    <w:rsid w:val="00812045"/>
    <w:rsid w:val="0081403B"/>
    <w:rsid w:val="008153A9"/>
    <w:rsid w:val="0081559A"/>
    <w:rsid w:val="00815762"/>
    <w:rsid w:val="00815D4B"/>
    <w:rsid w:val="008163A4"/>
    <w:rsid w:val="00816670"/>
    <w:rsid w:val="008167D3"/>
    <w:rsid w:val="00820C3F"/>
    <w:rsid w:val="00820DEB"/>
    <w:rsid w:val="008211E2"/>
    <w:rsid w:val="00822433"/>
    <w:rsid w:val="00823953"/>
    <w:rsid w:val="00823B00"/>
    <w:rsid w:val="00824A59"/>
    <w:rsid w:val="00826719"/>
    <w:rsid w:val="008276BC"/>
    <w:rsid w:val="00830130"/>
    <w:rsid w:val="00831843"/>
    <w:rsid w:val="00831F38"/>
    <w:rsid w:val="00832171"/>
    <w:rsid w:val="00832358"/>
    <w:rsid w:val="00832584"/>
    <w:rsid w:val="00832609"/>
    <w:rsid w:val="0083291F"/>
    <w:rsid w:val="00832FF4"/>
    <w:rsid w:val="00833A99"/>
    <w:rsid w:val="00834665"/>
    <w:rsid w:val="0083547B"/>
    <w:rsid w:val="00835EA7"/>
    <w:rsid w:val="00836777"/>
    <w:rsid w:val="008368DB"/>
    <w:rsid w:val="00840E39"/>
    <w:rsid w:val="0084198F"/>
    <w:rsid w:val="00843276"/>
    <w:rsid w:val="0084531B"/>
    <w:rsid w:val="00846229"/>
    <w:rsid w:val="0084623D"/>
    <w:rsid w:val="00846D59"/>
    <w:rsid w:val="00847124"/>
    <w:rsid w:val="00847D4F"/>
    <w:rsid w:val="00847D71"/>
    <w:rsid w:val="0085102D"/>
    <w:rsid w:val="00851DEC"/>
    <w:rsid w:val="00852919"/>
    <w:rsid w:val="008530D8"/>
    <w:rsid w:val="0085324F"/>
    <w:rsid w:val="00853911"/>
    <w:rsid w:val="00855F5F"/>
    <w:rsid w:val="00860351"/>
    <w:rsid w:val="00861EA5"/>
    <w:rsid w:val="0086392F"/>
    <w:rsid w:val="0086393F"/>
    <w:rsid w:val="00863B01"/>
    <w:rsid w:val="0086478C"/>
    <w:rsid w:val="0086531F"/>
    <w:rsid w:val="008665A5"/>
    <w:rsid w:val="008667FD"/>
    <w:rsid w:val="00866895"/>
    <w:rsid w:val="0086765B"/>
    <w:rsid w:val="00870CD1"/>
    <w:rsid w:val="008718DC"/>
    <w:rsid w:val="0087198A"/>
    <w:rsid w:val="00871ABD"/>
    <w:rsid w:val="00871C59"/>
    <w:rsid w:val="00874415"/>
    <w:rsid w:val="00876999"/>
    <w:rsid w:val="0087762F"/>
    <w:rsid w:val="00880874"/>
    <w:rsid w:val="00882178"/>
    <w:rsid w:val="00882A9D"/>
    <w:rsid w:val="008846A1"/>
    <w:rsid w:val="00884A55"/>
    <w:rsid w:val="00884DFE"/>
    <w:rsid w:val="00885603"/>
    <w:rsid w:val="008859B4"/>
    <w:rsid w:val="008866B2"/>
    <w:rsid w:val="0088764D"/>
    <w:rsid w:val="0088796C"/>
    <w:rsid w:val="00887B83"/>
    <w:rsid w:val="00887CA4"/>
    <w:rsid w:val="00890E36"/>
    <w:rsid w:val="00891270"/>
    <w:rsid w:val="008918AF"/>
    <w:rsid w:val="00891921"/>
    <w:rsid w:val="00891C57"/>
    <w:rsid w:val="0089232C"/>
    <w:rsid w:val="00893192"/>
    <w:rsid w:val="0089349D"/>
    <w:rsid w:val="00894DDD"/>
    <w:rsid w:val="00894FC4"/>
    <w:rsid w:val="008961C9"/>
    <w:rsid w:val="0089651A"/>
    <w:rsid w:val="00896B3A"/>
    <w:rsid w:val="00896CB5"/>
    <w:rsid w:val="00897228"/>
    <w:rsid w:val="0089744C"/>
    <w:rsid w:val="008A0012"/>
    <w:rsid w:val="008A11F3"/>
    <w:rsid w:val="008A1E79"/>
    <w:rsid w:val="008A2668"/>
    <w:rsid w:val="008A2CC7"/>
    <w:rsid w:val="008A2F5E"/>
    <w:rsid w:val="008A348E"/>
    <w:rsid w:val="008A4681"/>
    <w:rsid w:val="008A54F8"/>
    <w:rsid w:val="008A61E0"/>
    <w:rsid w:val="008B1800"/>
    <w:rsid w:val="008B1C2F"/>
    <w:rsid w:val="008B328E"/>
    <w:rsid w:val="008B43F6"/>
    <w:rsid w:val="008B5876"/>
    <w:rsid w:val="008B7B4A"/>
    <w:rsid w:val="008C0236"/>
    <w:rsid w:val="008C218F"/>
    <w:rsid w:val="008C2564"/>
    <w:rsid w:val="008C2E57"/>
    <w:rsid w:val="008C3336"/>
    <w:rsid w:val="008C3CE1"/>
    <w:rsid w:val="008C3E77"/>
    <w:rsid w:val="008C46F9"/>
    <w:rsid w:val="008C48DF"/>
    <w:rsid w:val="008C4940"/>
    <w:rsid w:val="008C52A5"/>
    <w:rsid w:val="008C52DF"/>
    <w:rsid w:val="008C5E1F"/>
    <w:rsid w:val="008C6102"/>
    <w:rsid w:val="008D0CDE"/>
    <w:rsid w:val="008D0F32"/>
    <w:rsid w:val="008D0F99"/>
    <w:rsid w:val="008D13C3"/>
    <w:rsid w:val="008D2841"/>
    <w:rsid w:val="008D3B8E"/>
    <w:rsid w:val="008D48E6"/>
    <w:rsid w:val="008D547C"/>
    <w:rsid w:val="008D54B6"/>
    <w:rsid w:val="008D598E"/>
    <w:rsid w:val="008D5F92"/>
    <w:rsid w:val="008D6B07"/>
    <w:rsid w:val="008D7385"/>
    <w:rsid w:val="008D7ECD"/>
    <w:rsid w:val="008E0A2B"/>
    <w:rsid w:val="008E0BCC"/>
    <w:rsid w:val="008E1B6F"/>
    <w:rsid w:val="008E2088"/>
    <w:rsid w:val="008E216C"/>
    <w:rsid w:val="008E2650"/>
    <w:rsid w:val="008E2F42"/>
    <w:rsid w:val="008E38CC"/>
    <w:rsid w:val="008E3D25"/>
    <w:rsid w:val="008E763A"/>
    <w:rsid w:val="008E78C0"/>
    <w:rsid w:val="008E7FF5"/>
    <w:rsid w:val="008F0450"/>
    <w:rsid w:val="008F0761"/>
    <w:rsid w:val="008F1BF5"/>
    <w:rsid w:val="008F2646"/>
    <w:rsid w:val="008F3606"/>
    <w:rsid w:val="008F53DF"/>
    <w:rsid w:val="008F6C5E"/>
    <w:rsid w:val="008F6F42"/>
    <w:rsid w:val="008F76C2"/>
    <w:rsid w:val="00900A81"/>
    <w:rsid w:val="00900A92"/>
    <w:rsid w:val="00900F20"/>
    <w:rsid w:val="00902C63"/>
    <w:rsid w:val="00902D9A"/>
    <w:rsid w:val="00902E42"/>
    <w:rsid w:val="00903C7B"/>
    <w:rsid w:val="00905498"/>
    <w:rsid w:val="0090669C"/>
    <w:rsid w:val="00906708"/>
    <w:rsid w:val="0090708C"/>
    <w:rsid w:val="0090765B"/>
    <w:rsid w:val="009100D2"/>
    <w:rsid w:val="00910377"/>
    <w:rsid w:val="0091049E"/>
    <w:rsid w:val="00910529"/>
    <w:rsid w:val="00910833"/>
    <w:rsid w:val="00910AC1"/>
    <w:rsid w:val="00911509"/>
    <w:rsid w:val="00911511"/>
    <w:rsid w:val="00912973"/>
    <w:rsid w:val="00913205"/>
    <w:rsid w:val="00913A4C"/>
    <w:rsid w:val="009148E0"/>
    <w:rsid w:val="00915524"/>
    <w:rsid w:val="00915A5E"/>
    <w:rsid w:val="00915C36"/>
    <w:rsid w:val="009167CB"/>
    <w:rsid w:val="00916EEE"/>
    <w:rsid w:val="00917A91"/>
    <w:rsid w:val="00922043"/>
    <w:rsid w:val="00922573"/>
    <w:rsid w:val="00922924"/>
    <w:rsid w:val="00922E64"/>
    <w:rsid w:val="009237E3"/>
    <w:rsid w:val="00924272"/>
    <w:rsid w:val="009245DA"/>
    <w:rsid w:val="009256AF"/>
    <w:rsid w:val="00926623"/>
    <w:rsid w:val="00926875"/>
    <w:rsid w:val="009268E0"/>
    <w:rsid w:val="009317F9"/>
    <w:rsid w:val="00932178"/>
    <w:rsid w:val="00932326"/>
    <w:rsid w:val="009331FD"/>
    <w:rsid w:val="00933610"/>
    <w:rsid w:val="00933BCD"/>
    <w:rsid w:val="00933C4B"/>
    <w:rsid w:val="00933F4C"/>
    <w:rsid w:val="00934376"/>
    <w:rsid w:val="00934547"/>
    <w:rsid w:val="009348B6"/>
    <w:rsid w:val="00935256"/>
    <w:rsid w:val="0093525E"/>
    <w:rsid w:val="00935601"/>
    <w:rsid w:val="00937F59"/>
    <w:rsid w:val="009405B6"/>
    <w:rsid w:val="009414CA"/>
    <w:rsid w:val="00941979"/>
    <w:rsid w:val="00941FA4"/>
    <w:rsid w:val="00942B37"/>
    <w:rsid w:val="00943EA5"/>
    <w:rsid w:val="00943F0A"/>
    <w:rsid w:val="00946029"/>
    <w:rsid w:val="00946977"/>
    <w:rsid w:val="009478E6"/>
    <w:rsid w:val="00947BC0"/>
    <w:rsid w:val="009500C7"/>
    <w:rsid w:val="009506F7"/>
    <w:rsid w:val="00952094"/>
    <w:rsid w:val="009529BF"/>
    <w:rsid w:val="0095478A"/>
    <w:rsid w:val="00954A9A"/>
    <w:rsid w:val="009559B3"/>
    <w:rsid w:val="00955F82"/>
    <w:rsid w:val="00956B27"/>
    <w:rsid w:val="0095728D"/>
    <w:rsid w:val="00957A4E"/>
    <w:rsid w:val="00960566"/>
    <w:rsid w:val="0096249E"/>
    <w:rsid w:val="00962C61"/>
    <w:rsid w:val="00963421"/>
    <w:rsid w:val="0096456B"/>
    <w:rsid w:val="00964BB8"/>
    <w:rsid w:val="00964FE9"/>
    <w:rsid w:val="009653E7"/>
    <w:rsid w:val="00967088"/>
    <w:rsid w:val="00967A3C"/>
    <w:rsid w:val="00967DA7"/>
    <w:rsid w:val="00970C2D"/>
    <w:rsid w:val="00970D4E"/>
    <w:rsid w:val="0097108A"/>
    <w:rsid w:val="009715ED"/>
    <w:rsid w:val="00972EF1"/>
    <w:rsid w:val="00972F36"/>
    <w:rsid w:val="0097343B"/>
    <w:rsid w:val="00973665"/>
    <w:rsid w:val="00973F0C"/>
    <w:rsid w:val="00973FA7"/>
    <w:rsid w:val="00974B1F"/>
    <w:rsid w:val="00975FBF"/>
    <w:rsid w:val="00976257"/>
    <w:rsid w:val="00977206"/>
    <w:rsid w:val="00977492"/>
    <w:rsid w:val="00977971"/>
    <w:rsid w:val="00977FF4"/>
    <w:rsid w:val="00980129"/>
    <w:rsid w:val="00980CAE"/>
    <w:rsid w:val="00982020"/>
    <w:rsid w:val="009825BB"/>
    <w:rsid w:val="00982695"/>
    <w:rsid w:val="00982B4C"/>
    <w:rsid w:val="00984716"/>
    <w:rsid w:val="00984ED8"/>
    <w:rsid w:val="00985BBE"/>
    <w:rsid w:val="00987E61"/>
    <w:rsid w:val="0099470D"/>
    <w:rsid w:val="00995E85"/>
    <w:rsid w:val="00995F62"/>
    <w:rsid w:val="00996333"/>
    <w:rsid w:val="00996E25"/>
    <w:rsid w:val="00997F58"/>
    <w:rsid w:val="009A02AE"/>
    <w:rsid w:val="009A0EB4"/>
    <w:rsid w:val="009A1E28"/>
    <w:rsid w:val="009A3A3A"/>
    <w:rsid w:val="009A444C"/>
    <w:rsid w:val="009A451B"/>
    <w:rsid w:val="009A520B"/>
    <w:rsid w:val="009A57D4"/>
    <w:rsid w:val="009A5BE8"/>
    <w:rsid w:val="009A5E42"/>
    <w:rsid w:val="009A6BFA"/>
    <w:rsid w:val="009A7144"/>
    <w:rsid w:val="009A7612"/>
    <w:rsid w:val="009A78D1"/>
    <w:rsid w:val="009A7EDD"/>
    <w:rsid w:val="009B0264"/>
    <w:rsid w:val="009B0D79"/>
    <w:rsid w:val="009B22B5"/>
    <w:rsid w:val="009B2F94"/>
    <w:rsid w:val="009B34B4"/>
    <w:rsid w:val="009B4280"/>
    <w:rsid w:val="009B58E6"/>
    <w:rsid w:val="009B6515"/>
    <w:rsid w:val="009B66D3"/>
    <w:rsid w:val="009C1D3F"/>
    <w:rsid w:val="009C2881"/>
    <w:rsid w:val="009C2A4E"/>
    <w:rsid w:val="009C2B61"/>
    <w:rsid w:val="009C3041"/>
    <w:rsid w:val="009C464E"/>
    <w:rsid w:val="009C4DAE"/>
    <w:rsid w:val="009C4EEF"/>
    <w:rsid w:val="009C5703"/>
    <w:rsid w:val="009C6955"/>
    <w:rsid w:val="009C6FFA"/>
    <w:rsid w:val="009C6FFB"/>
    <w:rsid w:val="009C7608"/>
    <w:rsid w:val="009C7AC0"/>
    <w:rsid w:val="009C7CD0"/>
    <w:rsid w:val="009D121E"/>
    <w:rsid w:val="009D1D9A"/>
    <w:rsid w:val="009D43DF"/>
    <w:rsid w:val="009D46FD"/>
    <w:rsid w:val="009D4797"/>
    <w:rsid w:val="009D54C3"/>
    <w:rsid w:val="009D5655"/>
    <w:rsid w:val="009D5FC8"/>
    <w:rsid w:val="009D6C5C"/>
    <w:rsid w:val="009D7E97"/>
    <w:rsid w:val="009E032A"/>
    <w:rsid w:val="009E0E7B"/>
    <w:rsid w:val="009E1588"/>
    <w:rsid w:val="009E165E"/>
    <w:rsid w:val="009E184B"/>
    <w:rsid w:val="009E3975"/>
    <w:rsid w:val="009E4B43"/>
    <w:rsid w:val="009E50EB"/>
    <w:rsid w:val="009E5963"/>
    <w:rsid w:val="009E6250"/>
    <w:rsid w:val="009E66FD"/>
    <w:rsid w:val="009E6A2D"/>
    <w:rsid w:val="009E708E"/>
    <w:rsid w:val="009E73A8"/>
    <w:rsid w:val="009F0DD9"/>
    <w:rsid w:val="009F1077"/>
    <w:rsid w:val="009F246D"/>
    <w:rsid w:val="009F29D0"/>
    <w:rsid w:val="009F38AA"/>
    <w:rsid w:val="009F4E4D"/>
    <w:rsid w:val="009F4FF9"/>
    <w:rsid w:val="009F5F24"/>
    <w:rsid w:val="009F7599"/>
    <w:rsid w:val="009F79B6"/>
    <w:rsid w:val="009F7E35"/>
    <w:rsid w:val="009F7E85"/>
    <w:rsid w:val="00A00132"/>
    <w:rsid w:val="00A00EA0"/>
    <w:rsid w:val="00A0321A"/>
    <w:rsid w:val="00A03524"/>
    <w:rsid w:val="00A03DA1"/>
    <w:rsid w:val="00A042BB"/>
    <w:rsid w:val="00A05394"/>
    <w:rsid w:val="00A05901"/>
    <w:rsid w:val="00A05962"/>
    <w:rsid w:val="00A06090"/>
    <w:rsid w:val="00A06FBC"/>
    <w:rsid w:val="00A0746C"/>
    <w:rsid w:val="00A07626"/>
    <w:rsid w:val="00A07B7B"/>
    <w:rsid w:val="00A10B2D"/>
    <w:rsid w:val="00A10F12"/>
    <w:rsid w:val="00A11403"/>
    <w:rsid w:val="00A11D60"/>
    <w:rsid w:val="00A1241E"/>
    <w:rsid w:val="00A13FEA"/>
    <w:rsid w:val="00A14054"/>
    <w:rsid w:val="00A159C1"/>
    <w:rsid w:val="00A163E2"/>
    <w:rsid w:val="00A16743"/>
    <w:rsid w:val="00A16B39"/>
    <w:rsid w:val="00A16D22"/>
    <w:rsid w:val="00A16E9D"/>
    <w:rsid w:val="00A2040A"/>
    <w:rsid w:val="00A21584"/>
    <w:rsid w:val="00A2254B"/>
    <w:rsid w:val="00A226E4"/>
    <w:rsid w:val="00A22A2A"/>
    <w:rsid w:val="00A22E8F"/>
    <w:rsid w:val="00A23363"/>
    <w:rsid w:val="00A23377"/>
    <w:rsid w:val="00A236F3"/>
    <w:rsid w:val="00A247D2"/>
    <w:rsid w:val="00A250F9"/>
    <w:rsid w:val="00A26551"/>
    <w:rsid w:val="00A305E7"/>
    <w:rsid w:val="00A30699"/>
    <w:rsid w:val="00A30745"/>
    <w:rsid w:val="00A30E14"/>
    <w:rsid w:val="00A312DD"/>
    <w:rsid w:val="00A31539"/>
    <w:rsid w:val="00A31D8E"/>
    <w:rsid w:val="00A32023"/>
    <w:rsid w:val="00A3285E"/>
    <w:rsid w:val="00A33177"/>
    <w:rsid w:val="00A335EA"/>
    <w:rsid w:val="00A34AA1"/>
    <w:rsid w:val="00A34F44"/>
    <w:rsid w:val="00A36184"/>
    <w:rsid w:val="00A36868"/>
    <w:rsid w:val="00A37191"/>
    <w:rsid w:val="00A37957"/>
    <w:rsid w:val="00A4024B"/>
    <w:rsid w:val="00A403A8"/>
    <w:rsid w:val="00A403ED"/>
    <w:rsid w:val="00A40934"/>
    <w:rsid w:val="00A42640"/>
    <w:rsid w:val="00A44B96"/>
    <w:rsid w:val="00A46016"/>
    <w:rsid w:val="00A46276"/>
    <w:rsid w:val="00A46437"/>
    <w:rsid w:val="00A46D5B"/>
    <w:rsid w:val="00A46F02"/>
    <w:rsid w:val="00A517E8"/>
    <w:rsid w:val="00A52C89"/>
    <w:rsid w:val="00A52D8B"/>
    <w:rsid w:val="00A533E5"/>
    <w:rsid w:val="00A53E30"/>
    <w:rsid w:val="00A53F8D"/>
    <w:rsid w:val="00A540F0"/>
    <w:rsid w:val="00A54DDA"/>
    <w:rsid w:val="00A55AD6"/>
    <w:rsid w:val="00A55B47"/>
    <w:rsid w:val="00A55CC6"/>
    <w:rsid w:val="00A55EAF"/>
    <w:rsid w:val="00A5646F"/>
    <w:rsid w:val="00A5652F"/>
    <w:rsid w:val="00A56DAE"/>
    <w:rsid w:val="00A626F5"/>
    <w:rsid w:val="00A6295B"/>
    <w:rsid w:val="00A63971"/>
    <w:rsid w:val="00A63BBB"/>
    <w:rsid w:val="00A63DF1"/>
    <w:rsid w:val="00A63F7B"/>
    <w:rsid w:val="00A659DA"/>
    <w:rsid w:val="00A66E25"/>
    <w:rsid w:val="00A6710E"/>
    <w:rsid w:val="00A67A99"/>
    <w:rsid w:val="00A70366"/>
    <w:rsid w:val="00A7166A"/>
    <w:rsid w:val="00A72978"/>
    <w:rsid w:val="00A7310F"/>
    <w:rsid w:val="00A750D0"/>
    <w:rsid w:val="00A75673"/>
    <w:rsid w:val="00A76C9D"/>
    <w:rsid w:val="00A7751D"/>
    <w:rsid w:val="00A80AB1"/>
    <w:rsid w:val="00A8191C"/>
    <w:rsid w:val="00A82A79"/>
    <w:rsid w:val="00A82B7C"/>
    <w:rsid w:val="00A8319E"/>
    <w:rsid w:val="00A846E7"/>
    <w:rsid w:val="00A857CF"/>
    <w:rsid w:val="00A85F68"/>
    <w:rsid w:val="00A86047"/>
    <w:rsid w:val="00A87D22"/>
    <w:rsid w:val="00A87F92"/>
    <w:rsid w:val="00A90AB3"/>
    <w:rsid w:val="00A9179A"/>
    <w:rsid w:val="00A91DDE"/>
    <w:rsid w:val="00A92633"/>
    <w:rsid w:val="00A926E6"/>
    <w:rsid w:val="00A93696"/>
    <w:rsid w:val="00A936E9"/>
    <w:rsid w:val="00A93C07"/>
    <w:rsid w:val="00A93EEC"/>
    <w:rsid w:val="00A9427D"/>
    <w:rsid w:val="00A94583"/>
    <w:rsid w:val="00A94778"/>
    <w:rsid w:val="00A9580F"/>
    <w:rsid w:val="00A95810"/>
    <w:rsid w:val="00A95922"/>
    <w:rsid w:val="00A9599F"/>
    <w:rsid w:val="00A9602D"/>
    <w:rsid w:val="00A963D1"/>
    <w:rsid w:val="00A97375"/>
    <w:rsid w:val="00A97905"/>
    <w:rsid w:val="00A97ABC"/>
    <w:rsid w:val="00AA01DF"/>
    <w:rsid w:val="00AA0BC8"/>
    <w:rsid w:val="00AA0F1C"/>
    <w:rsid w:val="00AA121F"/>
    <w:rsid w:val="00AA1EF1"/>
    <w:rsid w:val="00AA272D"/>
    <w:rsid w:val="00AA295E"/>
    <w:rsid w:val="00AA3553"/>
    <w:rsid w:val="00AA35EB"/>
    <w:rsid w:val="00AA3B55"/>
    <w:rsid w:val="00AA4833"/>
    <w:rsid w:val="00AA4BE3"/>
    <w:rsid w:val="00AA5462"/>
    <w:rsid w:val="00AA5552"/>
    <w:rsid w:val="00AA62C3"/>
    <w:rsid w:val="00AA6563"/>
    <w:rsid w:val="00AA7147"/>
    <w:rsid w:val="00AA72A1"/>
    <w:rsid w:val="00AA791A"/>
    <w:rsid w:val="00AB0F0E"/>
    <w:rsid w:val="00AB1699"/>
    <w:rsid w:val="00AB2B93"/>
    <w:rsid w:val="00AC15AD"/>
    <w:rsid w:val="00AC29C8"/>
    <w:rsid w:val="00AC39BB"/>
    <w:rsid w:val="00AC3B7F"/>
    <w:rsid w:val="00AC5DA7"/>
    <w:rsid w:val="00AC6358"/>
    <w:rsid w:val="00AC7127"/>
    <w:rsid w:val="00AC7F22"/>
    <w:rsid w:val="00AD05F0"/>
    <w:rsid w:val="00AD07AA"/>
    <w:rsid w:val="00AD1743"/>
    <w:rsid w:val="00AD1ECC"/>
    <w:rsid w:val="00AD2AF5"/>
    <w:rsid w:val="00AD30D6"/>
    <w:rsid w:val="00AD33ED"/>
    <w:rsid w:val="00AD3E5F"/>
    <w:rsid w:val="00AD4833"/>
    <w:rsid w:val="00AD4FC4"/>
    <w:rsid w:val="00AD601C"/>
    <w:rsid w:val="00AD6497"/>
    <w:rsid w:val="00AD7919"/>
    <w:rsid w:val="00AD7D76"/>
    <w:rsid w:val="00AE0048"/>
    <w:rsid w:val="00AE10F0"/>
    <w:rsid w:val="00AE18DD"/>
    <w:rsid w:val="00AE2574"/>
    <w:rsid w:val="00AE2F51"/>
    <w:rsid w:val="00AE6AE5"/>
    <w:rsid w:val="00AF055D"/>
    <w:rsid w:val="00AF1068"/>
    <w:rsid w:val="00AF19BA"/>
    <w:rsid w:val="00AF2316"/>
    <w:rsid w:val="00AF3B43"/>
    <w:rsid w:val="00AF3BA0"/>
    <w:rsid w:val="00AF5F51"/>
    <w:rsid w:val="00AF6B20"/>
    <w:rsid w:val="00AF765C"/>
    <w:rsid w:val="00AF7C01"/>
    <w:rsid w:val="00B00BFE"/>
    <w:rsid w:val="00B014F5"/>
    <w:rsid w:val="00B02018"/>
    <w:rsid w:val="00B026AC"/>
    <w:rsid w:val="00B02888"/>
    <w:rsid w:val="00B03B44"/>
    <w:rsid w:val="00B03FC8"/>
    <w:rsid w:val="00B03FD0"/>
    <w:rsid w:val="00B0488E"/>
    <w:rsid w:val="00B049A1"/>
    <w:rsid w:val="00B04C64"/>
    <w:rsid w:val="00B06358"/>
    <w:rsid w:val="00B067B2"/>
    <w:rsid w:val="00B06E9E"/>
    <w:rsid w:val="00B109E4"/>
    <w:rsid w:val="00B10AEE"/>
    <w:rsid w:val="00B12EC0"/>
    <w:rsid w:val="00B136C7"/>
    <w:rsid w:val="00B14B92"/>
    <w:rsid w:val="00B15A3E"/>
    <w:rsid w:val="00B16928"/>
    <w:rsid w:val="00B17101"/>
    <w:rsid w:val="00B17A9B"/>
    <w:rsid w:val="00B17CA0"/>
    <w:rsid w:val="00B20944"/>
    <w:rsid w:val="00B20AFF"/>
    <w:rsid w:val="00B212B0"/>
    <w:rsid w:val="00B21601"/>
    <w:rsid w:val="00B22A12"/>
    <w:rsid w:val="00B22FBA"/>
    <w:rsid w:val="00B2327A"/>
    <w:rsid w:val="00B23A0B"/>
    <w:rsid w:val="00B2572D"/>
    <w:rsid w:val="00B26009"/>
    <w:rsid w:val="00B26B43"/>
    <w:rsid w:val="00B306FB"/>
    <w:rsid w:val="00B30733"/>
    <w:rsid w:val="00B30931"/>
    <w:rsid w:val="00B33153"/>
    <w:rsid w:val="00B336D6"/>
    <w:rsid w:val="00B342C5"/>
    <w:rsid w:val="00B34FD9"/>
    <w:rsid w:val="00B36058"/>
    <w:rsid w:val="00B36399"/>
    <w:rsid w:val="00B366DA"/>
    <w:rsid w:val="00B36D33"/>
    <w:rsid w:val="00B3734F"/>
    <w:rsid w:val="00B3776C"/>
    <w:rsid w:val="00B40802"/>
    <w:rsid w:val="00B41031"/>
    <w:rsid w:val="00B41327"/>
    <w:rsid w:val="00B41B65"/>
    <w:rsid w:val="00B44021"/>
    <w:rsid w:val="00B445B5"/>
    <w:rsid w:val="00B448E1"/>
    <w:rsid w:val="00B4546F"/>
    <w:rsid w:val="00B45756"/>
    <w:rsid w:val="00B4589F"/>
    <w:rsid w:val="00B46249"/>
    <w:rsid w:val="00B46B5C"/>
    <w:rsid w:val="00B504CA"/>
    <w:rsid w:val="00B50852"/>
    <w:rsid w:val="00B50A90"/>
    <w:rsid w:val="00B525EA"/>
    <w:rsid w:val="00B526B5"/>
    <w:rsid w:val="00B52A26"/>
    <w:rsid w:val="00B52EE0"/>
    <w:rsid w:val="00B52F92"/>
    <w:rsid w:val="00B5380C"/>
    <w:rsid w:val="00B53AFC"/>
    <w:rsid w:val="00B53BDC"/>
    <w:rsid w:val="00B556EB"/>
    <w:rsid w:val="00B56485"/>
    <w:rsid w:val="00B56955"/>
    <w:rsid w:val="00B57293"/>
    <w:rsid w:val="00B57A7B"/>
    <w:rsid w:val="00B60337"/>
    <w:rsid w:val="00B627D8"/>
    <w:rsid w:val="00B639B9"/>
    <w:rsid w:val="00B651E6"/>
    <w:rsid w:val="00B65733"/>
    <w:rsid w:val="00B676E5"/>
    <w:rsid w:val="00B720CF"/>
    <w:rsid w:val="00B72D1B"/>
    <w:rsid w:val="00B75584"/>
    <w:rsid w:val="00B761F7"/>
    <w:rsid w:val="00B762B6"/>
    <w:rsid w:val="00B76607"/>
    <w:rsid w:val="00B76CCB"/>
    <w:rsid w:val="00B77142"/>
    <w:rsid w:val="00B77875"/>
    <w:rsid w:val="00B80378"/>
    <w:rsid w:val="00B803E9"/>
    <w:rsid w:val="00B8221F"/>
    <w:rsid w:val="00B828C6"/>
    <w:rsid w:val="00B83A56"/>
    <w:rsid w:val="00B83BA0"/>
    <w:rsid w:val="00B842A7"/>
    <w:rsid w:val="00B849DD"/>
    <w:rsid w:val="00B84B7D"/>
    <w:rsid w:val="00B84E7C"/>
    <w:rsid w:val="00B85056"/>
    <w:rsid w:val="00B85928"/>
    <w:rsid w:val="00B862B2"/>
    <w:rsid w:val="00B8631B"/>
    <w:rsid w:val="00B875EC"/>
    <w:rsid w:val="00B87803"/>
    <w:rsid w:val="00B90751"/>
    <w:rsid w:val="00B92DDC"/>
    <w:rsid w:val="00B93974"/>
    <w:rsid w:val="00B95B4E"/>
    <w:rsid w:val="00B96EDB"/>
    <w:rsid w:val="00B97205"/>
    <w:rsid w:val="00B9775C"/>
    <w:rsid w:val="00B979A2"/>
    <w:rsid w:val="00BA080F"/>
    <w:rsid w:val="00BA14E0"/>
    <w:rsid w:val="00BA2521"/>
    <w:rsid w:val="00BA28E8"/>
    <w:rsid w:val="00BA30A5"/>
    <w:rsid w:val="00BA3806"/>
    <w:rsid w:val="00BA4E55"/>
    <w:rsid w:val="00BA5E99"/>
    <w:rsid w:val="00BA6C40"/>
    <w:rsid w:val="00BA754E"/>
    <w:rsid w:val="00BA7B80"/>
    <w:rsid w:val="00BB0085"/>
    <w:rsid w:val="00BB0935"/>
    <w:rsid w:val="00BB118A"/>
    <w:rsid w:val="00BB1674"/>
    <w:rsid w:val="00BB2F9F"/>
    <w:rsid w:val="00BB3C2E"/>
    <w:rsid w:val="00BB50C1"/>
    <w:rsid w:val="00BB5472"/>
    <w:rsid w:val="00BB5499"/>
    <w:rsid w:val="00BB683A"/>
    <w:rsid w:val="00BB6CB6"/>
    <w:rsid w:val="00BB6D53"/>
    <w:rsid w:val="00BC116C"/>
    <w:rsid w:val="00BC1234"/>
    <w:rsid w:val="00BC1456"/>
    <w:rsid w:val="00BC1A5D"/>
    <w:rsid w:val="00BC1C28"/>
    <w:rsid w:val="00BC2232"/>
    <w:rsid w:val="00BC2ECF"/>
    <w:rsid w:val="00BC3863"/>
    <w:rsid w:val="00BC4520"/>
    <w:rsid w:val="00BC4BFA"/>
    <w:rsid w:val="00BC4EC8"/>
    <w:rsid w:val="00BC51AD"/>
    <w:rsid w:val="00BC533F"/>
    <w:rsid w:val="00BC5C5B"/>
    <w:rsid w:val="00BC7574"/>
    <w:rsid w:val="00BD0650"/>
    <w:rsid w:val="00BD0C26"/>
    <w:rsid w:val="00BD1662"/>
    <w:rsid w:val="00BD19BD"/>
    <w:rsid w:val="00BD1D28"/>
    <w:rsid w:val="00BD1E8D"/>
    <w:rsid w:val="00BD2B8C"/>
    <w:rsid w:val="00BD3A75"/>
    <w:rsid w:val="00BD42E8"/>
    <w:rsid w:val="00BD45FD"/>
    <w:rsid w:val="00BD49AD"/>
    <w:rsid w:val="00BD4B37"/>
    <w:rsid w:val="00BD61CA"/>
    <w:rsid w:val="00BD6541"/>
    <w:rsid w:val="00BE0380"/>
    <w:rsid w:val="00BE0634"/>
    <w:rsid w:val="00BE06A3"/>
    <w:rsid w:val="00BE1208"/>
    <w:rsid w:val="00BE1906"/>
    <w:rsid w:val="00BE1BAB"/>
    <w:rsid w:val="00BE23EE"/>
    <w:rsid w:val="00BE350A"/>
    <w:rsid w:val="00BE3CB3"/>
    <w:rsid w:val="00BE3F7A"/>
    <w:rsid w:val="00BE4011"/>
    <w:rsid w:val="00BE4209"/>
    <w:rsid w:val="00BE4E14"/>
    <w:rsid w:val="00BE78AE"/>
    <w:rsid w:val="00BF117E"/>
    <w:rsid w:val="00BF11C6"/>
    <w:rsid w:val="00BF1558"/>
    <w:rsid w:val="00BF34D5"/>
    <w:rsid w:val="00BF46BA"/>
    <w:rsid w:val="00BF5997"/>
    <w:rsid w:val="00BF69EC"/>
    <w:rsid w:val="00BF6A81"/>
    <w:rsid w:val="00BF706F"/>
    <w:rsid w:val="00BF7FCC"/>
    <w:rsid w:val="00C0178A"/>
    <w:rsid w:val="00C01CDA"/>
    <w:rsid w:val="00C0276F"/>
    <w:rsid w:val="00C041BB"/>
    <w:rsid w:val="00C0615C"/>
    <w:rsid w:val="00C063B5"/>
    <w:rsid w:val="00C0693E"/>
    <w:rsid w:val="00C06BA2"/>
    <w:rsid w:val="00C07C0F"/>
    <w:rsid w:val="00C10899"/>
    <w:rsid w:val="00C10FFC"/>
    <w:rsid w:val="00C11BB4"/>
    <w:rsid w:val="00C126D6"/>
    <w:rsid w:val="00C13431"/>
    <w:rsid w:val="00C13C0C"/>
    <w:rsid w:val="00C14420"/>
    <w:rsid w:val="00C14DA6"/>
    <w:rsid w:val="00C152CE"/>
    <w:rsid w:val="00C1532D"/>
    <w:rsid w:val="00C15B64"/>
    <w:rsid w:val="00C1746A"/>
    <w:rsid w:val="00C1786C"/>
    <w:rsid w:val="00C2050E"/>
    <w:rsid w:val="00C20BB7"/>
    <w:rsid w:val="00C20E54"/>
    <w:rsid w:val="00C21D62"/>
    <w:rsid w:val="00C22337"/>
    <w:rsid w:val="00C22440"/>
    <w:rsid w:val="00C2282D"/>
    <w:rsid w:val="00C24193"/>
    <w:rsid w:val="00C24CB3"/>
    <w:rsid w:val="00C25622"/>
    <w:rsid w:val="00C25630"/>
    <w:rsid w:val="00C26FC5"/>
    <w:rsid w:val="00C2753E"/>
    <w:rsid w:val="00C275C5"/>
    <w:rsid w:val="00C27C13"/>
    <w:rsid w:val="00C30721"/>
    <w:rsid w:val="00C30872"/>
    <w:rsid w:val="00C30CBC"/>
    <w:rsid w:val="00C3228D"/>
    <w:rsid w:val="00C32ADF"/>
    <w:rsid w:val="00C334F2"/>
    <w:rsid w:val="00C34C42"/>
    <w:rsid w:val="00C34FA2"/>
    <w:rsid w:val="00C35053"/>
    <w:rsid w:val="00C35310"/>
    <w:rsid w:val="00C35B07"/>
    <w:rsid w:val="00C35E54"/>
    <w:rsid w:val="00C3689B"/>
    <w:rsid w:val="00C3715A"/>
    <w:rsid w:val="00C37204"/>
    <w:rsid w:val="00C37C72"/>
    <w:rsid w:val="00C37D99"/>
    <w:rsid w:val="00C37F64"/>
    <w:rsid w:val="00C40FB0"/>
    <w:rsid w:val="00C42EAB"/>
    <w:rsid w:val="00C433F7"/>
    <w:rsid w:val="00C44824"/>
    <w:rsid w:val="00C450B9"/>
    <w:rsid w:val="00C45E9E"/>
    <w:rsid w:val="00C46962"/>
    <w:rsid w:val="00C475DE"/>
    <w:rsid w:val="00C50A8F"/>
    <w:rsid w:val="00C515C7"/>
    <w:rsid w:val="00C5176B"/>
    <w:rsid w:val="00C51863"/>
    <w:rsid w:val="00C51CD9"/>
    <w:rsid w:val="00C525FC"/>
    <w:rsid w:val="00C527D1"/>
    <w:rsid w:val="00C52ED8"/>
    <w:rsid w:val="00C54140"/>
    <w:rsid w:val="00C5436F"/>
    <w:rsid w:val="00C5455B"/>
    <w:rsid w:val="00C54739"/>
    <w:rsid w:val="00C54758"/>
    <w:rsid w:val="00C55FD3"/>
    <w:rsid w:val="00C606CE"/>
    <w:rsid w:val="00C61B01"/>
    <w:rsid w:val="00C61BAF"/>
    <w:rsid w:val="00C621FB"/>
    <w:rsid w:val="00C62BAA"/>
    <w:rsid w:val="00C62E45"/>
    <w:rsid w:val="00C64637"/>
    <w:rsid w:val="00C64A60"/>
    <w:rsid w:val="00C657AA"/>
    <w:rsid w:val="00C6581C"/>
    <w:rsid w:val="00C66811"/>
    <w:rsid w:val="00C6756B"/>
    <w:rsid w:val="00C701B1"/>
    <w:rsid w:val="00C70556"/>
    <w:rsid w:val="00C70A3F"/>
    <w:rsid w:val="00C7143E"/>
    <w:rsid w:val="00C74CAB"/>
    <w:rsid w:val="00C74E7A"/>
    <w:rsid w:val="00C75AA9"/>
    <w:rsid w:val="00C77CEC"/>
    <w:rsid w:val="00C80D49"/>
    <w:rsid w:val="00C81361"/>
    <w:rsid w:val="00C81E74"/>
    <w:rsid w:val="00C81ED4"/>
    <w:rsid w:val="00C823CF"/>
    <w:rsid w:val="00C82BC1"/>
    <w:rsid w:val="00C83DDF"/>
    <w:rsid w:val="00C843D3"/>
    <w:rsid w:val="00C84545"/>
    <w:rsid w:val="00C855DD"/>
    <w:rsid w:val="00C86064"/>
    <w:rsid w:val="00C862B4"/>
    <w:rsid w:val="00C9190E"/>
    <w:rsid w:val="00C92F9F"/>
    <w:rsid w:val="00C93587"/>
    <w:rsid w:val="00C9405F"/>
    <w:rsid w:val="00C9506A"/>
    <w:rsid w:val="00C96102"/>
    <w:rsid w:val="00C9670F"/>
    <w:rsid w:val="00CA0F1F"/>
    <w:rsid w:val="00CA14A3"/>
    <w:rsid w:val="00CA1520"/>
    <w:rsid w:val="00CA2137"/>
    <w:rsid w:val="00CA2202"/>
    <w:rsid w:val="00CA2483"/>
    <w:rsid w:val="00CA2EF5"/>
    <w:rsid w:val="00CA3A47"/>
    <w:rsid w:val="00CA3EC5"/>
    <w:rsid w:val="00CA4517"/>
    <w:rsid w:val="00CA5744"/>
    <w:rsid w:val="00CA7237"/>
    <w:rsid w:val="00CA7719"/>
    <w:rsid w:val="00CB177B"/>
    <w:rsid w:val="00CB1FF0"/>
    <w:rsid w:val="00CB2553"/>
    <w:rsid w:val="00CB4C65"/>
    <w:rsid w:val="00CB59F3"/>
    <w:rsid w:val="00CB5B27"/>
    <w:rsid w:val="00CB6426"/>
    <w:rsid w:val="00CB6D37"/>
    <w:rsid w:val="00CB78D8"/>
    <w:rsid w:val="00CC0CA4"/>
    <w:rsid w:val="00CC1B1A"/>
    <w:rsid w:val="00CC3345"/>
    <w:rsid w:val="00CC33CF"/>
    <w:rsid w:val="00CC351D"/>
    <w:rsid w:val="00CC3E27"/>
    <w:rsid w:val="00CC3E5C"/>
    <w:rsid w:val="00CC47E4"/>
    <w:rsid w:val="00CC50CF"/>
    <w:rsid w:val="00CC539A"/>
    <w:rsid w:val="00CC55FD"/>
    <w:rsid w:val="00CC62ED"/>
    <w:rsid w:val="00CC64D5"/>
    <w:rsid w:val="00CC68DD"/>
    <w:rsid w:val="00CC6B31"/>
    <w:rsid w:val="00CC7174"/>
    <w:rsid w:val="00CC7232"/>
    <w:rsid w:val="00CC765B"/>
    <w:rsid w:val="00CD1628"/>
    <w:rsid w:val="00CD16A8"/>
    <w:rsid w:val="00CD187E"/>
    <w:rsid w:val="00CD3FC4"/>
    <w:rsid w:val="00CD6AD2"/>
    <w:rsid w:val="00CD6C77"/>
    <w:rsid w:val="00CD7390"/>
    <w:rsid w:val="00CE14BA"/>
    <w:rsid w:val="00CE25EA"/>
    <w:rsid w:val="00CE488B"/>
    <w:rsid w:val="00CE506D"/>
    <w:rsid w:val="00CE76A2"/>
    <w:rsid w:val="00CE7E0C"/>
    <w:rsid w:val="00CF0DBC"/>
    <w:rsid w:val="00CF1038"/>
    <w:rsid w:val="00CF2527"/>
    <w:rsid w:val="00CF3769"/>
    <w:rsid w:val="00CF4650"/>
    <w:rsid w:val="00CF5CBD"/>
    <w:rsid w:val="00D000AE"/>
    <w:rsid w:val="00D00469"/>
    <w:rsid w:val="00D01444"/>
    <w:rsid w:val="00D0175C"/>
    <w:rsid w:val="00D02CF6"/>
    <w:rsid w:val="00D02E5B"/>
    <w:rsid w:val="00D03356"/>
    <w:rsid w:val="00D03A52"/>
    <w:rsid w:val="00D0467B"/>
    <w:rsid w:val="00D0493C"/>
    <w:rsid w:val="00D04AEA"/>
    <w:rsid w:val="00D04DAB"/>
    <w:rsid w:val="00D06940"/>
    <w:rsid w:val="00D06961"/>
    <w:rsid w:val="00D10501"/>
    <w:rsid w:val="00D10922"/>
    <w:rsid w:val="00D110B8"/>
    <w:rsid w:val="00D13562"/>
    <w:rsid w:val="00D1389A"/>
    <w:rsid w:val="00D13C0C"/>
    <w:rsid w:val="00D13F65"/>
    <w:rsid w:val="00D145F8"/>
    <w:rsid w:val="00D14896"/>
    <w:rsid w:val="00D1605C"/>
    <w:rsid w:val="00D16E34"/>
    <w:rsid w:val="00D17140"/>
    <w:rsid w:val="00D171F1"/>
    <w:rsid w:val="00D2111A"/>
    <w:rsid w:val="00D21C2A"/>
    <w:rsid w:val="00D22170"/>
    <w:rsid w:val="00D22988"/>
    <w:rsid w:val="00D22AF8"/>
    <w:rsid w:val="00D23616"/>
    <w:rsid w:val="00D24EE8"/>
    <w:rsid w:val="00D25D91"/>
    <w:rsid w:val="00D2640C"/>
    <w:rsid w:val="00D268C9"/>
    <w:rsid w:val="00D27699"/>
    <w:rsid w:val="00D279CA"/>
    <w:rsid w:val="00D27AAF"/>
    <w:rsid w:val="00D3060E"/>
    <w:rsid w:val="00D30B5C"/>
    <w:rsid w:val="00D30F48"/>
    <w:rsid w:val="00D311DB"/>
    <w:rsid w:val="00D316E8"/>
    <w:rsid w:val="00D31D52"/>
    <w:rsid w:val="00D32B3E"/>
    <w:rsid w:val="00D344BB"/>
    <w:rsid w:val="00D3459E"/>
    <w:rsid w:val="00D3539B"/>
    <w:rsid w:val="00D357A7"/>
    <w:rsid w:val="00D37407"/>
    <w:rsid w:val="00D37763"/>
    <w:rsid w:val="00D41357"/>
    <w:rsid w:val="00D41A89"/>
    <w:rsid w:val="00D41B4C"/>
    <w:rsid w:val="00D42CCB"/>
    <w:rsid w:val="00D43808"/>
    <w:rsid w:val="00D43AED"/>
    <w:rsid w:val="00D44999"/>
    <w:rsid w:val="00D45DEC"/>
    <w:rsid w:val="00D46390"/>
    <w:rsid w:val="00D4755F"/>
    <w:rsid w:val="00D47E48"/>
    <w:rsid w:val="00D50033"/>
    <w:rsid w:val="00D507B5"/>
    <w:rsid w:val="00D50D70"/>
    <w:rsid w:val="00D51148"/>
    <w:rsid w:val="00D519E8"/>
    <w:rsid w:val="00D51F48"/>
    <w:rsid w:val="00D522C0"/>
    <w:rsid w:val="00D529C2"/>
    <w:rsid w:val="00D52BC3"/>
    <w:rsid w:val="00D52C34"/>
    <w:rsid w:val="00D53432"/>
    <w:rsid w:val="00D549AC"/>
    <w:rsid w:val="00D55EC2"/>
    <w:rsid w:val="00D56EA5"/>
    <w:rsid w:val="00D579FD"/>
    <w:rsid w:val="00D57EAA"/>
    <w:rsid w:val="00D57F65"/>
    <w:rsid w:val="00D6156E"/>
    <w:rsid w:val="00D624FE"/>
    <w:rsid w:val="00D626A6"/>
    <w:rsid w:val="00D6282D"/>
    <w:rsid w:val="00D64574"/>
    <w:rsid w:val="00D65285"/>
    <w:rsid w:val="00D66798"/>
    <w:rsid w:val="00D66D85"/>
    <w:rsid w:val="00D7044A"/>
    <w:rsid w:val="00D71BF8"/>
    <w:rsid w:val="00D72798"/>
    <w:rsid w:val="00D73C31"/>
    <w:rsid w:val="00D75868"/>
    <w:rsid w:val="00D75B8B"/>
    <w:rsid w:val="00D76004"/>
    <w:rsid w:val="00D76FB1"/>
    <w:rsid w:val="00D772D5"/>
    <w:rsid w:val="00D810BF"/>
    <w:rsid w:val="00D81CD8"/>
    <w:rsid w:val="00D81EC5"/>
    <w:rsid w:val="00D8398B"/>
    <w:rsid w:val="00D83B57"/>
    <w:rsid w:val="00D846B0"/>
    <w:rsid w:val="00D84AF6"/>
    <w:rsid w:val="00D84B10"/>
    <w:rsid w:val="00D84B99"/>
    <w:rsid w:val="00D84E42"/>
    <w:rsid w:val="00D85193"/>
    <w:rsid w:val="00D85239"/>
    <w:rsid w:val="00D864CB"/>
    <w:rsid w:val="00D8693D"/>
    <w:rsid w:val="00D904FD"/>
    <w:rsid w:val="00D90FB8"/>
    <w:rsid w:val="00D912B6"/>
    <w:rsid w:val="00D9253D"/>
    <w:rsid w:val="00D9330C"/>
    <w:rsid w:val="00D93E78"/>
    <w:rsid w:val="00D941D8"/>
    <w:rsid w:val="00D94699"/>
    <w:rsid w:val="00D9518B"/>
    <w:rsid w:val="00D95750"/>
    <w:rsid w:val="00D97241"/>
    <w:rsid w:val="00D97A45"/>
    <w:rsid w:val="00D97C23"/>
    <w:rsid w:val="00DA01D1"/>
    <w:rsid w:val="00DA0487"/>
    <w:rsid w:val="00DA05C8"/>
    <w:rsid w:val="00DA2961"/>
    <w:rsid w:val="00DA2E89"/>
    <w:rsid w:val="00DA53B6"/>
    <w:rsid w:val="00DA5B32"/>
    <w:rsid w:val="00DB0362"/>
    <w:rsid w:val="00DB0C67"/>
    <w:rsid w:val="00DB1464"/>
    <w:rsid w:val="00DB2C3D"/>
    <w:rsid w:val="00DB3ECF"/>
    <w:rsid w:val="00DB4437"/>
    <w:rsid w:val="00DB47DD"/>
    <w:rsid w:val="00DB4C4E"/>
    <w:rsid w:val="00DB4E48"/>
    <w:rsid w:val="00DB5D8D"/>
    <w:rsid w:val="00DB6971"/>
    <w:rsid w:val="00DB7176"/>
    <w:rsid w:val="00DB73B9"/>
    <w:rsid w:val="00DC15B7"/>
    <w:rsid w:val="00DC4575"/>
    <w:rsid w:val="00DC4DFA"/>
    <w:rsid w:val="00DC63BB"/>
    <w:rsid w:val="00DD2613"/>
    <w:rsid w:val="00DD2792"/>
    <w:rsid w:val="00DD2B19"/>
    <w:rsid w:val="00DD2D5F"/>
    <w:rsid w:val="00DD4F17"/>
    <w:rsid w:val="00DD5021"/>
    <w:rsid w:val="00DD5494"/>
    <w:rsid w:val="00DD616E"/>
    <w:rsid w:val="00DD676B"/>
    <w:rsid w:val="00DD7C51"/>
    <w:rsid w:val="00DD7CDD"/>
    <w:rsid w:val="00DE0972"/>
    <w:rsid w:val="00DE161C"/>
    <w:rsid w:val="00DE17CB"/>
    <w:rsid w:val="00DE1A03"/>
    <w:rsid w:val="00DE28EC"/>
    <w:rsid w:val="00DE376A"/>
    <w:rsid w:val="00DE48D9"/>
    <w:rsid w:val="00DE4C91"/>
    <w:rsid w:val="00DE4F87"/>
    <w:rsid w:val="00DE50F9"/>
    <w:rsid w:val="00DE526A"/>
    <w:rsid w:val="00DE55BB"/>
    <w:rsid w:val="00DE5D9F"/>
    <w:rsid w:val="00DE5DEB"/>
    <w:rsid w:val="00DE6341"/>
    <w:rsid w:val="00DE7504"/>
    <w:rsid w:val="00DE7536"/>
    <w:rsid w:val="00DE755B"/>
    <w:rsid w:val="00DF3173"/>
    <w:rsid w:val="00DF332D"/>
    <w:rsid w:val="00DF3B49"/>
    <w:rsid w:val="00DF4BD0"/>
    <w:rsid w:val="00DF71BE"/>
    <w:rsid w:val="00DF7E92"/>
    <w:rsid w:val="00E0076E"/>
    <w:rsid w:val="00E016D0"/>
    <w:rsid w:val="00E018FD"/>
    <w:rsid w:val="00E0210F"/>
    <w:rsid w:val="00E02879"/>
    <w:rsid w:val="00E02A3B"/>
    <w:rsid w:val="00E0389F"/>
    <w:rsid w:val="00E051BF"/>
    <w:rsid w:val="00E0539C"/>
    <w:rsid w:val="00E05BD6"/>
    <w:rsid w:val="00E062BD"/>
    <w:rsid w:val="00E06502"/>
    <w:rsid w:val="00E067E5"/>
    <w:rsid w:val="00E071C0"/>
    <w:rsid w:val="00E07512"/>
    <w:rsid w:val="00E10293"/>
    <w:rsid w:val="00E11B9A"/>
    <w:rsid w:val="00E11F2E"/>
    <w:rsid w:val="00E1224C"/>
    <w:rsid w:val="00E13979"/>
    <w:rsid w:val="00E139C4"/>
    <w:rsid w:val="00E147C2"/>
    <w:rsid w:val="00E149E5"/>
    <w:rsid w:val="00E14F25"/>
    <w:rsid w:val="00E151A8"/>
    <w:rsid w:val="00E16570"/>
    <w:rsid w:val="00E165E8"/>
    <w:rsid w:val="00E17E9E"/>
    <w:rsid w:val="00E200EB"/>
    <w:rsid w:val="00E2023A"/>
    <w:rsid w:val="00E21A3E"/>
    <w:rsid w:val="00E21BE2"/>
    <w:rsid w:val="00E22BA8"/>
    <w:rsid w:val="00E23AA8"/>
    <w:rsid w:val="00E24D36"/>
    <w:rsid w:val="00E24F39"/>
    <w:rsid w:val="00E25ECE"/>
    <w:rsid w:val="00E26D95"/>
    <w:rsid w:val="00E277D3"/>
    <w:rsid w:val="00E277FE"/>
    <w:rsid w:val="00E309BF"/>
    <w:rsid w:val="00E3250E"/>
    <w:rsid w:val="00E32595"/>
    <w:rsid w:val="00E32AC1"/>
    <w:rsid w:val="00E344E9"/>
    <w:rsid w:val="00E34634"/>
    <w:rsid w:val="00E34711"/>
    <w:rsid w:val="00E35605"/>
    <w:rsid w:val="00E35A90"/>
    <w:rsid w:val="00E36631"/>
    <w:rsid w:val="00E37AF5"/>
    <w:rsid w:val="00E40338"/>
    <w:rsid w:val="00E4055E"/>
    <w:rsid w:val="00E43D3D"/>
    <w:rsid w:val="00E43E5C"/>
    <w:rsid w:val="00E44229"/>
    <w:rsid w:val="00E44CE6"/>
    <w:rsid w:val="00E44F1E"/>
    <w:rsid w:val="00E4529C"/>
    <w:rsid w:val="00E46F26"/>
    <w:rsid w:val="00E46FA5"/>
    <w:rsid w:val="00E47A55"/>
    <w:rsid w:val="00E47A5F"/>
    <w:rsid w:val="00E47F38"/>
    <w:rsid w:val="00E500B4"/>
    <w:rsid w:val="00E50732"/>
    <w:rsid w:val="00E50912"/>
    <w:rsid w:val="00E509D4"/>
    <w:rsid w:val="00E50D3A"/>
    <w:rsid w:val="00E50FDE"/>
    <w:rsid w:val="00E52567"/>
    <w:rsid w:val="00E54C4C"/>
    <w:rsid w:val="00E54C62"/>
    <w:rsid w:val="00E552C9"/>
    <w:rsid w:val="00E56FFB"/>
    <w:rsid w:val="00E572BE"/>
    <w:rsid w:val="00E575E7"/>
    <w:rsid w:val="00E57F78"/>
    <w:rsid w:val="00E62FDB"/>
    <w:rsid w:val="00E6323C"/>
    <w:rsid w:val="00E63640"/>
    <w:rsid w:val="00E66471"/>
    <w:rsid w:val="00E674A1"/>
    <w:rsid w:val="00E67D98"/>
    <w:rsid w:val="00E67EC5"/>
    <w:rsid w:val="00E67FC8"/>
    <w:rsid w:val="00E70F4F"/>
    <w:rsid w:val="00E70F8C"/>
    <w:rsid w:val="00E73592"/>
    <w:rsid w:val="00E73AC2"/>
    <w:rsid w:val="00E73AFE"/>
    <w:rsid w:val="00E74F06"/>
    <w:rsid w:val="00E76963"/>
    <w:rsid w:val="00E7710C"/>
    <w:rsid w:val="00E77894"/>
    <w:rsid w:val="00E77AEF"/>
    <w:rsid w:val="00E77DD8"/>
    <w:rsid w:val="00E810D5"/>
    <w:rsid w:val="00E81DCE"/>
    <w:rsid w:val="00E824B5"/>
    <w:rsid w:val="00E82A39"/>
    <w:rsid w:val="00E835B6"/>
    <w:rsid w:val="00E83B0C"/>
    <w:rsid w:val="00E83FCB"/>
    <w:rsid w:val="00E8507E"/>
    <w:rsid w:val="00E86F2C"/>
    <w:rsid w:val="00E86FCB"/>
    <w:rsid w:val="00E870C3"/>
    <w:rsid w:val="00E907BC"/>
    <w:rsid w:val="00E90A1B"/>
    <w:rsid w:val="00E92651"/>
    <w:rsid w:val="00E93096"/>
    <w:rsid w:val="00E93ADF"/>
    <w:rsid w:val="00E9402F"/>
    <w:rsid w:val="00E94045"/>
    <w:rsid w:val="00E94B8F"/>
    <w:rsid w:val="00E951F9"/>
    <w:rsid w:val="00E9530B"/>
    <w:rsid w:val="00E95591"/>
    <w:rsid w:val="00E95CF1"/>
    <w:rsid w:val="00E95DDD"/>
    <w:rsid w:val="00E96C84"/>
    <w:rsid w:val="00EA08DC"/>
    <w:rsid w:val="00EA0914"/>
    <w:rsid w:val="00EA0DE0"/>
    <w:rsid w:val="00EA20C9"/>
    <w:rsid w:val="00EA2233"/>
    <w:rsid w:val="00EA24B8"/>
    <w:rsid w:val="00EA2B5F"/>
    <w:rsid w:val="00EA2DF4"/>
    <w:rsid w:val="00EA3557"/>
    <w:rsid w:val="00EA3B70"/>
    <w:rsid w:val="00EA4785"/>
    <w:rsid w:val="00EA4C2E"/>
    <w:rsid w:val="00EA56C6"/>
    <w:rsid w:val="00EA581D"/>
    <w:rsid w:val="00EA5987"/>
    <w:rsid w:val="00EA5B42"/>
    <w:rsid w:val="00EA5CE8"/>
    <w:rsid w:val="00EA6291"/>
    <w:rsid w:val="00EA646E"/>
    <w:rsid w:val="00EA668A"/>
    <w:rsid w:val="00EA6EC3"/>
    <w:rsid w:val="00EB04CE"/>
    <w:rsid w:val="00EB09CE"/>
    <w:rsid w:val="00EB164B"/>
    <w:rsid w:val="00EB1C68"/>
    <w:rsid w:val="00EB3289"/>
    <w:rsid w:val="00EB3517"/>
    <w:rsid w:val="00EB3F6A"/>
    <w:rsid w:val="00EB5B7F"/>
    <w:rsid w:val="00EB6439"/>
    <w:rsid w:val="00EB6E31"/>
    <w:rsid w:val="00EB74D0"/>
    <w:rsid w:val="00EB779E"/>
    <w:rsid w:val="00EC0219"/>
    <w:rsid w:val="00EC1C11"/>
    <w:rsid w:val="00EC360A"/>
    <w:rsid w:val="00EC425C"/>
    <w:rsid w:val="00EC5311"/>
    <w:rsid w:val="00EC5F5B"/>
    <w:rsid w:val="00EC6236"/>
    <w:rsid w:val="00EC6B91"/>
    <w:rsid w:val="00EC6F73"/>
    <w:rsid w:val="00ED0190"/>
    <w:rsid w:val="00ED0957"/>
    <w:rsid w:val="00ED134B"/>
    <w:rsid w:val="00ED17C6"/>
    <w:rsid w:val="00ED1A87"/>
    <w:rsid w:val="00ED30A0"/>
    <w:rsid w:val="00ED32D1"/>
    <w:rsid w:val="00ED3AFC"/>
    <w:rsid w:val="00ED5638"/>
    <w:rsid w:val="00ED592C"/>
    <w:rsid w:val="00ED5980"/>
    <w:rsid w:val="00ED6172"/>
    <w:rsid w:val="00ED6751"/>
    <w:rsid w:val="00ED6B3B"/>
    <w:rsid w:val="00ED6EA5"/>
    <w:rsid w:val="00EE0585"/>
    <w:rsid w:val="00EE0643"/>
    <w:rsid w:val="00EE1B95"/>
    <w:rsid w:val="00EE395D"/>
    <w:rsid w:val="00EE442A"/>
    <w:rsid w:val="00EE46D7"/>
    <w:rsid w:val="00EE476F"/>
    <w:rsid w:val="00EE512A"/>
    <w:rsid w:val="00EE5D37"/>
    <w:rsid w:val="00EE6CBB"/>
    <w:rsid w:val="00EE6E3C"/>
    <w:rsid w:val="00EE7E20"/>
    <w:rsid w:val="00EF06D8"/>
    <w:rsid w:val="00EF0B70"/>
    <w:rsid w:val="00EF1FCD"/>
    <w:rsid w:val="00EF2B8B"/>
    <w:rsid w:val="00EF3320"/>
    <w:rsid w:val="00EF3748"/>
    <w:rsid w:val="00EF43A1"/>
    <w:rsid w:val="00EF49FA"/>
    <w:rsid w:val="00EF5111"/>
    <w:rsid w:val="00EF5851"/>
    <w:rsid w:val="00EF6F54"/>
    <w:rsid w:val="00EF707F"/>
    <w:rsid w:val="00EF75F9"/>
    <w:rsid w:val="00F00600"/>
    <w:rsid w:val="00F00DEE"/>
    <w:rsid w:val="00F01FD5"/>
    <w:rsid w:val="00F0310E"/>
    <w:rsid w:val="00F039DC"/>
    <w:rsid w:val="00F03F84"/>
    <w:rsid w:val="00F045FB"/>
    <w:rsid w:val="00F04D07"/>
    <w:rsid w:val="00F05D33"/>
    <w:rsid w:val="00F06050"/>
    <w:rsid w:val="00F071EE"/>
    <w:rsid w:val="00F07433"/>
    <w:rsid w:val="00F1066B"/>
    <w:rsid w:val="00F10DB8"/>
    <w:rsid w:val="00F1111B"/>
    <w:rsid w:val="00F119D5"/>
    <w:rsid w:val="00F11E5F"/>
    <w:rsid w:val="00F11FB1"/>
    <w:rsid w:val="00F12C08"/>
    <w:rsid w:val="00F13A27"/>
    <w:rsid w:val="00F13A36"/>
    <w:rsid w:val="00F14948"/>
    <w:rsid w:val="00F165BB"/>
    <w:rsid w:val="00F20298"/>
    <w:rsid w:val="00F20800"/>
    <w:rsid w:val="00F20D42"/>
    <w:rsid w:val="00F215F1"/>
    <w:rsid w:val="00F21F1A"/>
    <w:rsid w:val="00F22275"/>
    <w:rsid w:val="00F222EA"/>
    <w:rsid w:val="00F22971"/>
    <w:rsid w:val="00F24320"/>
    <w:rsid w:val="00F24406"/>
    <w:rsid w:val="00F24548"/>
    <w:rsid w:val="00F24B89"/>
    <w:rsid w:val="00F24DC4"/>
    <w:rsid w:val="00F25CDA"/>
    <w:rsid w:val="00F27651"/>
    <w:rsid w:val="00F30C28"/>
    <w:rsid w:val="00F3179B"/>
    <w:rsid w:val="00F31ED9"/>
    <w:rsid w:val="00F33CF5"/>
    <w:rsid w:val="00F34DF0"/>
    <w:rsid w:val="00F34F32"/>
    <w:rsid w:val="00F3597E"/>
    <w:rsid w:val="00F365CF"/>
    <w:rsid w:val="00F37826"/>
    <w:rsid w:val="00F4030C"/>
    <w:rsid w:val="00F40FED"/>
    <w:rsid w:val="00F41108"/>
    <w:rsid w:val="00F41761"/>
    <w:rsid w:val="00F41885"/>
    <w:rsid w:val="00F41D57"/>
    <w:rsid w:val="00F41E3D"/>
    <w:rsid w:val="00F4215F"/>
    <w:rsid w:val="00F4221C"/>
    <w:rsid w:val="00F425F3"/>
    <w:rsid w:val="00F43B56"/>
    <w:rsid w:val="00F43CEB"/>
    <w:rsid w:val="00F45F15"/>
    <w:rsid w:val="00F45FE3"/>
    <w:rsid w:val="00F467D7"/>
    <w:rsid w:val="00F46854"/>
    <w:rsid w:val="00F47003"/>
    <w:rsid w:val="00F47973"/>
    <w:rsid w:val="00F50220"/>
    <w:rsid w:val="00F510A1"/>
    <w:rsid w:val="00F51BDD"/>
    <w:rsid w:val="00F51C52"/>
    <w:rsid w:val="00F524A3"/>
    <w:rsid w:val="00F52997"/>
    <w:rsid w:val="00F54737"/>
    <w:rsid w:val="00F5494D"/>
    <w:rsid w:val="00F57CB1"/>
    <w:rsid w:val="00F6075F"/>
    <w:rsid w:val="00F613B7"/>
    <w:rsid w:val="00F619AE"/>
    <w:rsid w:val="00F61EA8"/>
    <w:rsid w:val="00F61EEF"/>
    <w:rsid w:val="00F62CC7"/>
    <w:rsid w:val="00F62FDA"/>
    <w:rsid w:val="00F64D88"/>
    <w:rsid w:val="00F64F3C"/>
    <w:rsid w:val="00F65ABB"/>
    <w:rsid w:val="00F65C0F"/>
    <w:rsid w:val="00F65CD2"/>
    <w:rsid w:val="00F66552"/>
    <w:rsid w:val="00F66B1D"/>
    <w:rsid w:val="00F66B66"/>
    <w:rsid w:val="00F6742D"/>
    <w:rsid w:val="00F702B5"/>
    <w:rsid w:val="00F7122B"/>
    <w:rsid w:val="00F7277B"/>
    <w:rsid w:val="00F76DA2"/>
    <w:rsid w:val="00F7765F"/>
    <w:rsid w:val="00F82446"/>
    <w:rsid w:val="00F82AC1"/>
    <w:rsid w:val="00F83E38"/>
    <w:rsid w:val="00F84034"/>
    <w:rsid w:val="00F8554D"/>
    <w:rsid w:val="00F906A7"/>
    <w:rsid w:val="00F909FC"/>
    <w:rsid w:val="00F910E7"/>
    <w:rsid w:val="00F91308"/>
    <w:rsid w:val="00F9395C"/>
    <w:rsid w:val="00F93E18"/>
    <w:rsid w:val="00F94379"/>
    <w:rsid w:val="00F94C9E"/>
    <w:rsid w:val="00F95BAE"/>
    <w:rsid w:val="00F96A16"/>
    <w:rsid w:val="00F96EB3"/>
    <w:rsid w:val="00F97E6A"/>
    <w:rsid w:val="00FA04F9"/>
    <w:rsid w:val="00FA0937"/>
    <w:rsid w:val="00FA10A3"/>
    <w:rsid w:val="00FA15BD"/>
    <w:rsid w:val="00FA1B13"/>
    <w:rsid w:val="00FA431D"/>
    <w:rsid w:val="00FA58B4"/>
    <w:rsid w:val="00FA60C6"/>
    <w:rsid w:val="00FA61A5"/>
    <w:rsid w:val="00FA6420"/>
    <w:rsid w:val="00FB042F"/>
    <w:rsid w:val="00FB0E52"/>
    <w:rsid w:val="00FB2B03"/>
    <w:rsid w:val="00FB2E8B"/>
    <w:rsid w:val="00FB3B96"/>
    <w:rsid w:val="00FB651D"/>
    <w:rsid w:val="00FB690F"/>
    <w:rsid w:val="00FC0224"/>
    <w:rsid w:val="00FC02D4"/>
    <w:rsid w:val="00FC1FE5"/>
    <w:rsid w:val="00FC3BE5"/>
    <w:rsid w:val="00FC3C63"/>
    <w:rsid w:val="00FC4475"/>
    <w:rsid w:val="00FC4700"/>
    <w:rsid w:val="00FC6332"/>
    <w:rsid w:val="00FD0106"/>
    <w:rsid w:val="00FD0797"/>
    <w:rsid w:val="00FD09F5"/>
    <w:rsid w:val="00FD2671"/>
    <w:rsid w:val="00FD2A10"/>
    <w:rsid w:val="00FD2CF4"/>
    <w:rsid w:val="00FD3127"/>
    <w:rsid w:val="00FD3DDC"/>
    <w:rsid w:val="00FD4532"/>
    <w:rsid w:val="00FD4E03"/>
    <w:rsid w:val="00FD5081"/>
    <w:rsid w:val="00FD661D"/>
    <w:rsid w:val="00FD72F7"/>
    <w:rsid w:val="00FE03F7"/>
    <w:rsid w:val="00FE09F4"/>
    <w:rsid w:val="00FE1309"/>
    <w:rsid w:val="00FE1CCB"/>
    <w:rsid w:val="00FE2BE6"/>
    <w:rsid w:val="00FE2EF2"/>
    <w:rsid w:val="00FE3E27"/>
    <w:rsid w:val="00FE4491"/>
    <w:rsid w:val="00FE4606"/>
    <w:rsid w:val="00FE59F8"/>
    <w:rsid w:val="00FE64C3"/>
    <w:rsid w:val="00FE6963"/>
    <w:rsid w:val="00FF0599"/>
    <w:rsid w:val="00FF2EC4"/>
    <w:rsid w:val="00FF396A"/>
    <w:rsid w:val="00FF4D63"/>
    <w:rsid w:val="00FF4E18"/>
    <w:rsid w:val="00FF64EF"/>
    <w:rsid w:val="00FF7325"/>
    <w:rsid w:val="00FF7E5B"/>
    <w:rsid w:val="04275B9E"/>
    <w:rsid w:val="165A6749"/>
    <w:rsid w:val="5E1579F5"/>
    <w:rsid w:val="65DDF7AE"/>
    <w:rsid w:val="6818D32C"/>
    <w:rsid w:val="730C38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A9534F6"/>
  <w15:chartTrackingRefBased/>
  <w15:docId w15:val="{5CA2A93F-6B88-4FA5-BC51-1A5D1C79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24C"/>
    <w:rPr>
      <w:sz w:val="24"/>
      <w:szCs w:val="24"/>
      <w:lang w:eastAsia="en-US"/>
    </w:rPr>
  </w:style>
  <w:style w:type="paragraph" w:styleId="Heading1">
    <w:name w:val="heading 1"/>
    <w:basedOn w:val="Normal"/>
    <w:next w:val="Normal"/>
    <w:link w:val="Heading1Char"/>
    <w:uiPriority w:val="9"/>
    <w:qFormat/>
    <w:rsid w:val="00B83A56"/>
    <w:pPr>
      <w:keepNext/>
      <w:spacing w:before="240" w:after="60"/>
      <w:outlineLvl w:val="0"/>
    </w:pPr>
    <w:rPr>
      <w:rFonts w:ascii="Arial" w:eastAsiaTheme="majorEastAsia" w:hAnsi="Arial" w:cstheme="majorBidi"/>
      <w:b/>
      <w:bCs/>
      <w:kern w:val="32"/>
      <w:sz w:val="32"/>
      <w:szCs w:val="32"/>
    </w:rPr>
  </w:style>
  <w:style w:type="paragraph" w:styleId="Heading2">
    <w:name w:val="heading 2"/>
    <w:basedOn w:val="Normal"/>
    <w:next w:val="Normal"/>
    <w:link w:val="Heading2Char"/>
    <w:autoRedefine/>
    <w:uiPriority w:val="9"/>
    <w:unhideWhenUsed/>
    <w:qFormat/>
    <w:rsid w:val="00B83A56"/>
    <w:pPr>
      <w:keepNext/>
      <w:spacing w:before="240" w:after="60"/>
      <w:outlineLvl w:val="1"/>
    </w:pPr>
    <w:rPr>
      <w:rFonts w:ascii="Arial" w:eastAsiaTheme="majorEastAsia" w:hAnsi="Arial" w:cstheme="majorBidi"/>
      <w:b/>
      <w:bCs/>
      <w:i/>
      <w:iCs/>
      <w:sz w:val="28"/>
      <w:szCs w:val="28"/>
    </w:rPr>
  </w:style>
  <w:style w:type="paragraph" w:styleId="Heading3">
    <w:name w:val="heading 3"/>
    <w:basedOn w:val="Normal"/>
    <w:next w:val="Normal"/>
    <w:link w:val="Heading3Char1"/>
    <w:autoRedefine/>
    <w:qFormat/>
    <w:rsid w:val="00EC6236"/>
    <w:pPr>
      <w:spacing w:before="400"/>
      <w:outlineLvl w:val="2"/>
    </w:pPr>
    <w:rPr>
      <w:rFonts w:ascii="Arial" w:hAnsi="Arial" w:cs="Arial"/>
      <w:b/>
      <w:lang w:eastAsia="en-GB"/>
    </w:rPr>
  </w:style>
  <w:style w:type="paragraph" w:styleId="Heading4">
    <w:name w:val="heading 4"/>
    <w:basedOn w:val="Normal"/>
    <w:next w:val="Normal"/>
    <w:link w:val="Heading4Char"/>
    <w:autoRedefine/>
    <w:uiPriority w:val="9"/>
    <w:unhideWhenUsed/>
    <w:qFormat/>
    <w:rsid w:val="00B83A56"/>
    <w:pPr>
      <w:keepNext/>
      <w:spacing w:before="240" w:after="60"/>
      <w:outlineLvl w:val="3"/>
    </w:pPr>
    <w:rPr>
      <w:rFonts w:ascii="Arial" w:eastAsia="Calibri" w:hAnsi="Arial"/>
      <w:b/>
      <w:bCs/>
      <w:szCs w:val="28"/>
    </w:rPr>
  </w:style>
  <w:style w:type="paragraph" w:styleId="Heading5">
    <w:name w:val="heading 5"/>
    <w:basedOn w:val="Normal"/>
    <w:next w:val="Normal"/>
    <w:link w:val="Heading5Char"/>
    <w:uiPriority w:val="9"/>
    <w:unhideWhenUsed/>
    <w:qFormat/>
    <w:rsid w:val="00B83A56"/>
    <w:pPr>
      <w:numPr>
        <w:numId w:val="8"/>
      </w:numPr>
      <w:spacing w:before="240" w:after="60"/>
      <w:outlineLvl w:val="4"/>
    </w:pPr>
    <w:rPr>
      <w:rFonts w:ascii="Arial" w:eastAsiaTheme="minorEastAsia" w:hAnsi="Arial" w:cstheme="minorBidi"/>
      <w:b/>
      <w:bCs/>
      <w:i/>
      <w:iCs/>
      <w:szCs w:val="26"/>
    </w:rPr>
  </w:style>
  <w:style w:type="paragraph" w:styleId="Heading6">
    <w:name w:val="heading 6"/>
    <w:basedOn w:val="Normal"/>
    <w:next w:val="Normal"/>
    <w:link w:val="Heading6Char"/>
    <w:uiPriority w:val="9"/>
    <w:unhideWhenUsed/>
    <w:qFormat/>
    <w:rsid w:val="00EE395D"/>
    <w:pPr>
      <w:keepNext/>
      <w:keepLines/>
      <w:spacing w:before="40"/>
      <w:ind w:left="720"/>
      <w:outlineLvl w:val="5"/>
    </w:pPr>
    <w:rPr>
      <w:rFonts w:ascii="Arial" w:eastAsiaTheme="majorEastAsia" w:hAnsi="Arial"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1250C"/>
    <w:pPr>
      <w:spacing w:line="240" w:lineRule="exact"/>
      <w:jc w:val="both"/>
    </w:pPr>
    <w:rPr>
      <w:rFonts w:ascii="Tms Rmn" w:hAnsi="Tms Rmn"/>
      <w:sz w:val="22"/>
      <w:szCs w:val="20"/>
    </w:rPr>
  </w:style>
  <w:style w:type="paragraph" w:styleId="BodyTextIndent">
    <w:name w:val="Body Text Indent"/>
    <w:basedOn w:val="Normal"/>
    <w:rsid w:val="0031250C"/>
    <w:pPr>
      <w:ind w:left="709"/>
    </w:pPr>
    <w:rPr>
      <w:snapToGrid w:val="0"/>
      <w:sz w:val="22"/>
      <w:szCs w:val="20"/>
    </w:rPr>
  </w:style>
  <w:style w:type="paragraph" w:styleId="Footer">
    <w:name w:val="footer"/>
    <w:basedOn w:val="Normal"/>
    <w:link w:val="FooterChar"/>
    <w:uiPriority w:val="99"/>
    <w:rsid w:val="0031250C"/>
    <w:pPr>
      <w:tabs>
        <w:tab w:val="center" w:pos="4320"/>
        <w:tab w:val="right" w:pos="8640"/>
      </w:tabs>
    </w:pPr>
  </w:style>
  <w:style w:type="character" w:styleId="PageNumber">
    <w:name w:val="page number"/>
    <w:basedOn w:val="DefaultParagraphFont"/>
    <w:rsid w:val="0031250C"/>
  </w:style>
  <w:style w:type="paragraph" w:styleId="Header">
    <w:name w:val="header"/>
    <w:basedOn w:val="Normal"/>
    <w:link w:val="HeaderChar"/>
    <w:uiPriority w:val="99"/>
    <w:rsid w:val="0031250C"/>
    <w:pPr>
      <w:tabs>
        <w:tab w:val="center" w:pos="4320"/>
        <w:tab w:val="right" w:pos="8640"/>
      </w:tabs>
    </w:pPr>
  </w:style>
  <w:style w:type="character" w:customStyle="1" w:styleId="mednormal1">
    <w:name w:val="mednormal1"/>
    <w:rsid w:val="0031250C"/>
    <w:rPr>
      <w:rFonts w:ascii="Verdana" w:hAnsi="Verdana" w:hint="default"/>
      <w:color w:val="000000"/>
      <w:sz w:val="15"/>
      <w:szCs w:val="15"/>
    </w:rPr>
  </w:style>
  <w:style w:type="character" w:customStyle="1" w:styleId="locationbar1">
    <w:name w:val="locationbar1"/>
    <w:rsid w:val="0031250C"/>
    <w:rPr>
      <w:rFonts w:ascii="Verdana" w:hAnsi="Verdana" w:hint="default"/>
      <w:b/>
      <w:bCs/>
      <w:color w:val="000000"/>
      <w:sz w:val="15"/>
      <w:szCs w:val="15"/>
    </w:rPr>
  </w:style>
  <w:style w:type="paragraph" w:styleId="BalloonText">
    <w:name w:val="Balloon Text"/>
    <w:basedOn w:val="Normal"/>
    <w:semiHidden/>
    <w:rsid w:val="004D6CC9"/>
    <w:rPr>
      <w:rFonts w:ascii="Tahoma" w:hAnsi="Tahoma" w:cs="Tahoma"/>
      <w:sz w:val="16"/>
      <w:szCs w:val="16"/>
    </w:rPr>
  </w:style>
  <w:style w:type="paragraph" w:styleId="BodyTextIndent3">
    <w:name w:val="Body Text Indent 3"/>
    <w:basedOn w:val="Normal"/>
    <w:rsid w:val="00764557"/>
    <w:pPr>
      <w:spacing w:after="120"/>
      <w:ind w:left="283"/>
    </w:pPr>
    <w:rPr>
      <w:sz w:val="16"/>
      <w:szCs w:val="16"/>
    </w:rPr>
  </w:style>
  <w:style w:type="character" w:styleId="Hyperlink">
    <w:name w:val="Hyperlink"/>
    <w:uiPriority w:val="99"/>
    <w:unhideWhenUsed/>
    <w:rsid w:val="00D76004"/>
    <w:rPr>
      <w:color w:val="0000FF"/>
      <w:u w:val="single"/>
    </w:rPr>
  </w:style>
  <w:style w:type="paragraph" w:styleId="ListParagraph">
    <w:name w:val="List Paragraph"/>
    <w:basedOn w:val="Normal"/>
    <w:uiPriority w:val="34"/>
    <w:qFormat/>
    <w:rsid w:val="009245DA"/>
    <w:pPr>
      <w:ind w:left="720"/>
    </w:pPr>
  </w:style>
  <w:style w:type="paragraph" w:styleId="NoSpacing">
    <w:name w:val="No Spacing"/>
    <w:uiPriority w:val="1"/>
    <w:qFormat/>
    <w:rsid w:val="00111801"/>
    <w:rPr>
      <w:sz w:val="24"/>
      <w:szCs w:val="24"/>
    </w:rPr>
  </w:style>
  <w:style w:type="paragraph" w:customStyle="1" w:styleId="CH">
    <w:name w:val="CH"/>
    <w:aliases w:val="Contents Head"/>
    <w:basedOn w:val="Normal"/>
    <w:next w:val="Normal"/>
    <w:rsid w:val="00325416"/>
    <w:pPr>
      <w:tabs>
        <w:tab w:val="left" w:pos="600"/>
      </w:tabs>
      <w:suppressAutoHyphens/>
      <w:spacing w:before="100" w:line="480" w:lineRule="exact"/>
    </w:pPr>
    <w:rPr>
      <w:rFonts w:ascii="Arial" w:hAnsi="Arial"/>
      <w:snapToGrid w:val="0"/>
      <w:color w:val="008080"/>
      <w:kern w:val="28"/>
      <w:sz w:val="62"/>
      <w:szCs w:val="20"/>
      <w:lang w:eastAsia="en-GB"/>
    </w:rPr>
  </w:style>
  <w:style w:type="paragraph" w:styleId="PlainText">
    <w:name w:val="Plain Text"/>
    <w:basedOn w:val="Normal"/>
    <w:link w:val="PlainTextChar"/>
    <w:uiPriority w:val="99"/>
    <w:unhideWhenUsed/>
    <w:rsid w:val="009C1D3F"/>
    <w:rPr>
      <w:rFonts w:ascii="Arial" w:eastAsia="Calibri" w:hAnsi="Arial"/>
      <w:sz w:val="20"/>
      <w:szCs w:val="21"/>
      <w:lang w:val="x-none" w:eastAsia="x-none"/>
    </w:rPr>
  </w:style>
  <w:style w:type="character" w:customStyle="1" w:styleId="PlainTextChar">
    <w:name w:val="Plain Text Char"/>
    <w:link w:val="PlainText"/>
    <w:uiPriority w:val="99"/>
    <w:rsid w:val="009C1D3F"/>
    <w:rPr>
      <w:rFonts w:ascii="Arial" w:eastAsia="Calibri" w:hAnsi="Arial"/>
      <w:szCs w:val="21"/>
    </w:rPr>
  </w:style>
  <w:style w:type="paragraph" w:customStyle="1" w:styleId="Default">
    <w:name w:val="Default"/>
    <w:rsid w:val="00717A83"/>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BC7574"/>
    <w:rPr>
      <w:sz w:val="20"/>
      <w:szCs w:val="20"/>
      <w:lang w:val="x-none"/>
    </w:rPr>
  </w:style>
  <w:style w:type="character" w:customStyle="1" w:styleId="FootnoteTextChar">
    <w:name w:val="Footnote Text Char"/>
    <w:link w:val="FootnoteText"/>
    <w:uiPriority w:val="99"/>
    <w:semiHidden/>
    <w:rsid w:val="00BC7574"/>
    <w:rPr>
      <w:lang w:eastAsia="en-US"/>
    </w:rPr>
  </w:style>
  <w:style w:type="character" w:styleId="FootnoteReference">
    <w:name w:val="footnote reference"/>
    <w:unhideWhenUsed/>
    <w:rsid w:val="00BC7574"/>
    <w:rPr>
      <w:vertAlign w:val="superscript"/>
    </w:rPr>
  </w:style>
  <w:style w:type="paragraph" w:styleId="NormalWeb">
    <w:name w:val="Normal (Web)"/>
    <w:basedOn w:val="Normal"/>
    <w:uiPriority w:val="99"/>
    <w:unhideWhenUsed/>
    <w:rsid w:val="00915C36"/>
    <w:pPr>
      <w:spacing w:after="135" w:line="270" w:lineRule="atLeast"/>
    </w:pPr>
    <w:rPr>
      <w:rFonts w:ascii="Arial" w:hAnsi="Arial" w:cs="Arial"/>
      <w:sz w:val="20"/>
      <w:szCs w:val="20"/>
      <w:lang w:eastAsia="en-GB"/>
    </w:rPr>
  </w:style>
  <w:style w:type="character" w:customStyle="1" w:styleId="HeaderChar">
    <w:name w:val="Header Char"/>
    <w:link w:val="Header"/>
    <w:uiPriority w:val="99"/>
    <w:rsid w:val="0051299B"/>
    <w:rPr>
      <w:sz w:val="24"/>
      <w:szCs w:val="24"/>
      <w:lang w:eastAsia="en-US"/>
    </w:rPr>
  </w:style>
  <w:style w:type="paragraph" w:customStyle="1" w:styleId="legp2paratext1">
    <w:name w:val="legp2paratext1"/>
    <w:basedOn w:val="Normal"/>
    <w:rsid w:val="0051299B"/>
    <w:pPr>
      <w:shd w:val="clear" w:color="auto" w:fill="FFFFFF"/>
      <w:spacing w:after="120" w:line="360" w:lineRule="atLeast"/>
      <w:ind w:firstLine="240"/>
      <w:jc w:val="both"/>
    </w:pPr>
    <w:rPr>
      <w:color w:val="494949"/>
      <w:sz w:val="19"/>
      <w:szCs w:val="19"/>
      <w:lang w:eastAsia="en-GB"/>
    </w:rPr>
  </w:style>
  <w:style w:type="character" w:customStyle="1" w:styleId="FooterChar">
    <w:name w:val="Footer Char"/>
    <w:link w:val="Footer"/>
    <w:uiPriority w:val="99"/>
    <w:rsid w:val="00365448"/>
    <w:rPr>
      <w:sz w:val="24"/>
      <w:szCs w:val="24"/>
      <w:lang w:eastAsia="en-US"/>
    </w:rPr>
  </w:style>
  <w:style w:type="character" w:customStyle="1" w:styleId="Heading3Char">
    <w:name w:val="Heading 3 Char"/>
    <w:uiPriority w:val="9"/>
    <w:semiHidden/>
    <w:rsid w:val="00EC6236"/>
    <w:rPr>
      <w:rFonts w:ascii="Cambria" w:eastAsia="Times New Roman" w:hAnsi="Cambria" w:cs="Times New Roman"/>
      <w:b/>
      <w:bCs/>
      <w:sz w:val="26"/>
      <w:szCs w:val="26"/>
      <w:lang w:eastAsia="en-US"/>
    </w:rPr>
  </w:style>
  <w:style w:type="character" w:customStyle="1" w:styleId="Heading3Char1">
    <w:name w:val="Heading 3 Char1"/>
    <w:link w:val="Heading3"/>
    <w:locked/>
    <w:rsid w:val="00EC6236"/>
    <w:rPr>
      <w:rFonts w:ascii="Arial" w:hAnsi="Arial" w:cs="Arial"/>
      <w:b/>
      <w:sz w:val="24"/>
      <w:szCs w:val="24"/>
    </w:rPr>
  </w:style>
  <w:style w:type="character" w:customStyle="1" w:styleId="Heading4Char">
    <w:name w:val="Heading 4 Char"/>
    <w:link w:val="Heading4"/>
    <w:uiPriority w:val="9"/>
    <w:rsid w:val="00B83A56"/>
    <w:rPr>
      <w:rFonts w:ascii="Arial" w:eastAsia="Calibri" w:hAnsi="Arial"/>
      <w:b/>
      <w:bCs/>
      <w:sz w:val="24"/>
      <w:szCs w:val="28"/>
      <w:lang w:eastAsia="en-US"/>
    </w:rPr>
  </w:style>
  <w:style w:type="character" w:styleId="CommentReference">
    <w:name w:val="annotation reference"/>
    <w:uiPriority w:val="99"/>
    <w:semiHidden/>
    <w:unhideWhenUsed/>
    <w:rsid w:val="009348B6"/>
    <w:rPr>
      <w:sz w:val="16"/>
      <w:szCs w:val="16"/>
    </w:rPr>
  </w:style>
  <w:style w:type="paragraph" w:styleId="CommentText">
    <w:name w:val="annotation text"/>
    <w:basedOn w:val="Normal"/>
    <w:link w:val="CommentTextChar"/>
    <w:uiPriority w:val="99"/>
    <w:unhideWhenUsed/>
    <w:rsid w:val="009348B6"/>
    <w:rPr>
      <w:sz w:val="20"/>
      <w:szCs w:val="20"/>
    </w:rPr>
  </w:style>
  <w:style w:type="character" w:customStyle="1" w:styleId="CommentTextChar">
    <w:name w:val="Comment Text Char"/>
    <w:link w:val="CommentText"/>
    <w:uiPriority w:val="99"/>
    <w:rsid w:val="009348B6"/>
    <w:rPr>
      <w:lang w:eastAsia="en-US"/>
    </w:rPr>
  </w:style>
  <w:style w:type="paragraph" w:styleId="CommentSubject">
    <w:name w:val="annotation subject"/>
    <w:basedOn w:val="CommentText"/>
    <w:next w:val="CommentText"/>
    <w:link w:val="CommentSubjectChar"/>
    <w:uiPriority w:val="99"/>
    <w:semiHidden/>
    <w:unhideWhenUsed/>
    <w:rsid w:val="009348B6"/>
    <w:rPr>
      <w:b/>
      <w:bCs/>
    </w:rPr>
  </w:style>
  <w:style w:type="character" w:customStyle="1" w:styleId="CommentSubjectChar">
    <w:name w:val="Comment Subject Char"/>
    <w:link w:val="CommentSubject"/>
    <w:uiPriority w:val="99"/>
    <w:semiHidden/>
    <w:rsid w:val="009348B6"/>
    <w:rPr>
      <w:b/>
      <w:bCs/>
      <w:lang w:eastAsia="en-US"/>
    </w:rPr>
  </w:style>
  <w:style w:type="character" w:customStyle="1" w:styleId="UnresolvedMention">
    <w:name w:val="Unresolved Mention"/>
    <w:uiPriority w:val="99"/>
    <w:unhideWhenUsed/>
    <w:rsid w:val="006833F2"/>
    <w:rPr>
      <w:color w:val="605E5C"/>
      <w:shd w:val="clear" w:color="auto" w:fill="E1DFDD"/>
    </w:rPr>
  </w:style>
  <w:style w:type="character" w:customStyle="1" w:styleId="Mention">
    <w:name w:val="Mention"/>
    <w:uiPriority w:val="99"/>
    <w:unhideWhenUsed/>
    <w:rsid w:val="006833F2"/>
    <w:rPr>
      <w:color w:val="2B579A"/>
      <w:shd w:val="clear" w:color="auto" w:fill="E1DFDD"/>
    </w:rPr>
  </w:style>
  <w:style w:type="paragraph" w:styleId="Revision">
    <w:name w:val="Revision"/>
    <w:hidden/>
    <w:uiPriority w:val="99"/>
    <w:semiHidden/>
    <w:rsid w:val="0047591F"/>
    <w:rPr>
      <w:sz w:val="24"/>
      <w:szCs w:val="24"/>
      <w:lang w:eastAsia="en-US"/>
    </w:rPr>
  </w:style>
  <w:style w:type="character" w:customStyle="1" w:styleId="Heading1Char">
    <w:name w:val="Heading 1 Char"/>
    <w:basedOn w:val="DefaultParagraphFont"/>
    <w:link w:val="Heading1"/>
    <w:uiPriority w:val="9"/>
    <w:rsid w:val="00B83A56"/>
    <w:rPr>
      <w:rFonts w:ascii="Arial" w:eastAsiaTheme="majorEastAsia" w:hAnsi="Arial" w:cstheme="majorBidi"/>
      <w:b/>
      <w:bCs/>
      <w:kern w:val="32"/>
      <w:sz w:val="32"/>
      <w:szCs w:val="32"/>
      <w:lang w:eastAsia="en-US"/>
    </w:rPr>
  </w:style>
  <w:style w:type="character" w:customStyle="1" w:styleId="Heading2Char">
    <w:name w:val="Heading 2 Char"/>
    <w:basedOn w:val="DefaultParagraphFont"/>
    <w:link w:val="Heading2"/>
    <w:uiPriority w:val="9"/>
    <w:rsid w:val="00B83A56"/>
    <w:rPr>
      <w:rFonts w:ascii="Arial" w:eastAsiaTheme="majorEastAsia" w:hAnsi="Arial" w:cstheme="majorBidi"/>
      <w:b/>
      <w:bCs/>
      <w:i/>
      <w:iCs/>
      <w:sz w:val="28"/>
      <w:szCs w:val="28"/>
      <w:lang w:eastAsia="en-US"/>
    </w:rPr>
  </w:style>
  <w:style w:type="character" w:customStyle="1" w:styleId="Heading5Char">
    <w:name w:val="Heading 5 Char"/>
    <w:basedOn w:val="DefaultParagraphFont"/>
    <w:link w:val="Heading5"/>
    <w:uiPriority w:val="9"/>
    <w:rsid w:val="00B83A56"/>
    <w:rPr>
      <w:rFonts w:ascii="Arial" w:eastAsiaTheme="minorEastAsia" w:hAnsi="Arial" w:cstheme="minorBidi"/>
      <w:b/>
      <w:bCs/>
      <w:i/>
      <w:iCs/>
      <w:sz w:val="24"/>
      <w:szCs w:val="26"/>
      <w:lang w:eastAsia="en-US"/>
    </w:rPr>
  </w:style>
  <w:style w:type="character" w:customStyle="1" w:styleId="Heading6Char">
    <w:name w:val="Heading 6 Char"/>
    <w:basedOn w:val="DefaultParagraphFont"/>
    <w:link w:val="Heading6"/>
    <w:uiPriority w:val="9"/>
    <w:rsid w:val="00EE395D"/>
    <w:rPr>
      <w:rFonts w:ascii="Arial" w:eastAsiaTheme="majorEastAsia" w:hAnsi="Arial" w:cstheme="majorBidi"/>
      <w:b/>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096">
      <w:bodyDiv w:val="1"/>
      <w:marLeft w:val="0"/>
      <w:marRight w:val="0"/>
      <w:marTop w:val="0"/>
      <w:marBottom w:val="0"/>
      <w:divBdr>
        <w:top w:val="none" w:sz="0" w:space="0" w:color="auto"/>
        <w:left w:val="none" w:sz="0" w:space="0" w:color="auto"/>
        <w:bottom w:val="none" w:sz="0" w:space="0" w:color="auto"/>
        <w:right w:val="none" w:sz="0" w:space="0" w:color="auto"/>
      </w:divBdr>
    </w:div>
    <w:div w:id="60031071">
      <w:bodyDiv w:val="1"/>
      <w:marLeft w:val="0"/>
      <w:marRight w:val="0"/>
      <w:marTop w:val="0"/>
      <w:marBottom w:val="0"/>
      <w:divBdr>
        <w:top w:val="none" w:sz="0" w:space="0" w:color="auto"/>
        <w:left w:val="none" w:sz="0" w:space="0" w:color="auto"/>
        <w:bottom w:val="none" w:sz="0" w:space="0" w:color="auto"/>
        <w:right w:val="none" w:sz="0" w:space="0" w:color="auto"/>
      </w:divBdr>
      <w:divsChild>
        <w:div w:id="957183287">
          <w:marLeft w:val="288"/>
          <w:marRight w:val="0"/>
          <w:marTop w:val="0"/>
          <w:marBottom w:val="60"/>
          <w:divBdr>
            <w:top w:val="none" w:sz="0" w:space="0" w:color="auto"/>
            <w:left w:val="none" w:sz="0" w:space="0" w:color="auto"/>
            <w:bottom w:val="none" w:sz="0" w:space="0" w:color="auto"/>
            <w:right w:val="none" w:sz="0" w:space="0" w:color="auto"/>
          </w:divBdr>
        </w:div>
        <w:div w:id="1242712629">
          <w:marLeft w:val="288"/>
          <w:marRight w:val="0"/>
          <w:marTop w:val="0"/>
          <w:marBottom w:val="60"/>
          <w:divBdr>
            <w:top w:val="none" w:sz="0" w:space="0" w:color="auto"/>
            <w:left w:val="none" w:sz="0" w:space="0" w:color="auto"/>
            <w:bottom w:val="none" w:sz="0" w:space="0" w:color="auto"/>
            <w:right w:val="none" w:sz="0" w:space="0" w:color="auto"/>
          </w:divBdr>
        </w:div>
        <w:div w:id="1258052209">
          <w:marLeft w:val="288"/>
          <w:marRight w:val="0"/>
          <w:marTop w:val="0"/>
          <w:marBottom w:val="60"/>
          <w:divBdr>
            <w:top w:val="none" w:sz="0" w:space="0" w:color="auto"/>
            <w:left w:val="none" w:sz="0" w:space="0" w:color="auto"/>
            <w:bottom w:val="none" w:sz="0" w:space="0" w:color="auto"/>
            <w:right w:val="none" w:sz="0" w:space="0" w:color="auto"/>
          </w:divBdr>
        </w:div>
        <w:div w:id="1974284997">
          <w:marLeft w:val="288"/>
          <w:marRight w:val="0"/>
          <w:marTop w:val="0"/>
          <w:marBottom w:val="60"/>
          <w:divBdr>
            <w:top w:val="none" w:sz="0" w:space="0" w:color="auto"/>
            <w:left w:val="none" w:sz="0" w:space="0" w:color="auto"/>
            <w:bottom w:val="none" w:sz="0" w:space="0" w:color="auto"/>
            <w:right w:val="none" w:sz="0" w:space="0" w:color="auto"/>
          </w:divBdr>
        </w:div>
      </w:divsChild>
    </w:div>
    <w:div w:id="87964207">
      <w:bodyDiv w:val="1"/>
      <w:marLeft w:val="0"/>
      <w:marRight w:val="0"/>
      <w:marTop w:val="0"/>
      <w:marBottom w:val="0"/>
      <w:divBdr>
        <w:top w:val="none" w:sz="0" w:space="0" w:color="auto"/>
        <w:left w:val="none" w:sz="0" w:space="0" w:color="auto"/>
        <w:bottom w:val="none" w:sz="0" w:space="0" w:color="auto"/>
        <w:right w:val="none" w:sz="0" w:space="0" w:color="auto"/>
      </w:divBdr>
    </w:div>
    <w:div w:id="96947334">
      <w:bodyDiv w:val="1"/>
      <w:marLeft w:val="0"/>
      <w:marRight w:val="0"/>
      <w:marTop w:val="0"/>
      <w:marBottom w:val="0"/>
      <w:divBdr>
        <w:top w:val="none" w:sz="0" w:space="0" w:color="auto"/>
        <w:left w:val="none" w:sz="0" w:space="0" w:color="auto"/>
        <w:bottom w:val="none" w:sz="0" w:space="0" w:color="auto"/>
        <w:right w:val="none" w:sz="0" w:space="0" w:color="auto"/>
      </w:divBdr>
    </w:div>
    <w:div w:id="107311801">
      <w:bodyDiv w:val="1"/>
      <w:marLeft w:val="0"/>
      <w:marRight w:val="0"/>
      <w:marTop w:val="0"/>
      <w:marBottom w:val="0"/>
      <w:divBdr>
        <w:top w:val="none" w:sz="0" w:space="0" w:color="auto"/>
        <w:left w:val="none" w:sz="0" w:space="0" w:color="auto"/>
        <w:bottom w:val="none" w:sz="0" w:space="0" w:color="auto"/>
        <w:right w:val="none" w:sz="0" w:space="0" w:color="auto"/>
      </w:divBdr>
    </w:div>
    <w:div w:id="157309679">
      <w:bodyDiv w:val="1"/>
      <w:marLeft w:val="0"/>
      <w:marRight w:val="0"/>
      <w:marTop w:val="0"/>
      <w:marBottom w:val="0"/>
      <w:divBdr>
        <w:top w:val="none" w:sz="0" w:space="0" w:color="auto"/>
        <w:left w:val="none" w:sz="0" w:space="0" w:color="auto"/>
        <w:bottom w:val="none" w:sz="0" w:space="0" w:color="auto"/>
        <w:right w:val="none" w:sz="0" w:space="0" w:color="auto"/>
      </w:divBdr>
    </w:div>
    <w:div w:id="162666048">
      <w:bodyDiv w:val="1"/>
      <w:marLeft w:val="0"/>
      <w:marRight w:val="0"/>
      <w:marTop w:val="0"/>
      <w:marBottom w:val="0"/>
      <w:divBdr>
        <w:top w:val="none" w:sz="0" w:space="0" w:color="auto"/>
        <w:left w:val="none" w:sz="0" w:space="0" w:color="auto"/>
        <w:bottom w:val="none" w:sz="0" w:space="0" w:color="auto"/>
        <w:right w:val="none" w:sz="0" w:space="0" w:color="auto"/>
      </w:divBdr>
    </w:div>
    <w:div w:id="179975628">
      <w:bodyDiv w:val="1"/>
      <w:marLeft w:val="0"/>
      <w:marRight w:val="0"/>
      <w:marTop w:val="0"/>
      <w:marBottom w:val="0"/>
      <w:divBdr>
        <w:top w:val="none" w:sz="0" w:space="0" w:color="auto"/>
        <w:left w:val="none" w:sz="0" w:space="0" w:color="auto"/>
        <w:bottom w:val="none" w:sz="0" w:space="0" w:color="auto"/>
        <w:right w:val="none" w:sz="0" w:space="0" w:color="auto"/>
      </w:divBdr>
    </w:div>
    <w:div w:id="180437716">
      <w:bodyDiv w:val="1"/>
      <w:marLeft w:val="0"/>
      <w:marRight w:val="0"/>
      <w:marTop w:val="0"/>
      <w:marBottom w:val="0"/>
      <w:divBdr>
        <w:top w:val="none" w:sz="0" w:space="0" w:color="auto"/>
        <w:left w:val="none" w:sz="0" w:space="0" w:color="auto"/>
        <w:bottom w:val="none" w:sz="0" w:space="0" w:color="auto"/>
        <w:right w:val="none" w:sz="0" w:space="0" w:color="auto"/>
      </w:divBdr>
    </w:div>
    <w:div w:id="286132177">
      <w:bodyDiv w:val="1"/>
      <w:marLeft w:val="0"/>
      <w:marRight w:val="0"/>
      <w:marTop w:val="0"/>
      <w:marBottom w:val="0"/>
      <w:divBdr>
        <w:top w:val="none" w:sz="0" w:space="0" w:color="auto"/>
        <w:left w:val="none" w:sz="0" w:space="0" w:color="auto"/>
        <w:bottom w:val="none" w:sz="0" w:space="0" w:color="auto"/>
        <w:right w:val="none" w:sz="0" w:space="0" w:color="auto"/>
      </w:divBdr>
    </w:div>
    <w:div w:id="291715814">
      <w:bodyDiv w:val="1"/>
      <w:marLeft w:val="0"/>
      <w:marRight w:val="0"/>
      <w:marTop w:val="0"/>
      <w:marBottom w:val="0"/>
      <w:divBdr>
        <w:top w:val="none" w:sz="0" w:space="0" w:color="auto"/>
        <w:left w:val="none" w:sz="0" w:space="0" w:color="auto"/>
        <w:bottom w:val="none" w:sz="0" w:space="0" w:color="auto"/>
        <w:right w:val="none" w:sz="0" w:space="0" w:color="auto"/>
      </w:divBdr>
    </w:div>
    <w:div w:id="301665201">
      <w:bodyDiv w:val="1"/>
      <w:marLeft w:val="0"/>
      <w:marRight w:val="0"/>
      <w:marTop w:val="0"/>
      <w:marBottom w:val="0"/>
      <w:divBdr>
        <w:top w:val="none" w:sz="0" w:space="0" w:color="auto"/>
        <w:left w:val="none" w:sz="0" w:space="0" w:color="auto"/>
        <w:bottom w:val="none" w:sz="0" w:space="0" w:color="auto"/>
        <w:right w:val="none" w:sz="0" w:space="0" w:color="auto"/>
      </w:divBdr>
    </w:div>
    <w:div w:id="333194592">
      <w:bodyDiv w:val="1"/>
      <w:marLeft w:val="0"/>
      <w:marRight w:val="0"/>
      <w:marTop w:val="0"/>
      <w:marBottom w:val="0"/>
      <w:divBdr>
        <w:top w:val="none" w:sz="0" w:space="0" w:color="auto"/>
        <w:left w:val="none" w:sz="0" w:space="0" w:color="auto"/>
        <w:bottom w:val="none" w:sz="0" w:space="0" w:color="auto"/>
        <w:right w:val="none" w:sz="0" w:space="0" w:color="auto"/>
      </w:divBdr>
    </w:div>
    <w:div w:id="375474690">
      <w:bodyDiv w:val="1"/>
      <w:marLeft w:val="0"/>
      <w:marRight w:val="0"/>
      <w:marTop w:val="0"/>
      <w:marBottom w:val="0"/>
      <w:divBdr>
        <w:top w:val="none" w:sz="0" w:space="0" w:color="auto"/>
        <w:left w:val="none" w:sz="0" w:space="0" w:color="auto"/>
        <w:bottom w:val="none" w:sz="0" w:space="0" w:color="auto"/>
        <w:right w:val="none" w:sz="0" w:space="0" w:color="auto"/>
      </w:divBdr>
    </w:div>
    <w:div w:id="390813978">
      <w:bodyDiv w:val="1"/>
      <w:marLeft w:val="0"/>
      <w:marRight w:val="0"/>
      <w:marTop w:val="0"/>
      <w:marBottom w:val="0"/>
      <w:divBdr>
        <w:top w:val="none" w:sz="0" w:space="0" w:color="auto"/>
        <w:left w:val="none" w:sz="0" w:space="0" w:color="auto"/>
        <w:bottom w:val="none" w:sz="0" w:space="0" w:color="auto"/>
        <w:right w:val="none" w:sz="0" w:space="0" w:color="auto"/>
      </w:divBdr>
    </w:div>
    <w:div w:id="523401895">
      <w:bodyDiv w:val="1"/>
      <w:marLeft w:val="0"/>
      <w:marRight w:val="0"/>
      <w:marTop w:val="0"/>
      <w:marBottom w:val="0"/>
      <w:divBdr>
        <w:top w:val="none" w:sz="0" w:space="0" w:color="auto"/>
        <w:left w:val="none" w:sz="0" w:space="0" w:color="auto"/>
        <w:bottom w:val="none" w:sz="0" w:space="0" w:color="auto"/>
        <w:right w:val="none" w:sz="0" w:space="0" w:color="auto"/>
      </w:divBdr>
    </w:div>
    <w:div w:id="662243014">
      <w:bodyDiv w:val="1"/>
      <w:marLeft w:val="0"/>
      <w:marRight w:val="0"/>
      <w:marTop w:val="0"/>
      <w:marBottom w:val="0"/>
      <w:divBdr>
        <w:top w:val="none" w:sz="0" w:space="0" w:color="auto"/>
        <w:left w:val="none" w:sz="0" w:space="0" w:color="auto"/>
        <w:bottom w:val="none" w:sz="0" w:space="0" w:color="auto"/>
        <w:right w:val="none" w:sz="0" w:space="0" w:color="auto"/>
      </w:divBdr>
    </w:div>
    <w:div w:id="692615328">
      <w:bodyDiv w:val="1"/>
      <w:marLeft w:val="0"/>
      <w:marRight w:val="0"/>
      <w:marTop w:val="0"/>
      <w:marBottom w:val="0"/>
      <w:divBdr>
        <w:top w:val="none" w:sz="0" w:space="0" w:color="auto"/>
        <w:left w:val="none" w:sz="0" w:space="0" w:color="auto"/>
        <w:bottom w:val="none" w:sz="0" w:space="0" w:color="auto"/>
        <w:right w:val="none" w:sz="0" w:space="0" w:color="auto"/>
      </w:divBdr>
    </w:div>
    <w:div w:id="708189170">
      <w:bodyDiv w:val="1"/>
      <w:marLeft w:val="0"/>
      <w:marRight w:val="0"/>
      <w:marTop w:val="0"/>
      <w:marBottom w:val="0"/>
      <w:divBdr>
        <w:top w:val="none" w:sz="0" w:space="0" w:color="auto"/>
        <w:left w:val="none" w:sz="0" w:space="0" w:color="auto"/>
        <w:bottom w:val="none" w:sz="0" w:space="0" w:color="auto"/>
        <w:right w:val="none" w:sz="0" w:space="0" w:color="auto"/>
      </w:divBdr>
    </w:div>
    <w:div w:id="708838088">
      <w:bodyDiv w:val="1"/>
      <w:marLeft w:val="0"/>
      <w:marRight w:val="0"/>
      <w:marTop w:val="0"/>
      <w:marBottom w:val="0"/>
      <w:divBdr>
        <w:top w:val="none" w:sz="0" w:space="0" w:color="auto"/>
        <w:left w:val="none" w:sz="0" w:space="0" w:color="auto"/>
        <w:bottom w:val="none" w:sz="0" w:space="0" w:color="auto"/>
        <w:right w:val="none" w:sz="0" w:space="0" w:color="auto"/>
      </w:divBdr>
    </w:div>
    <w:div w:id="714621525">
      <w:bodyDiv w:val="1"/>
      <w:marLeft w:val="0"/>
      <w:marRight w:val="0"/>
      <w:marTop w:val="0"/>
      <w:marBottom w:val="0"/>
      <w:divBdr>
        <w:top w:val="none" w:sz="0" w:space="0" w:color="auto"/>
        <w:left w:val="none" w:sz="0" w:space="0" w:color="auto"/>
        <w:bottom w:val="none" w:sz="0" w:space="0" w:color="auto"/>
        <w:right w:val="none" w:sz="0" w:space="0" w:color="auto"/>
      </w:divBdr>
    </w:div>
    <w:div w:id="724909786">
      <w:bodyDiv w:val="1"/>
      <w:marLeft w:val="0"/>
      <w:marRight w:val="0"/>
      <w:marTop w:val="0"/>
      <w:marBottom w:val="0"/>
      <w:divBdr>
        <w:top w:val="none" w:sz="0" w:space="0" w:color="auto"/>
        <w:left w:val="none" w:sz="0" w:space="0" w:color="auto"/>
        <w:bottom w:val="none" w:sz="0" w:space="0" w:color="auto"/>
        <w:right w:val="none" w:sz="0" w:space="0" w:color="auto"/>
      </w:divBdr>
    </w:div>
    <w:div w:id="731850010">
      <w:bodyDiv w:val="1"/>
      <w:marLeft w:val="0"/>
      <w:marRight w:val="0"/>
      <w:marTop w:val="0"/>
      <w:marBottom w:val="0"/>
      <w:divBdr>
        <w:top w:val="none" w:sz="0" w:space="0" w:color="auto"/>
        <w:left w:val="none" w:sz="0" w:space="0" w:color="auto"/>
        <w:bottom w:val="none" w:sz="0" w:space="0" w:color="auto"/>
        <w:right w:val="none" w:sz="0" w:space="0" w:color="auto"/>
      </w:divBdr>
      <w:divsChild>
        <w:div w:id="272245698">
          <w:marLeft w:val="288"/>
          <w:marRight w:val="0"/>
          <w:marTop w:val="0"/>
          <w:marBottom w:val="60"/>
          <w:divBdr>
            <w:top w:val="none" w:sz="0" w:space="0" w:color="auto"/>
            <w:left w:val="none" w:sz="0" w:space="0" w:color="auto"/>
            <w:bottom w:val="none" w:sz="0" w:space="0" w:color="auto"/>
            <w:right w:val="none" w:sz="0" w:space="0" w:color="auto"/>
          </w:divBdr>
        </w:div>
        <w:div w:id="1392464662">
          <w:marLeft w:val="288"/>
          <w:marRight w:val="0"/>
          <w:marTop w:val="0"/>
          <w:marBottom w:val="60"/>
          <w:divBdr>
            <w:top w:val="none" w:sz="0" w:space="0" w:color="auto"/>
            <w:left w:val="none" w:sz="0" w:space="0" w:color="auto"/>
            <w:bottom w:val="none" w:sz="0" w:space="0" w:color="auto"/>
            <w:right w:val="none" w:sz="0" w:space="0" w:color="auto"/>
          </w:divBdr>
        </w:div>
        <w:div w:id="1566139687">
          <w:marLeft w:val="288"/>
          <w:marRight w:val="0"/>
          <w:marTop w:val="0"/>
          <w:marBottom w:val="60"/>
          <w:divBdr>
            <w:top w:val="none" w:sz="0" w:space="0" w:color="auto"/>
            <w:left w:val="none" w:sz="0" w:space="0" w:color="auto"/>
            <w:bottom w:val="none" w:sz="0" w:space="0" w:color="auto"/>
            <w:right w:val="none" w:sz="0" w:space="0" w:color="auto"/>
          </w:divBdr>
        </w:div>
        <w:div w:id="1584143084">
          <w:marLeft w:val="288"/>
          <w:marRight w:val="0"/>
          <w:marTop w:val="0"/>
          <w:marBottom w:val="60"/>
          <w:divBdr>
            <w:top w:val="none" w:sz="0" w:space="0" w:color="auto"/>
            <w:left w:val="none" w:sz="0" w:space="0" w:color="auto"/>
            <w:bottom w:val="none" w:sz="0" w:space="0" w:color="auto"/>
            <w:right w:val="none" w:sz="0" w:space="0" w:color="auto"/>
          </w:divBdr>
        </w:div>
      </w:divsChild>
    </w:div>
    <w:div w:id="765349956">
      <w:bodyDiv w:val="1"/>
      <w:marLeft w:val="0"/>
      <w:marRight w:val="0"/>
      <w:marTop w:val="0"/>
      <w:marBottom w:val="0"/>
      <w:divBdr>
        <w:top w:val="none" w:sz="0" w:space="0" w:color="auto"/>
        <w:left w:val="none" w:sz="0" w:space="0" w:color="auto"/>
        <w:bottom w:val="none" w:sz="0" w:space="0" w:color="auto"/>
        <w:right w:val="none" w:sz="0" w:space="0" w:color="auto"/>
      </w:divBdr>
    </w:div>
    <w:div w:id="808278995">
      <w:bodyDiv w:val="1"/>
      <w:marLeft w:val="0"/>
      <w:marRight w:val="0"/>
      <w:marTop w:val="0"/>
      <w:marBottom w:val="0"/>
      <w:divBdr>
        <w:top w:val="none" w:sz="0" w:space="0" w:color="auto"/>
        <w:left w:val="none" w:sz="0" w:space="0" w:color="auto"/>
        <w:bottom w:val="none" w:sz="0" w:space="0" w:color="auto"/>
        <w:right w:val="none" w:sz="0" w:space="0" w:color="auto"/>
      </w:divBdr>
    </w:div>
    <w:div w:id="816455236">
      <w:bodyDiv w:val="1"/>
      <w:marLeft w:val="0"/>
      <w:marRight w:val="0"/>
      <w:marTop w:val="0"/>
      <w:marBottom w:val="0"/>
      <w:divBdr>
        <w:top w:val="none" w:sz="0" w:space="0" w:color="auto"/>
        <w:left w:val="none" w:sz="0" w:space="0" w:color="auto"/>
        <w:bottom w:val="none" w:sz="0" w:space="0" w:color="auto"/>
        <w:right w:val="none" w:sz="0" w:space="0" w:color="auto"/>
      </w:divBdr>
    </w:div>
    <w:div w:id="831220767">
      <w:bodyDiv w:val="1"/>
      <w:marLeft w:val="0"/>
      <w:marRight w:val="0"/>
      <w:marTop w:val="0"/>
      <w:marBottom w:val="0"/>
      <w:divBdr>
        <w:top w:val="none" w:sz="0" w:space="0" w:color="auto"/>
        <w:left w:val="none" w:sz="0" w:space="0" w:color="auto"/>
        <w:bottom w:val="none" w:sz="0" w:space="0" w:color="auto"/>
        <w:right w:val="none" w:sz="0" w:space="0" w:color="auto"/>
      </w:divBdr>
    </w:div>
    <w:div w:id="890726948">
      <w:bodyDiv w:val="1"/>
      <w:marLeft w:val="0"/>
      <w:marRight w:val="0"/>
      <w:marTop w:val="0"/>
      <w:marBottom w:val="0"/>
      <w:divBdr>
        <w:top w:val="none" w:sz="0" w:space="0" w:color="auto"/>
        <w:left w:val="none" w:sz="0" w:space="0" w:color="auto"/>
        <w:bottom w:val="none" w:sz="0" w:space="0" w:color="auto"/>
        <w:right w:val="none" w:sz="0" w:space="0" w:color="auto"/>
      </w:divBdr>
      <w:divsChild>
        <w:div w:id="736051770">
          <w:marLeft w:val="288"/>
          <w:marRight w:val="0"/>
          <w:marTop w:val="0"/>
          <w:marBottom w:val="80"/>
          <w:divBdr>
            <w:top w:val="none" w:sz="0" w:space="0" w:color="auto"/>
            <w:left w:val="none" w:sz="0" w:space="0" w:color="auto"/>
            <w:bottom w:val="none" w:sz="0" w:space="0" w:color="auto"/>
            <w:right w:val="none" w:sz="0" w:space="0" w:color="auto"/>
          </w:divBdr>
        </w:div>
        <w:div w:id="1198810942">
          <w:marLeft w:val="288"/>
          <w:marRight w:val="0"/>
          <w:marTop w:val="0"/>
          <w:marBottom w:val="80"/>
          <w:divBdr>
            <w:top w:val="none" w:sz="0" w:space="0" w:color="auto"/>
            <w:left w:val="none" w:sz="0" w:space="0" w:color="auto"/>
            <w:bottom w:val="none" w:sz="0" w:space="0" w:color="auto"/>
            <w:right w:val="none" w:sz="0" w:space="0" w:color="auto"/>
          </w:divBdr>
        </w:div>
        <w:div w:id="1615015784">
          <w:marLeft w:val="288"/>
          <w:marRight w:val="0"/>
          <w:marTop w:val="0"/>
          <w:marBottom w:val="80"/>
          <w:divBdr>
            <w:top w:val="none" w:sz="0" w:space="0" w:color="auto"/>
            <w:left w:val="none" w:sz="0" w:space="0" w:color="auto"/>
            <w:bottom w:val="none" w:sz="0" w:space="0" w:color="auto"/>
            <w:right w:val="none" w:sz="0" w:space="0" w:color="auto"/>
          </w:divBdr>
        </w:div>
        <w:div w:id="1946308332">
          <w:marLeft w:val="288"/>
          <w:marRight w:val="0"/>
          <w:marTop w:val="0"/>
          <w:marBottom w:val="80"/>
          <w:divBdr>
            <w:top w:val="none" w:sz="0" w:space="0" w:color="auto"/>
            <w:left w:val="none" w:sz="0" w:space="0" w:color="auto"/>
            <w:bottom w:val="none" w:sz="0" w:space="0" w:color="auto"/>
            <w:right w:val="none" w:sz="0" w:space="0" w:color="auto"/>
          </w:divBdr>
        </w:div>
      </w:divsChild>
    </w:div>
    <w:div w:id="893394377">
      <w:bodyDiv w:val="1"/>
      <w:marLeft w:val="0"/>
      <w:marRight w:val="0"/>
      <w:marTop w:val="0"/>
      <w:marBottom w:val="0"/>
      <w:divBdr>
        <w:top w:val="none" w:sz="0" w:space="0" w:color="auto"/>
        <w:left w:val="none" w:sz="0" w:space="0" w:color="auto"/>
        <w:bottom w:val="none" w:sz="0" w:space="0" w:color="auto"/>
        <w:right w:val="none" w:sz="0" w:space="0" w:color="auto"/>
      </w:divBdr>
    </w:div>
    <w:div w:id="957226904">
      <w:bodyDiv w:val="1"/>
      <w:marLeft w:val="0"/>
      <w:marRight w:val="0"/>
      <w:marTop w:val="0"/>
      <w:marBottom w:val="0"/>
      <w:divBdr>
        <w:top w:val="none" w:sz="0" w:space="0" w:color="auto"/>
        <w:left w:val="none" w:sz="0" w:space="0" w:color="auto"/>
        <w:bottom w:val="none" w:sz="0" w:space="0" w:color="auto"/>
        <w:right w:val="none" w:sz="0" w:space="0" w:color="auto"/>
      </w:divBdr>
    </w:div>
    <w:div w:id="958029722">
      <w:bodyDiv w:val="1"/>
      <w:marLeft w:val="0"/>
      <w:marRight w:val="0"/>
      <w:marTop w:val="0"/>
      <w:marBottom w:val="0"/>
      <w:divBdr>
        <w:top w:val="none" w:sz="0" w:space="0" w:color="auto"/>
        <w:left w:val="none" w:sz="0" w:space="0" w:color="auto"/>
        <w:bottom w:val="none" w:sz="0" w:space="0" w:color="auto"/>
        <w:right w:val="none" w:sz="0" w:space="0" w:color="auto"/>
      </w:divBdr>
    </w:div>
    <w:div w:id="964237486">
      <w:bodyDiv w:val="1"/>
      <w:marLeft w:val="0"/>
      <w:marRight w:val="0"/>
      <w:marTop w:val="0"/>
      <w:marBottom w:val="0"/>
      <w:divBdr>
        <w:top w:val="none" w:sz="0" w:space="0" w:color="auto"/>
        <w:left w:val="none" w:sz="0" w:space="0" w:color="auto"/>
        <w:bottom w:val="none" w:sz="0" w:space="0" w:color="auto"/>
        <w:right w:val="none" w:sz="0" w:space="0" w:color="auto"/>
      </w:divBdr>
      <w:divsChild>
        <w:div w:id="797144457">
          <w:marLeft w:val="274"/>
          <w:marRight w:val="0"/>
          <w:marTop w:val="0"/>
          <w:marBottom w:val="120"/>
          <w:divBdr>
            <w:top w:val="none" w:sz="0" w:space="0" w:color="auto"/>
            <w:left w:val="none" w:sz="0" w:space="0" w:color="auto"/>
            <w:bottom w:val="none" w:sz="0" w:space="0" w:color="auto"/>
            <w:right w:val="none" w:sz="0" w:space="0" w:color="auto"/>
          </w:divBdr>
        </w:div>
      </w:divsChild>
    </w:div>
    <w:div w:id="978613677">
      <w:bodyDiv w:val="1"/>
      <w:marLeft w:val="0"/>
      <w:marRight w:val="0"/>
      <w:marTop w:val="0"/>
      <w:marBottom w:val="0"/>
      <w:divBdr>
        <w:top w:val="none" w:sz="0" w:space="0" w:color="auto"/>
        <w:left w:val="none" w:sz="0" w:space="0" w:color="auto"/>
        <w:bottom w:val="none" w:sz="0" w:space="0" w:color="auto"/>
        <w:right w:val="none" w:sz="0" w:space="0" w:color="auto"/>
      </w:divBdr>
    </w:div>
    <w:div w:id="1004356046">
      <w:bodyDiv w:val="1"/>
      <w:marLeft w:val="0"/>
      <w:marRight w:val="0"/>
      <w:marTop w:val="0"/>
      <w:marBottom w:val="0"/>
      <w:divBdr>
        <w:top w:val="none" w:sz="0" w:space="0" w:color="auto"/>
        <w:left w:val="none" w:sz="0" w:space="0" w:color="auto"/>
        <w:bottom w:val="none" w:sz="0" w:space="0" w:color="auto"/>
        <w:right w:val="none" w:sz="0" w:space="0" w:color="auto"/>
      </w:divBdr>
    </w:div>
    <w:div w:id="1025405821">
      <w:bodyDiv w:val="1"/>
      <w:marLeft w:val="0"/>
      <w:marRight w:val="0"/>
      <w:marTop w:val="0"/>
      <w:marBottom w:val="0"/>
      <w:divBdr>
        <w:top w:val="none" w:sz="0" w:space="0" w:color="auto"/>
        <w:left w:val="none" w:sz="0" w:space="0" w:color="auto"/>
        <w:bottom w:val="none" w:sz="0" w:space="0" w:color="auto"/>
        <w:right w:val="none" w:sz="0" w:space="0" w:color="auto"/>
      </w:divBdr>
    </w:div>
    <w:div w:id="1047753860">
      <w:bodyDiv w:val="1"/>
      <w:marLeft w:val="0"/>
      <w:marRight w:val="0"/>
      <w:marTop w:val="0"/>
      <w:marBottom w:val="0"/>
      <w:divBdr>
        <w:top w:val="none" w:sz="0" w:space="0" w:color="auto"/>
        <w:left w:val="none" w:sz="0" w:space="0" w:color="auto"/>
        <w:bottom w:val="none" w:sz="0" w:space="0" w:color="auto"/>
        <w:right w:val="none" w:sz="0" w:space="0" w:color="auto"/>
      </w:divBdr>
      <w:divsChild>
        <w:div w:id="97331109">
          <w:marLeft w:val="288"/>
          <w:marRight w:val="0"/>
          <w:marTop w:val="0"/>
          <w:marBottom w:val="60"/>
          <w:divBdr>
            <w:top w:val="none" w:sz="0" w:space="0" w:color="auto"/>
            <w:left w:val="none" w:sz="0" w:space="0" w:color="auto"/>
            <w:bottom w:val="none" w:sz="0" w:space="0" w:color="auto"/>
            <w:right w:val="none" w:sz="0" w:space="0" w:color="auto"/>
          </w:divBdr>
        </w:div>
        <w:div w:id="162084476">
          <w:marLeft w:val="288"/>
          <w:marRight w:val="0"/>
          <w:marTop w:val="0"/>
          <w:marBottom w:val="60"/>
          <w:divBdr>
            <w:top w:val="none" w:sz="0" w:space="0" w:color="auto"/>
            <w:left w:val="none" w:sz="0" w:space="0" w:color="auto"/>
            <w:bottom w:val="none" w:sz="0" w:space="0" w:color="auto"/>
            <w:right w:val="none" w:sz="0" w:space="0" w:color="auto"/>
          </w:divBdr>
        </w:div>
        <w:div w:id="1403405624">
          <w:marLeft w:val="288"/>
          <w:marRight w:val="0"/>
          <w:marTop w:val="0"/>
          <w:marBottom w:val="60"/>
          <w:divBdr>
            <w:top w:val="none" w:sz="0" w:space="0" w:color="auto"/>
            <w:left w:val="none" w:sz="0" w:space="0" w:color="auto"/>
            <w:bottom w:val="none" w:sz="0" w:space="0" w:color="auto"/>
            <w:right w:val="none" w:sz="0" w:space="0" w:color="auto"/>
          </w:divBdr>
        </w:div>
        <w:div w:id="1823428697">
          <w:marLeft w:val="288"/>
          <w:marRight w:val="0"/>
          <w:marTop w:val="0"/>
          <w:marBottom w:val="60"/>
          <w:divBdr>
            <w:top w:val="none" w:sz="0" w:space="0" w:color="auto"/>
            <w:left w:val="none" w:sz="0" w:space="0" w:color="auto"/>
            <w:bottom w:val="none" w:sz="0" w:space="0" w:color="auto"/>
            <w:right w:val="none" w:sz="0" w:space="0" w:color="auto"/>
          </w:divBdr>
        </w:div>
      </w:divsChild>
    </w:div>
    <w:div w:id="1063021725">
      <w:bodyDiv w:val="1"/>
      <w:marLeft w:val="0"/>
      <w:marRight w:val="0"/>
      <w:marTop w:val="0"/>
      <w:marBottom w:val="0"/>
      <w:divBdr>
        <w:top w:val="none" w:sz="0" w:space="0" w:color="auto"/>
        <w:left w:val="none" w:sz="0" w:space="0" w:color="auto"/>
        <w:bottom w:val="none" w:sz="0" w:space="0" w:color="auto"/>
        <w:right w:val="none" w:sz="0" w:space="0" w:color="auto"/>
      </w:divBdr>
    </w:div>
    <w:div w:id="1080492981">
      <w:bodyDiv w:val="1"/>
      <w:marLeft w:val="0"/>
      <w:marRight w:val="0"/>
      <w:marTop w:val="0"/>
      <w:marBottom w:val="0"/>
      <w:divBdr>
        <w:top w:val="none" w:sz="0" w:space="0" w:color="auto"/>
        <w:left w:val="none" w:sz="0" w:space="0" w:color="auto"/>
        <w:bottom w:val="none" w:sz="0" w:space="0" w:color="auto"/>
        <w:right w:val="none" w:sz="0" w:space="0" w:color="auto"/>
      </w:divBdr>
    </w:div>
    <w:div w:id="1138717093">
      <w:bodyDiv w:val="1"/>
      <w:marLeft w:val="0"/>
      <w:marRight w:val="0"/>
      <w:marTop w:val="0"/>
      <w:marBottom w:val="0"/>
      <w:divBdr>
        <w:top w:val="none" w:sz="0" w:space="0" w:color="auto"/>
        <w:left w:val="none" w:sz="0" w:space="0" w:color="auto"/>
        <w:bottom w:val="none" w:sz="0" w:space="0" w:color="auto"/>
        <w:right w:val="none" w:sz="0" w:space="0" w:color="auto"/>
      </w:divBdr>
      <w:divsChild>
        <w:div w:id="314074037">
          <w:marLeft w:val="288"/>
          <w:marRight w:val="0"/>
          <w:marTop w:val="0"/>
          <w:marBottom w:val="60"/>
          <w:divBdr>
            <w:top w:val="none" w:sz="0" w:space="0" w:color="auto"/>
            <w:left w:val="none" w:sz="0" w:space="0" w:color="auto"/>
            <w:bottom w:val="none" w:sz="0" w:space="0" w:color="auto"/>
            <w:right w:val="none" w:sz="0" w:space="0" w:color="auto"/>
          </w:divBdr>
        </w:div>
        <w:div w:id="1303928651">
          <w:marLeft w:val="288"/>
          <w:marRight w:val="0"/>
          <w:marTop w:val="0"/>
          <w:marBottom w:val="60"/>
          <w:divBdr>
            <w:top w:val="none" w:sz="0" w:space="0" w:color="auto"/>
            <w:left w:val="none" w:sz="0" w:space="0" w:color="auto"/>
            <w:bottom w:val="none" w:sz="0" w:space="0" w:color="auto"/>
            <w:right w:val="none" w:sz="0" w:space="0" w:color="auto"/>
          </w:divBdr>
        </w:div>
        <w:div w:id="1507671465">
          <w:marLeft w:val="288"/>
          <w:marRight w:val="0"/>
          <w:marTop w:val="0"/>
          <w:marBottom w:val="60"/>
          <w:divBdr>
            <w:top w:val="none" w:sz="0" w:space="0" w:color="auto"/>
            <w:left w:val="none" w:sz="0" w:space="0" w:color="auto"/>
            <w:bottom w:val="none" w:sz="0" w:space="0" w:color="auto"/>
            <w:right w:val="none" w:sz="0" w:space="0" w:color="auto"/>
          </w:divBdr>
        </w:div>
        <w:div w:id="1591347780">
          <w:marLeft w:val="288"/>
          <w:marRight w:val="0"/>
          <w:marTop w:val="0"/>
          <w:marBottom w:val="60"/>
          <w:divBdr>
            <w:top w:val="none" w:sz="0" w:space="0" w:color="auto"/>
            <w:left w:val="none" w:sz="0" w:space="0" w:color="auto"/>
            <w:bottom w:val="none" w:sz="0" w:space="0" w:color="auto"/>
            <w:right w:val="none" w:sz="0" w:space="0" w:color="auto"/>
          </w:divBdr>
        </w:div>
      </w:divsChild>
    </w:div>
    <w:div w:id="1187215870">
      <w:bodyDiv w:val="1"/>
      <w:marLeft w:val="0"/>
      <w:marRight w:val="0"/>
      <w:marTop w:val="0"/>
      <w:marBottom w:val="0"/>
      <w:divBdr>
        <w:top w:val="none" w:sz="0" w:space="0" w:color="auto"/>
        <w:left w:val="none" w:sz="0" w:space="0" w:color="auto"/>
        <w:bottom w:val="none" w:sz="0" w:space="0" w:color="auto"/>
        <w:right w:val="none" w:sz="0" w:space="0" w:color="auto"/>
      </w:divBdr>
    </w:div>
    <w:div w:id="1188643665">
      <w:bodyDiv w:val="1"/>
      <w:marLeft w:val="0"/>
      <w:marRight w:val="0"/>
      <w:marTop w:val="0"/>
      <w:marBottom w:val="0"/>
      <w:divBdr>
        <w:top w:val="none" w:sz="0" w:space="0" w:color="auto"/>
        <w:left w:val="none" w:sz="0" w:space="0" w:color="auto"/>
        <w:bottom w:val="none" w:sz="0" w:space="0" w:color="auto"/>
        <w:right w:val="none" w:sz="0" w:space="0" w:color="auto"/>
      </w:divBdr>
      <w:divsChild>
        <w:div w:id="1947424569">
          <w:marLeft w:val="0"/>
          <w:marRight w:val="0"/>
          <w:marTop w:val="0"/>
          <w:marBottom w:val="0"/>
          <w:divBdr>
            <w:top w:val="none" w:sz="0" w:space="0" w:color="auto"/>
            <w:left w:val="none" w:sz="0" w:space="0" w:color="auto"/>
            <w:bottom w:val="none" w:sz="0" w:space="0" w:color="auto"/>
            <w:right w:val="none" w:sz="0" w:space="0" w:color="auto"/>
          </w:divBdr>
        </w:div>
      </w:divsChild>
    </w:div>
    <w:div w:id="1266570682">
      <w:bodyDiv w:val="1"/>
      <w:marLeft w:val="0"/>
      <w:marRight w:val="0"/>
      <w:marTop w:val="0"/>
      <w:marBottom w:val="0"/>
      <w:divBdr>
        <w:top w:val="none" w:sz="0" w:space="0" w:color="auto"/>
        <w:left w:val="none" w:sz="0" w:space="0" w:color="auto"/>
        <w:bottom w:val="none" w:sz="0" w:space="0" w:color="auto"/>
        <w:right w:val="none" w:sz="0" w:space="0" w:color="auto"/>
      </w:divBdr>
    </w:div>
    <w:div w:id="1294099704">
      <w:bodyDiv w:val="1"/>
      <w:marLeft w:val="0"/>
      <w:marRight w:val="0"/>
      <w:marTop w:val="0"/>
      <w:marBottom w:val="0"/>
      <w:divBdr>
        <w:top w:val="none" w:sz="0" w:space="0" w:color="auto"/>
        <w:left w:val="none" w:sz="0" w:space="0" w:color="auto"/>
        <w:bottom w:val="none" w:sz="0" w:space="0" w:color="auto"/>
        <w:right w:val="none" w:sz="0" w:space="0" w:color="auto"/>
      </w:divBdr>
    </w:div>
    <w:div w:id="1301421713">
      <w:bodyDiv w:val="1"/>
      <w:marLeft w:val="0"/>
      <w:marRight w:val="0"/>
      <w:marTop w:val="0"/>
      <w:marBottom w:val="0"/>
      <w:divBdr>
        <w:top w:val="none" w:sz="0" w:space="0" w:color="auto"/>
        <w:left w:val="none" w:sz="0" w:space="0" w:color="auto"/>
        <w:bottom w:val="none" w:sz="0" w:space="0" w:color="auto"/>
        <w:right w:val="none" w:sz="0" w:space="0" w:color="auto"/>
      </w:divBdr>
    </w:div>
    <w:div w:id="1320384854">
      <w:bodyDiv w:val="1"/>
      <w:marLeft w:val="0"/>
      <w:marRight w:val="0"/>
      <w:marTop w:val="0"/>
      <w:marBottom w:val="0"/>
      <w:divBdr>
        <w:top w:val="none" w:sz="0" w:space="0" w:color="auto"/>
        <w:left w:val="none" w:sz="0" w:space="0" w:color="auto"/>
        <w:bottom w:val="none" w:sz="0" w:space="0" w:color="auto"/>
        <w:right w:val="none" w:sz="0" w:space="0" w:color="auto"/>
      </w:divBdr>
    </w:div>
    <w:div w:id="1327123922">
      <w:bodyDiv w:val="1"/>
      <w:marLeft w:val="0"/>
      <w:marRight w:val="0"/>
      <w:marTop w:val="0"/>
      <w:marBottom w:val="0"/>
      <w:divBdr>
        <w:top w:val="none" w:sz="0" w:space="0" w:color="auto"/>
        <w:left w:val="none" w:sz="0" w:space="0" w:color="auto"/>
        <w:bottom w:val="none" w:sz="0" w:space="0" w:color="auto"/>
        <w:right w:val="none" w:sz="0" w:space="0" w:color="auto"/>
      </w:divBdr>
    </w:div>
    <w:div w:id="1366976935">
      <w:bodyDiv w:val="1"/>
      <w:marLeft w:val="0"/>
      <w:marRight w:val="0"/>
      <w:marTop w:val="0"/>
      <w:marBottom w:val="0"/>
      <w:divBdr>
        <w:top w:val="none" w:sz="0" w:space="0" w:color="auto"/>
        <w:left w:val="none" w:sz="0" w:space="0" w:color="auto"/>
        <w:bottom w:val="none" w:sz="0" w:space="0" w:color="auto"/>
        <w:right w:val="none" w:sz="0" w:space="0" w:color="auto"/>
      </w:divBdr>
    </w:div>
    <w:div w:id="1370564854">
      <w:bodyDiv w:val="1"/>
      <w:marLeft w:val="0"/>
      <w:marRight w:val="0"/>
      <w:marTop w:val="0"/>
      <w:marBottom w:val="0"/>
      <w:divBdr>
        <w:top w:val="none" w:sz="0" w:space="0" w:color="auto"/>
        <w:left w:val="none" w:sz="0" w:space="0" w:color="auto"/>
        <w:bottom w:val="none" w:sz="0" w:space="0" w:color="auto"/>
        <w:right w:val="none" w:sz="0" w:space="0" w:color="auto"/>
      </w:divBdr>
    </w:div>
    <w:div w:id="1375811867">
      <w:bodyDiv w:val="1"/>
      <w:marLeft w:val="0"/>
      <w:marRight w:val="0"/>
      <w:marTop w:val="0"/>
      <w:marBottom w:val="0"/>
      <w:divBdr>
        <w:top w:val="none" w:sz="0" w:space="0" w:color="auto"/>
        <w:left w:val="none" w:sz="0" w:space="0" w:color="auto"/>
        <w:bottom w:val="none" w:sz="0" w:space="0" w:color="auto"/>
        <w:right w:val="none" w:sz="0" w:space="0" w:color="auto"/>
      </w:divBdr>
    </w:div>
    <w:div w:id="1386180433">
      <w:bodyDiv w:val="1"/>
      <w:marLeft w:val="0"/>
      <w:marRight w:val="0"/>
      <w:marTop w:val="0"/>
      <w:marBottom w:val="0"/>
      <w:divBdr>
        <w:top w:val="none" w:sz="0" w:space="0" w:color="auto"/>
        <w:left w:val="none" w:sz="0" w:space="0" w:color="auto"/>
        <w:bottom w:val="none" w:sz="0" w:space="0" w:color="auto"/>
        <w:right w:val="none" w:sz="0" w:space="0" w:color="auto"/>
      </w:divBdr>
    </w:div>
    <w:div w:id="1400205698">
      <w:bodyDiv w:val="1"/>
      <w:marLeft w:val="0"/>
      <w:marRight w:val="0"/>
      <w:marTop w:val="0"/>
      <w:marBottom w:val="0"/>
      <w:divBdr>
        <w:top w:val="none" w:sz="0" w:space="0" w:color="auto"/>
        <w:left w:val="none" w:sz="0" w:space="0" w:color="auto"/>
        <w:bottom w:val="none" w:sz="0" w:space="0" w:color="auto"/>
        <w:right w:val="none" w:sz="0" w:space="0" w:color="auto"/>
      </w:divBdr>
      <w:divsChild>
        <w:div w:id="1782915703">
          <w:marLeft w:val="274"/>
          <w:marRight w:val="0"/>
          <w:marTop w:val="0"/>
          <w:marBottom w:val="120"/>
          <w:divBdr>
            <w:top w:val="none" w:sz="0" w:space="0" w:color="auto"/>
            <w:left w:val="none" w:sz="0" w:space="0" w:color="auto"/>
            <w:bottom w:val="none" w:sz="0" w:space="0" w:color="auto"/>
            <w:right w:val="none" w:sz="0" w:space="0" w:color="auto"/>
          </w:divBdr>
        </w:div>
      </w:divsChild>
    </w:div>
    <w:div w:id="1419862578">
      <w:bodyDiv w:val="1"/>
      <w:marLeft w:val="0"/>
      <w:marRight w:val="0"/>
      <w:marTop w:val="0"/>
      <w:marBottom w:val="0"/>
      <w:divBdr>
        <w:top w:val="none" w:sz="0" w:space="0" w:color="auto"/>
        <w:left w:val="none" w:sz="0" w:space="0" w:color="auto"/>
        <w:bottom w:val="none" w:sz="0" w:space="0" w:color="auto"/>
        <w:right w:val="none" w:sz="0" w:space="0" w:color="auto"/>
      </w:divBdr>
    </w:div>
    <w:div w:id="1472675360">
      <w:bodyDiv w:val="1"/>
      <w:marLeft w:val="0"/>
      <w:marRight w:val="0"/>
      <w:marTop w:val="0"/>
      <w:marBottom w:val="0"/>
      <w:divBdr>
        <w:top w:val="none" w:sz="0" w:space="0" w:color="auto"/>
        <w:left w:val="none" w:sz="0" w:space="0" w:color="auto"/>
        <w:bottom w:val="none" w:sz="0" w:space="0" w:color="auto"/>
        <w:right w:val="none" w:sz="0" w:space="0" w:color="auto"/>
      </w:divBdr>
    </w:div>
    <w:div w:id="1504666685">
      <w:bodyDiv w:val="1"/>
      <w:marLeft w:val="0"/>
      <w:marRight w:val="0"/>
      <w:marTop w:val="0"/>
      <w:marBottom w:val="0"/>
      <w:divBdr>
        <w:top w:val="none" w:sz="0" w:space="0" w:color="auto"/>
        <w:left w:val="none" w:sz="0" w:space="0" w:color="auto"/>
        <w:bottom w:val="none" w:sz="0" w:space="0" w:color="auto"/>
        <w:right w:val="none" w:sz="0" w:space="0" w:color="auto"/>
      </w:divBdr>
    </w:div>
    <w:div w:id="1543591785">
      <w:bodyDiv w:val="1"/>
      <w:marLeft w:val="0"/>
      <w:marRight w:val="0"/>
      <w:marTop w:val="0"/>
      <w:marBottom w:val="0"/>
      <w:divBdr>
        <w:top w:val="none" w:sz="0" w:space="0" w:color="auto"/>
        <w:left w:val="none" w:sz="0" w:space="0" w:color="auto"/>
        <w:bottom w:val="none" w:sz="0" w:space="0" w:color="auto"/>
        <w:right w:val="none" w:sz="0" w:space="0" w:color="auto"/>
      </w:divBdr>
    </w:div>
    <w:div w:id="1570572710">
      <w:bodyDiv w:val="1"/>
      <w:marLeft w:val="0"/>
      <w:marRight w:val="0"/>
      <w:marTop w:val="0"/>
      <w:marBottom w:val="0"/>
      <w:divBdr>
        <w:top w:val="none" w:sz="0" w:space="0" w:color="auto"/>
        <w:left w:val="none" w:sz="0" w:space="0" w:color="auto"/>
        <w:bottom w:val="none" w:sz="0" w:space="0" w:color="auto"/>
        <w:right w:val="none" w:sz="0" w:space="0" w:color="auto"/>
      </w:divBdr>
    </w:div>
    <w:div w:id="1589389297">
      <w:bodyDiv w:val="1"/>
      <w:marLeft w:val="0"/>
      <w:marRight w:val="0"/>
      <w:marTop w:val="0"/>
      <w:marBottom w:val="0"/>
      <w:divBdr>
        <w:top w:val="none" w:sz="0" w:space="0" w:color="auto"/>
        <w:left w:val="none" w:sz="0" w:space="0" w:color="auto"/>
        <w:bottom w:val="none" w:sz="0" w:space="0" w:color="auto"/>
        <w:right w:val="none" w:sz="0" w:space="0" w:color="auto"/>
      </w:divBdr>
    </w:div>
    <w:div w:id="1591964339">
      <w:bodyDiv w:val="1"/>
      <w:marLeft w:val="0"/>
      <w:marRight w:val="0"/>
      <w:marTop w:val="0"/>
      <w:marBottom w:val="0"/>
      <w:divBdr>
        <w:top w:val="none" w:sz="0" w:space="0" w:color="auto"/>
        <w:left w:val="none" w:sz="0" w:space="0" w:color="auto"/>
        <w:bottom w:val="none" w:sz="0" w:space="0" w:color="auto"/>
        <w:right w:val="none" w:sz="0" w:space="0" w:color="auto"/>
      </w:divBdr>
      <w:divsChild>
        <w:div w:id="886379861">
          <w:marLeft w:val="0"/>
          <w:marRight w:val="0"/>
          <w:marTop w:val="0"/>
          <w:marBottom w:val="0"/>
          <w:divBdr>
            <w:top w:val="none" w:sz="0" w:space="0" w:color="auto"/>
            <w:left w:val="none" w:sz="0" w:space="0" w:color="auto"/>
            <w:bottom w:val="none" w:sz="0" w:space="0" w:color="auto"/>
            <w:right w:val="none" w:sz="0" w:space="0" w:color="auto"/>
          </w:divBdr>
          <w:divsChild>
            <w:div w:id="1498185468">
              <w:marLeft w:val="0"/>
              <w:marRight w:val="0"/>
              <w:marTop w:val="0"/>
              <w:marBottom w:val="0"/>
              <w:divBdr>
                <w:top w:val="none" w:sz="0" w:space="0" w:color="auto"/>
                <w:left w:val="none" w:sz="0" w:space="0" w:color="auto"/>
                <w:bottom w:val="none" w:sz="0" w:space="0" w:color="auto"/>
                <w:right w:val="none" w:sz="0" w:space="0" w:color="auto"/>
              </w:divBdr>
              <w:divsChild>
                <w:div w:id="380252105">
                  <w:marLeft w:val="0"/>
                  <w:marRight w:val="0"/>
                  <w:marTop w:val="0"/>
                  <w:marBottom w:val="0"/>
                  <w:divBdr>
                    <w:top w:val="none" w:sz="0" w:space="0" w:color="auto"/>
                    <w:left w:val="none" w:sz="0" w:space="0" w:color="auto"/>
                    <w:bottom w:val="none" w:sz="0" w:space="0" w:color="auto"/>
                    <w:right w:val="none" w:sz="0" w:space="0" w:color="auto"/>
                  </w:divBdr>
                  <w:divsChild>
                    <w:div w:id="184637890">
                      <w:marLeft w:val="0"/>
                      <w:marRight w:val="-2921"/>
                      <w:marTop w:val="0"/>
                      <w:marBottom w:val="0"/>
                      <w:divBdr>
                        <w:top w:val="none" w:sz="0" w:space="0" w:color="auto"/>
                        <w:left w:val="none" w:sz="0" w:space="0" w:color="auto"/>
                        <w:bottom w:val="none" w:sz="0" w:space="0" w:color="auto"/>
                        <w:right w:val="none" w:sz="0" w:space="0" w:color="auto"/>
                      </w:divBdr>
                      <w:divsChild>
                        <w:div w:id="777453628">
                          <w:marLeft w:val="2459"/>
                          <w:marRight w:val="2921"/>
                          <w:marTop w:val="0"/>
                          <w:marBottom w:val="0"/>
                          <w:divBdr>
                            <w:top w:val="none" w:sz="0" w:space="0" w:color="auto"/>
                            <w:left w:val="none" w:sz="0" w:space="0" w:color="auto"/>
                            <w:bottom w:val="none" w:sz="0" w:space="0" w:color="auto"/>
                            <w:right w:val="none" w:sz="0" w:space="0" w:color="auto"/>
                          </w:divBdr>
                          <w:divsChild>
                            <w:div w:id="808715365">
                              <w:marLeft w:val="272"/>
                              <w:marRight w:val="272"/>
                              <w:marTop w:val="272"/>
                              <w:marBottom w:val="272"/>
                              <w:divBdr>
                                <w:top w:val="none" w:sz="0" w:space="0" w:color="auto"/>
                                <w:left w:val="none" w:sz="0" w:space="0" w:color="auto"/>
                                <w:bottom w:val="dotted" w:sz="6" w:space="14" w:color="003366"/>
                                <w:right w:val="none" w:sz="0" w:space="0" w:color="auto"/>
                              </w:divBdr>
                              <w:divsChild>
                                <w:div w:id="14946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96827">
      <w:bodyDiv w:val="1"/>
      <w:marLeft w:val="0"/>
      <w:marRight w:val="0"/>
      <w:marTop w:val="0"/>
      <w:marBottom w:val="0"/>
      <w:divBdr>
        <w:top w:val="none" w:sz="0" w:space="0" w:color="auto"/>
        <w:left w:val="none" w:sz="0" w:space="0" w:color="auto"/>
        <w:bottom w:val="none" w:sz="0" w:space="0" w:color="auto"/>
        <w:right w:val="none" w:sz="0" w:space="0" w:color="auto"/>
      </w:divBdr>
      <w:divsChild>
        <w:div w:id="1139109741">
          <w:marLeft w:val="288"/>
          <w:marRight w:val="0"/>
          <w:marTop w:val="0"/>
          <w:marBottom w:val="60"/>
          <w:divBdr>
            <w:top w:val="none" w:sz="0" w:space="0" w:color="auto"/>
            <w:left w:val="none" w:sz="0" w:space="0" w:color="auto"/>
            <w:bottom w:val="none" w:sz="0" w:space="0" w:color="auto"/>
            <w:right w:val="none" w:sz="0" w:space="0" w:color="auto"/>
          </w:divBdr>
        </w:div>
        <w:div w:id="1645311264">
          <w:marLeft w:val="288"/>
          <w:marRight w:val="0"/>
          <w:marTop w:val="0"/>
          <w:marBottom w:val="60"/>
          <w:divBdr>
            <w:top w:val="none" w:sz="0" w:space="0" w:color="auto"/>
            <w:left w:val="none" w:sz="0" w:space="0" w:color="auto"/>
            <w:bottom w:val="none" w:sz="0" w:space="0" w:color="auto"/>
            <w:right w:val="none" w:sz="0" w:space="0" w:color="auto"/>
          </w:divBdr>
        </w:div>
        <w:div w:id="1803107664">
          <w:marLeft w:val="288"/>
          <w:marRight w:val="0"/>
          <w:marTop w:val="0"/>
          <w:marBottom w:val="60"/>
          <w:divBdr>
            <w:top w:val="none" w:sz="0" w:space="0" w:color="auto"/>
            <w:left w:val="none" w:sz="0" w:space="0" w:color="auto"/>
            <w:bottom w:val="none" w:sz="0" w:space="0" w:color="auto"/>
            <w:right w:val="none" w:sz="0" w:space="0" w:color="auto"/>
          </w:divBdr>
        </w:div>
      </w:divsChild>
    </w:div>
    <w:div w:id="1661348366">
      <w:bodyDiv w:val="1"/>
      <w:marLeft w:val="0"/>
      <w:marRight w:val="0"/>
      <w:marTop w:val="0"/>
      <w:marBottom w:val="0"/>
      <w:divBdr>
        <w:top w:val="none" w:sz="0" w:space="0" w:color="auto"/>
        <w:left w:val="none" w:sz="0" w:space="0" w:color="auto"/>
        <w:bottom w:val="none" w:sz="0" w:space="0" w:color="auto"/>
        <w:right w:val="none" w:sz="0" w:space="0" w:color="auto"/>
      </w:divBdr>
    </w:div>
    <w:div w:id="1711102525">
      <w:bodyDiv w:val="1"/>
      <w:marLeft w:val="0"/>
      <w:marRight w:val="0"/>
      <w:marTop w:val="0"/>
      <w:marBottom w:val="0"/>
      <w:divBdr>
        <w:top w:val="none" w:sz="0" w:space="0" w:color="auto"/>
        <w:left w:val="none" w:sz="0" w:space="0" w:color="auto"/>
        <w:bottom w:val="none" w:sz="0" w:space="0" w:color="auto"/>
        <w:right w:val="none" w:sz="0" w:space="0" w:color="auto"/>
      </w:divBdr>
    </w:div>
    <w:div w:id="1713967425">
      <w:bodyDiv w:val="1"/>
      <w:marLeft w:val="0"/>
      <w:marRight w:val="0"/>
      <w:marTop w:val="0"/>
      <w:marBottom w:val="0"/>
      <w:divBdr>
        <w:top w:val="none" w:sz="0" w:space="0" w:color="auto"/>
        <w:left w:val="none" w:sz="0" w:space="0" w:color="auto"/>
        <w:bottom w:val="none" w:sz="0" w:space="0" w:color="auto"/>
        <w:right w:val="none" w:sz="0" w:space="0" w:color="auto"/>
      </w:divBdr>
    </w:div>
    <w:div w:id="1752044566">
      <w:bodyDiv w:val="1"/>
      <w:marLeft w:val="0"/>
      <w:marRight w:val="0"/>
      <w:marTop w:val="0"/>
      <w:marBottom w:val="0"/>
      <w:divBdr>
        <w:top w:val="none" w:sz="0" w:space="0" w:color="auto"/>
        <w:left w:val="none" w:sz="0" w:space="0" w:color="auto"/>
        <w:bottom w:val="none" w:sz="0" w:space="0" w:color="auto"/>
        <w:right w:val="none" w:sz="0" w:space="0" w:color="auto"/>
      </w:divBdr>
    </w:div>
    <w:div w:id="1763183723">
      <w:bodyDiv w:val="1"/>
      <w:marLeft w:val="0"/>
      <w:marRight w:val="0"/>
      <w:marTop w:val="0"/>
      <w:marBottom w:val="0"/>
      <w:divBdr>
        <w:top w:val="none" w:sz="0" w:space="0" w:color="auto"/>
        <w:left w:val="none" w:sz="0" w:space="0" w:color="auto"/>
        <w:bottom w:val="none" w:sz="0" w:space="0" w:color="auto"/>
        <w:right w:val="none" w:sz="0" w:space="0" w:color="auto"/>
      </w:divBdr>
    </w:div>
    <w:div w:id="1788505383">
      <w:bodyDiv w:val="1"/>
      <w:marLeft w:val="0"/>
      <w:marRight w:val="0"/>
      <w:marTop w:val="0"/>
      <w:marBottom w:val="0"/>
      <w:divBdr>
        <w:top w:val="none" w:sz="0" w:space="0" w:color="auto"/>
        <w:left w:val="none" w:sz="0" w:space="0" w:color="auto"/>
        <w:bottom w:val="none" w:sz="0" w:space="0" w:color="auto"/>
        <w:right w:val="none" w:sz="0" w:space="0" w:color="auto"/>
      </w:divBdr>
    </w:div>
    <w:div w:id="1848444255">
      <w:bodyDiv w:val="1"/>
      <w:marLeft w:val="0"/>
      <w:marRight w:val="0"/>
      <w:marTop w:val="0"/>
      <w:marBottom w:val="0"/>
      <w:divBdr>
        <w:top w:val="none" w:sz="0" w:space="0" w:color="auto"/>
        <w:left w:val="none" w:sz="0" w:space="0" w:color="auto"/>
        <w:bottom w:val="none" w:sz="0" w:space="0" w:color="auto"/>
        <w:right w:val="none" w:sz="0" w:space="0" w:color="auto"/>
      </w:divBdr>
    </w:div>
    <w:div w:id="1883251481">
      <w:bodyDiv w:val="1"/>
      <w:marLeft w:val="0"/>
      <w:marRight w:val="0"/>
      <w:marTop w:val="0"/>
      <w:marBottom w:val="0"/>
      <w:divBdr>
        <w:top w:val="none" w:sz="0" w:space="0" w:color="auto"/>
        <w:left w:val="none" w:sz="0" w:space="0" w:color="auto"/>
        <w:bottom w:val="none" w:sz="0" w:space="0" w:color="auto"/>
        <w:right w:val="none" w:sz="0" w:space="0" w:color="auto"/>
      </w:divBdr>
    </w:div>
    <w:div w:id="1898396344">
      <w:bodyDiv w:val="1"/>
      <w:marLeft w:val="0"/>
      <w:marRight w:val="0"/>
      <w:marTop w:val="0"/>
      <w:marBottom w:val="0"/>
      <w:divBdr>
        <w:top w:val="none" w:sz="0" w:space="0" w:color="auto"/>
        <w:left w:val="none" w:sz="0" w:space="0" w:color="auto"/>
        <w:bottom w:val="none" w:sz="0" w:space="0" w:color="auto"/>
        <w:right w:val="none" w:sz="0" w:space="0" w:color="auto"/>
      </w:divBdr>
    </w:div>
    <w:div w:id="1938905085">
      <w:bodyDiv w:val="1"/>
      <w:marLeft w:val="0"/>
      <w:marRight w:val="0"/>
      <w:marTop w:val="0"/>
      <w:marBottom w:val="0"/>
      <w:divBdr>
        <w:top w:val="none" w:sz="0" w:space="0" w:color="auto"/>
        <w:left w:val="none" w:sz="0" w:space="0" w:color="auto"/>
        <w:bottom w:val="none" w:sz="0" w:space="0" w:color="auto"/>
        <w:right w:val="none" w:sz="0" w:space="0" w:color="auto"/>
      </w:divBdr>
      <w:divsChild>
        <w:div w:id="741879467">
          <w:marLeft w:val="288"/>
          <w:marRight w:val="0"/>
          <w:marTop w:val="0"/>
          <w:marBottom w:val="120"/>
          <w:divBdr>
            <w:top w:val="none" w:sz="0" w:space="0" w:color="auto"/>
            <w:left w:val="none" w:sz="0" w:space="0" w:color="auto"/>
            <w:bottom w:val="none" w:sz="0" w:space="0" w:color="auto"/>
            <w:right w:val="none" w:sz="0" w:space="0" w:color="auto"/>
          </w:divBdr>
        </w:div>
        <w:div w:id="2096003474">
          <w:marLeft w:val="288"/>
          <w:marRight w:val="0"/>
          <w:marTop w:val="0"/>
          <w:marBottom w:val="120"/>
          <w:divBdr>
            <w:top w:val="none" w:sz="0" w:space="0" w:color="auto"/>
            <w:left w:val="none" w:sz="0" w:space="0" w:color="auto"/>
            <w:bottom w:val="none" w:sz="0" w:space="0" w:color="auto"/>
            <w:right w:val="none" w:sz="0" w:space="0" w:color="auto"/>
          </w:divBdr>
        </w:div>
      </w:divsChild>
    </w:div>
    <w:div w:id="1939827276">
      <w:bodyDiv w:val="1"/>
      <w:marLeft w:val="0"/>
      <w:marRight w:val="0"/>
      <w:marTop w:val="0"/>
      <w:marBottom w:val="0"/>
      <w:divBdr>
        <w:top w:val="none" w:sz="0" w:space="0" w:color="auto"/>
        <w:left w:val="none" w:sz="0" w:space="0" w:color="auto"/>
        <w:bottom w:val="none" w:sz="0" w:space="0" w:color="auto"/>
        <w:right w:val="none" w:sz="0" w:space="0" w:color="auto"/>
      </w:divBdr>
    </w:div>
    <w:div w:id="1957524002">
      <w:bodyDiv w:val="1"/>
      <w:marLeft w:val="0"/>
      <w:marRight w:val="0"/>
      <w:marTop w:val="0"/>
      <w:marBottom w:val="0"/>
      <w:divBdr>
        <w:top w:val="none" w:sz="0" w:space="0" w:color="auto"/>
        <w:left w:val="none" w:sz="0" w:space="0" w:color="auto"/>
        <w:bottom w:val="none" w:sz="0" w:space="0" w:color="auto"/>
        <w:right w:val="none" w:sz="0" w:space="0" w:color="auto"/>
      </w:divBdr>
    </w:div>
    <w:div w:id="1981110173">
      <w:bodyDiv w:val="1"/>
      <w:marLeft w:val="0"/>
      <w:marRight w:val="0"/>
      <w:marTop w:val="0"/>
      <w:marBottom w:val="0"/>
      <w:divBdr>
        <w:top w:val="none" w:sz="0" w:space="0" w:color="auto"/>
        <w:left w:val="none" w:sz="0" w:space="0" w:color="auto"/>
        <w:bottom w:val="none" w:sz="0" w:space="0" w:color="auto"/>
        <w:right w:val="none" w:sz="0" w:space="0" w:color="auto"/>
      </w:divBdr>
    </w:div>
    <w:div w:id="2003073235">
      <w:bodyDiv w:val="1"/>
      <w:marLeft w:val="0"/>
      <w:marRight w:val="0"/>
      <w:marTop w:val="0"/>
      <w:marBottom w:val="0"/>
      <w:divBdr>
        <w:top w:val="none" w:sz="0" w:space="0" w:color="auto"/>
        <w:left w:val="none" w:sz="0" w:space="0" w:color="auto"/>
        <w:bottom w:val="none" w:sz="0" w:space="0" w:color="auto"/>
        <w:right w:val="none" w:sz="0" w:space="0" w:color="auto"/>
      </w:divBdr>
    </w:div>
    <w:div w:id="2014721129">
      <w:bodyDiv w:val="1"/>
      <w:marLeft w:val="0"/>
      <w:marRight w:val="0"/>
      <w:marTop w:val="0"/>
      <w:marBottom w:val="0"/>
      <w:divBdr>
        <w:top w:val="none" w:sz="0" w:space="0" w:color="auto"/>
        <w:left w:val="none" w:sz="0" w:space="0" w:color="auto"/>
        <w:bottom w:val="none" w:sz="0" w:space="0" w:color="auto"/>
        <w:right w:val="none" w:sz="0" w:space="0" w:color="auto"/>
      </w:divBdr>
    </w:div>
    <w:div w:id="2024823815">
      <w:bodyDiv w:val="1"/>
      <w:marLeft w:val="0"/>
      <w:marRight w:val="0"/>
      <w:marTop w:val="0"/>
      <w:marBottom w:val="0"/>
      <w:divBdr>
        <w:top w:val="none" w:sz="0" w:space="0" w:color="auto"/>
        <w:left w:val="none" w:sz="0" w:space="0" w:color="auto"/>
        <w:bottom w:val="none" w:sz="0" w:space="0" w:color="auto"/>
        <w:right w:val="none" w:sz="0" w:space="0" w:color="auto"/>
      </w:divBdr>
    </w:div>
    <w:div w:id="2130198554">
      <w:bodyDiv w:val="1"/>
      <w:marLeft w:val="0"/>
      <w:marRight w:val="0"/>
      <w:marTop w:val="0"/>
      <w:marBottom w:val="0"/>
      <w:divBdr>
        <w:top w:val="none" w:sz="0" w:space="0" w:color="auto"/>
        <w:left w:val="none" w:sz="0" w:space="0" w:color="auto"/>
        <w:bottom w:val="none" w:sz="0" w:space="0" w:color="auto"/>
        <w:right w:val="none" w:sz="0" w:space="0" w:color="auto"/>
      </w:divBdr>
    </w:div>
    <w:div w:id="2130732768">
      <w:bodyDiv w:val="1"/>
      <w:marLeft w:val="0"/>
      <w:marRight w:val="0"/>
      <w:marTop w:val="0"/>
      <w:marBottom w:val="0"/>
      <w:divBdr>
        <w:top w:val="none" w:sz="0" w:space="0" w:color="auto"/>
        <w:left w:val="none" w:sz="0" w:space="0" w:color="auto"/>
        <w:bottom w:val="none" w:sz="0" w:space="0" w:color="auto"/>
        <w:right w:val="none" w:sz="0" w:space="0" w:color="auto"/>
      </w:divBdr>
    </w:div>
    <w:div w:id="2141218107">
      <w:bodyDiv w:val="1"/>
      <w:marLeft w:val="0"/>
      <w:marRight w:val="0"/>
      <w:marTop w:val="0"/>
      <w:marBottom w:val="0"/>
      <w:divBdr>
        <w:top w:val="none" w:sz="0" w:space="0" w:color="auto"/>
        <w:left w:val="none" w:sz="0" w:space="0" w:color="auto"/>
        <w:bottom w:val="none" w:sz="0" w:space="0" w:color="auto"/>
        <w:right w:val="none" w:sz="0" w:space="0" w:color="auto"/>
      </w:divBdr>
      <w:divsChild>
        <w:div w:id="126445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18A2BABE02B42A1B0FB381D2CCEFB" ma:contentTypeVersion="11" ma:contentTypeDescription="Create a new document." ma:contentTypeScope="" ma:versionID="c689ce9d8ed66ad141cbff1e2cc9cbfb">
  <xsd:schema xmlns:xsd="http://www.w3.org/2001/XMLSchema" xmlns:xs="http://www.w3.org/2001/XMLSchema" xmlns:p="http://schemas.microsoft.com/office/2006/metadata/properties" xmlns:ns2="3984f645-d69f-47d2-aedd-e9f0d847f650" xmlns:ns3="31d5ae73-6880-414d-9d1f-db506a1d8d4f" targetNamespace="http://schemas.microsoft.com/office/2006/metadata/properties" ma:root="true" ma:fieldsID="65b086ef0a1cac8732748902ba3a6ced" ns2:_="" ns3:_="">
    <xsd:import namespace="3984f645-d69f-47d2-aedd-e9f0d847f650"/>
    <xsd:import namespace="31d5ae73-6880-414d-9d1f-db506a1d8d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4f645-d69f-47d2-aedd-e9f0d847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d5ae73-6880-414d-9d1f-db506a1d8d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31d5ae73-6880-414d-9d1f-db506a1d8d4f">
      <UserInfo>
        <DisplayName>Lowe, Andrew</DisplayName>
        <AccountId>21</AccountId>
        <AccountType/>
      </UserInfo>
      <UserInfo>
        <DisplayName>Venables, Victoria</DisplayName>
        <AccountId>61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98E5B-0A17-45CE-9B3F-B586E542E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4f645-d69f-47d2-aedd-e9f0d847f650"/>
    <ds:schemaRef ds:uri="31d5ae73-6880-414d-9d1f-db506a1d8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38551-C66E-4780-A482-DBFA4C4A79FA}">
  <ds:schemaRefs>
    <ds:schemaRef ds:uri="http://schemas.microsoft.com/sharepoint/v3/contenttype/forms"/>
  </ds:schemaRefs>
</ds:datastoreItem>
</file>

<file path=customXml/itemProps3.xml><?xml version="1.0" encoding="utf-8"?>
<ds:datastoreItem xmlns:ds="http://schemas.openxmlformats.org/officeDocument/2006/customXml" ds:itemID="{AFF97CFB-AC44-45B2-A07A-FCF24D81B307}">
  <ds:schemaRefs>
    <ds:schemaRef ds:uri="http://schemas.microsoft.com/office/2006/metadata/longProperties"/>
  </ds:schemaRefs>
</ds:datastoreItem>
</file>

<file path=customXml/itemProps4.xml><?xml version="1.0" encoding="utf-8"?>
<ds:datastoreItem xmlns:ds="http://schemas.openxmlformats.org/officeDocument/2006/customXml" ds:itemID="{F443D0F6-0706-4320-BA4B-58DE38ACF5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1d5ae73-6880-414d-9d1f-db506a1d8d4f"/>
    <ds:schemaRef ds:uri="3984f645-d69f-47d2-aedd-e9f0d847f650"/>
    <ds:schemaRef ds:uri="http://www.w3.org/XML/1998/namespace"/>
    <ds:schemaRef ds:uri="http://purl.org/dc/dcmitype/"/>
  </ds:schemaRefs>
</ds:datastoreItem>
</file>

<file path=customXml/itemProps5.xml><?xml version="1.0" encoding="utf-8"?>
<ds:datastoreItem xmlns:ds="http://schemas.openxmlformats.org/officeDocument/2006/customXml" ds:itemID="{0E214E74-55AD-48FB-A273-49024718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4121</Words>
  <Characters>22044</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PCC Treasury Management Outturn Report 201718</vt:lpstr>
    </vt:vector>
  </TitlesOfParts>
  <Company>HP</Company>
  <LinksUpToDate>false</LinksUpToDate>
  <CharactersWithSpaces>26113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 Treasury Management Outturn Report 201718</dc:title>
  <dc:subject/>
  <dc:creator>Phiroza Katrak</dc:creator>
  <cp:keywords/>
  <cp:lastModifiedBy>Gallagher, Keely (47040)</cp:lastModifiedBy>
  <cp:revision>4</cp:revision>
  <cp:lastPrinted>2021-06-29T15:27:00Z</cp:lastPrinted>
  <dcterms:created xsi:type="dcterms:W3CDTF">2021-06-29T15:22:00Z</dcterms:created>
  <dcterms:modified xsi:type="dcterms:W3CDTF">2021-06-29T15:34:00Z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Farley, Gemma</vt:lpwstr>
  </property>
  <property fmtid="{D5CDD505-2E9C-101B-9397-08002B2CF9AE}" pid="3" name="display_urn:schemas-microsoft-com:office:office#Author">
    <vt:lpwstr>Farley, Gemma</vt:lpwstr>
  </property>
  <property fmtid="{D5CDD505-2E9C-101B-9397-08002B2CF9AE}" pid="4" name="Order">
    <vt:lpwstr>100.000000000000</vt:lpwstr>
  </property>
  <property fmtid="{D5CDD505-2E9C-101B-9397-08002B2CF9AE}" pid="5" name="ContentTypeId">
    <vt:lpwstr>0x010100DE518A2BABE02B42A1B0FB381D2CCEFB</vt:lpwstr>
  </property>
  <property fmtid="{D5CDD505-2E9C-101B-9397-08002B2CF9AE}" pid="6" name="Finance Investments and Pensions Fund">
    <vt:lpwstr>953;#Monitoring|d09bc0a6-4bb4-4848-9100-0cd854a83453</vt:lpwstr>
  </property>
  <property fmtid="{D5CDD505-2E9C-101B-9397-08002B2CF9AE}" pid="7" name="Document Type">
    <vt:lpwstr>6;#Report|34ea6f59-a1ac-4819-8503-2c5e12c8b726</vt:lpwstr>
  </property>
  <property fmtid="{D5CDD505-2E9C-101B-9397-08002B2CF9AE}" pid="8" name="Financial Year">
    <vt:lpwstr>726;#2017/2018|e1f27230-72ab-4a31-8726-d4cc90d57044</vt:lpwstr>
  </property>
  <property fmtid="{D5CDD505-2E9C-101B-9397-08002B2CF9AE}" pid="9" name="hf6b0bb3ec8741ff8f08cbde0b83b05e">
    <vt:lpwstr/>
  </property>
  <property fmtid="{D5CDD505-2E9C-101B-9397-08002B2CF9AE}" pid="10" name="m042a3c79a104f899bf2333213dedc3f">
    <vt:lpwstr/>
  </property>
  <property fmtid="{D5CDD505-2E9C-101B-9397-08002B2CF9AE}" pid="11" name="Systems (Finance)">
    <vt:lpwstr/>
  </property>
  <property fmtid="{D5CDD505-2E9C-101B-9397-08002B2CF9AE}" pid="12" name="h3c57ee0d733459794e5e77fcc72213d">
    <vt:lpwstr/>
  </property>
  <property fmtid="{D5CDD505-2E9C-101B-9397-08002B2CF9AE}" pid="13" name="j7731e1084b144ad8034d596a228c916">
    <vt:lpwstr/>
  </property>
  <property fmtid="{D5CDD505-2E9C-101B-9397-08002B2CF9AE}" pid="14" name="me72eb8e3be349208f9b2fcfad1928d1">
    <vt:lpwstr/>
  </property>
  <property fmtid="{D5CDD505-2E9C-101B-9397-08002B2CF9AE}" pid="15" name="c08708c1c0b249979edebef252a2fc86">
    <vt:lpwstr/>
  </property>
  <property fmtid="{D5CDD505-2E9C-101B-9397-08002B2CF9AE}" pid="16" name="b86249fded154c1ead0fbd5fedc80039">
    <vt:lpwstr/>
  </property>
  <property fmtid="{D5CDD505-2E9C-101B-9397-08002B2CF9AE}" pid="17" name="Education Financial Services">
    <vt:lpwstr/>
  </property>
  <property fmtid="{D5CDD505-2E9C-101B-9397-08002B2CF9AE}" pid="18" name="bd93d7c1e8624dab9f74edfdbb03615a">
    <vt:lpwstr/>
  </property>
  <property fmtid="{D5CDD505-2E9C-101B-9397-08002B2CF9AE}" pid="19" name="Library Location">
    <vt:lpwstr/>
  </property>
  <property fmtid="{D5CDD505-2E9C-101B-9397-08002B2CF9AE}" pid="20" name="Order to Cash - Accounts Receivable">
    <vt:lpwstr/>
  </property>
  <property fmtid="{D5CDD505-2E9C-101B-9397-08002B2CF9AE}" pid="21" name="Order to Cash - Banking and Control">
    <vt:lpwstr/>
  </property>
  <property fmtid="{D5CDD505-2E9C-101B-9397-08002B2CF9AE}" pid="22" name="Policies and Procedures (Finance)">
    <vt:lpwstr/>
  </property>
  <property fmtid="{D5CDD505-2E9C-101B-9397-08002B2CF9AE}" pid="23" name="lfef263e21e64358a4207c6019732fcd">
    <vt:lpwstr/>
  </property>
  <property fmtid="{D5CDD505-2E9C-101B-9397-08002B2CF9AE}" pid="24" name="ma366bab1acb4913ac9aef0ffab2c0d6">
    <vt:lpwstr/>
  </property>
  <property fmtid="{D5CDD505-2E9C-101B-9397-08002B2CF9AE}" pid="25" name="c7a9373b158a4f25bed816b79f4caa39">
    <vt:lpwstr/>
  </property>
  <property fmtid="{D5CDD505-2E9C-101B-9397-08002B2CF9AE}" pid="26" name="fe085c1eab5e4f4aa569b2f74f4bdacb">
    <vt:lpwstr/>
  </property>
  <property fmtid="{D5CDD505-2E9C-101B-9397-08002B2CF9AE}" pid="27" name="Tax and VAT (Finance)">
    <vt:lpwstr/>
  </property>
  <property fmtid="{D5CDD505-2E9C-101B-9397-08002B2CF9AE}" pid="28" name="Schools">
    <vt:lpwstr/>
  </property>
  <property fmtid="{D5CDD505-2E9C-101B-9397-08002B2CF9AE}" pid="29" name="Budget Preparation (Finance)">
    <vt:lpwstr/>
  </property>
  <property fmtid="{D5CDD505-2E9C-101B-9397-08002B2CF9AE}" pid="30" name="IBC Business Processes">
    <vt:lpwstr/>
  </property>
  <property fmtid="{D5CDD505-2E9C-101B-9397-08002B2CF9AE}" pid="31" name="aff368d56a7a41abac3dff9221a796c7">
    <vt:lpwstr/>
  </property>
  <property fmtid="{D5CDD505-2E9C-101B-9397-08002B2CF9AE}" pid="32" name="g5eed81a661a428094921165885b32ac">
    <vt:lpwstr/>
  </property>
  <property fmtid="{D5CDD505-2E9C-101B-9397-08002B2CF9AE}" pid="33" name="Customer (Finance)">
    <vt:lpwstr/>
  </property>
  <property fmtid="{D5CDD505-2E9C-101B-9397-08002B2CF9AE}" pid="34" name="Budget Monitoring (Finance)">
    <vt:lpwstr/>
  </property>
  <property fmtid="{D5CDD505-2E9C-101B-9397-08002B2CF9AE}" pid="35" name="Final Accounts (Finance)">
    <vt:lpwstr/>
  </property>
  <property fmtid="{D5CDD505-2E9C-101B-9397-08002B2CF9AE}" pid="36" name="Calendar Year">
    <vt:lpwstr/>
  </property>
  <property fmtid="{D5CDD505-2E9C-101B-9397-08002B2CF9AE}" pid="37" name="Groups and Meetings (Finance)">
    <vt:lpwstr/>
  </property>
  <property fmtid="{D5CDD505-2E9C-101B-9397-08002B2CF9AE}" pid="38" name="p90e31759909486091d47177bed7da9a">
    <vt:lpwstr/>
  </property>
  <property fmtid="{D5CDD505-2E9C-101B-9397-08002B2CF9AE}" pid="39" name="cf18ccb67a8c47b4a12d68c41e3eb221">
    <vt:lpwstr/>
  </property>
  <property fmtid="{D5CDD505-2E9C-101B-9397-08002B2CF9AE}" pid="40" name="Purchase to Pay">
    <vt:lpwstr/>
  </property>
  <property fmtid="{D5CDD505-2E9C-101B-9397-08002B2CF9AE}" pid="41" name="SAP Master Data Management">
    <vt:lpwstr/>
  </property>
  <property fmtid="{D5CDD505-2E9C-101B-9397-08002B2CF9AE}" pid="42" name="acb6aedd868e448598333099d9979513">
    <vt:lpwstr/>
  </property>
  <property fmtid="{D5CDD505-2E9C-101B-9397-08002B2CF9AE}" pid="43" name="Financial Analysis">
    <vt:lpwstr/>
  </property>
  <property fmtid="{D5CDD505-2E9C-101B-9397-08002B2CF9AE}" pid="44" name="_dlc_ExpireDate">
    <vt:lpwstr>2020-07-16T14:06:18Z</vt:lpwstr>
  </property>
  <property fmtid="{D5CDD505-2E9C-101B-9397-08002B2CF9AE}" pid="4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46" name="_dlc_policyId">
    <vt:lpwstr>0x0101004E1B537BC2B2AD43A5AF5311D732D3AA|1208973698</vt:lpwstr>
  </property>
  <property fmtid="{D5CDD505-2E9C-101B-9397-08002B2CF9AE}" pid="47" name="eeadced8a35a499eaa6ae428604d987c">
    <vt:lpwstr>2017/2018|e1f27230-72ab-4a31-8726-d4cc90d57044</vt:lpwstr>
  </property>
  <property fmtid="{D5CDD505-2E9C-101B-9397-08002B2CF9AE}" pid="48" name="xd_ProgID">
    <vt:lpwstr/>
  </property>
  <property fmtid="{D5CDD505-2E9C-101B-9397-08002B2CF9AE}" pid="49" name="ComplianceAssetId">
    <vt:lpwstr/>
  </property>
  <property fmtid="{D5CDD505-2E9C-101B-9397-08002B2CF9AE}" pid="50" name="Item ID">
    <vt:lpwstr>A1001001A18D05B60817I42491</vt:lpwstr>
  </property>
  <property fmtid="{D5CDD505-2E9C-101B-9397-08002B2CF9AE}" pid="51" name="TemplateUrl">
    <vt:lpwstr/>
  </property>
  <property fmtid="{D5CDD505-2E9C-101B-9397-08002B2CF9AE}" pid="52" name="Active Document">
    <vt:bool>true</vt:bool>
  </property>
  <property fmtid="{D5CDD505-2E9C-101B-9397-08002B2CF9AE}" pid="53" name="hc3a5e09668742aa96af821d37d4cad5">
    <vt:lpwstr>Monitoring|d09bc0a6-4bb4-4848-9100-0cd854a83453</vt:lpwstr>
  </property>
  <property fmtid="{D5CDD505-2E9C-101B-9397-08002B2CF9AE}" pid="54" name="hc632fe273cb498aa970207d30c3b1d8">
    <vt:lpwstr>Report|34ea6f59-a1ac-4819-8503-2c5e12c8b726</vt:lpwstr>
  </property>
  <property fmtid="{D5CDD505-2E9C-101B-9397-08002B2CF9AE}" pid="55" name="xd_Signature">
    <vt:bool>false</vt:bool>
  </property>
  <property fmtid="{D5CDD505-2E9C-101B-9397-08002B2CF9AE}" pid="56" name="TaxCatchAll">
    <vt:lpwstr>6;#Report|34ea6f59-a1ac-4819-8503-2c5e12c8b726</vt:lpwstr>
  </property>
</Properties>
</file>