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0C415" w14:textId="77777777" w:rsidR="00DB2D78" w:rsidRPr="00865BAB" w:rsidRDefault="00DB2D78" w:rsidP="00DB2D78">
      <w:pPr>
        <w:pStyle w:val="ListParagraph"/>
        <w:ind w:left="0"/>
        <w:contextualSpacing w:val="0"/>
        <w:rPr>
          <w:rFonts w:ascii="Arial" w:hAnsi="Arial" w:cs="Arial"/>
          <w:b/>
          <w:sz w:val="24"/>
          <w:szCs w:val="24"/>
        </w:rPr>
      </w:pPr>
      <w:bookmarkStart w:id="0" w:name="OLE_LINK3"/>
      <w:bookmarkStart w:id="1" w:name="OLE_LINK11"/>
      <w:bookmarkStart w:id="2" w:name="OLE_LINK12"/>
      <w:r>
        <w:rPr>
          <w:rFonts w:ascii="Arial" w:hAnsi="Arial" w:cs="Arial"/>
          <w:b/>
          <w:sz w:val="24"/>
          <w:szCs w:val="24"/>
        </w:rPr>
        <w:t>POLICE AND CRIME COMMISSIONER FOR HAMPSHIRE AND HAMPSHIRE CONSTABULARY</w:t>
      </w:r>
    </w:p>
    <w:p w14:paraId="4E8F3198" w14:textId="0328A4F8" w:rsidR="00DB2D78" w:rsidRPr="00DB2D78" w:rsidRDefault="00DB2D78" w:rsidP="00DB2D78">
      <w:pPr>
        <w:autoSpaceDE w:val="0"/>
        <w:autoSpaceDN w:val="0"/>
        <w:adjustRightInd w:val="0"/>
        <w:spacing w:after="0" w:line="240" w:lineRule="auto"/>
        <w:rPr>
          <w:rFonts w:ascii="Arial" w:eastAsia="Times New Roman" w:hAnsi="Arial" w:cs="Arial"/>
          <w:b/>
          <w:bCs/>
          <w:sz w:val="24"/>
          <w:szCs w:val="24"/>
        </w:rPr>
      </w:pPr>
      <w:r w:rsidRPr="00DB2D78">
        <w:rPr>
          <w:rFonts w:ascii="Arial" w:eastAsia="Times New Roman" w:hAnsi="Arial" w:cs="Arial"/>
          <w:b/>
          <w:bCs/>
          <w:sz w:val="24"/>
          <w:szCs w:val="24"/>
        </w:rPr>
        <w:t xml:space="preserve">JOINT AUDIT COMMITTEE – </w:t>
      </w:r>
      <w:r w:rsidR="00985D17">
        <w:rPr>
          <w:rFonts w:ascii="Arial" w:eastAsia="Times New Roman" w:hAnsi="Arial" w:cs="Arial"/>
          <w:b/>
          <w:bCs/>
          <w:sz w:val="24"/>
          <w:szCs w:val="24"/>
        </w:rPr>
        <w:t>11 February 2020</w:t>
      </w:r>
    </w:p>
    <w:p w14:paraId="666E777F" w14:textId="77777777" w:rsidR="00DB2D78" w:rsidRPr="00DB2D78" w:rsidRDefault="00DB2D78" w:rsidP="00DB2D78">
      <w:pPr>
        <w:autoSpaceDE w:val="0"/>
        <w:autoSpaceDN w:val="0"/>
        <w:adjustRightInd w:val="0"/>
        <w:spacing w:after="0" w:line="240" w:lineRule="auto"/>
        <w:rPr>
          <w:rFonts w:ascii="Arial" w:eastAsia="Times New Roman" w:hAnsi="Arial" w:cs="Arial"/>
          <w:b/>
          <w:sz w:val="24"/>
          <w:szCs w:val="24"/>
        </w:rPr>
      </w:pPr>
    </w:p>
    <w:p w14:paraId="36EB36D4" w14:textId="62A7A4F1" w:rsidR="00DB2D78" w:rsidRDefault="00DB2D78" w:rsidP="00DB2D78">
      <w:pPr>
        <w:pStyle w:val="ListParagraph"/>
        <w:ind w:left="0"/>
        <w:contextualSpacing w:val="0"/>
        <w:rPr>
          <w:rFonts w:ascii="Arial" w:hAnsi="Arial" w:cs="Arial"/>
          <w:i/>
          <w:sz w:val="24"/>
          <w:szCs w:val="24"/>
        </w:rPr>
      </w:pPr>
      <w:bookmarkStart w:id="3" w:name="OLE_LINK1"/>
      <w:r>
        <w:rPr>
          <w:rFonts w:ascii="Arial" w:hAnsi="Arial" w:cs="Arial"/>
          <w:i/>
          <w:sz w:val="24"/>
          <w:szCs w:val="24"/>
        </w:rPr>
        <w:t xml:space="preserve">Treasury Management Strategy and </w:t>
      </w:r>
      <w:r w:rsidRPr="000A5EDE">
        <w:rPr>
          <w:rFonts w:ascii="Arial" w:hAnsi="Arial" w:cs="Arial"/>
          <w:i/>
          <w:sz w:val="24"/>
          <w:szCs w:val="24"/>
        </w:rPr>
        <w:t>Investment Strategy 20</w:t>
      </w:r>
      <w:r w:rsidR="001B335C">
        <w:rPr>
          <w:rFonts w:ascii="Arial" w:hAnsi="Arial" w:cs="Arial"/>
          <w:i/>
          <w:sz w:val="24"/>
          <w:szCs w:val="24"/>
        </w:rPr>
        <w:t>20</w:t>
      </w:r>
      <w:r w:rsidRPr="000A5EDE">
        <w:rPr>
          <w:rFonts w:ascii="Arial" w:hAnsi="Arial" w:cs="Arial"/>
          <w:i/>
          <w:sz w:val="24"/>
          <w:szCs w:val="24"/>
        </w:rPr>
        <w:t>/</w:t>
      </w:r>
      <w:r w:rsidR="001D68E8">
        <w:rPr>
          <w:rFonts w:ascii="Arial" w:hAnsi="Arial" w:cs="Arial"/>
          <w:i/>
          <w:sz w:val="24"/>
          <w:szCs w:val="24"/>
        </w:rPr>
        <w:t>2</w:t>
      </w:r>
      <w:r w:rsidR="001B335C">
        <w:rPr>
          <w:rFonts w:ascii="Arial" w:hAnsi="Arial" w:cs="Arial"/>
          <w:i/>
          <w:sz w:val="24"/>
          <w:szCs w:val="24"/>
        </w:rPr>
        <w:t>1</w:t>
      </w:r>
      <w:r w:rsidRPr="000A5EDE">
        <w:rPr>
          <w:rFonts w:ascii="Arial" w:hAnsi="Arial" w:cs="Arial"/>
          <w:i/>
          <w:sz w:val="24"/>
          <w:szCs w:val="24"/>
        </w:rPr>
        <w:t xml:space="preserve"> to 20</w:t>
      </w:r>
      <w:r w:rsidR="000A5EDE" w:rsidRPr="000A5EDE">
        <w:rPr>
          <w:rFonts w:ascii="Arial" w:hAnsi="Arial" w:cs="Arial"/>
          <w:i/>
          <w:sz w:val="24"/>
          <w:szCs w:val="24"/>
        </w:rPr>
        <w:t>2</w:t>
      </w:r>
      <w:r w:rsidR="001B335C">
        <w:rPr>
          <w:rFonts w:ascii="Arial" w:hAnsi="Arial" w:cs="Arial"/>
          <w:i/>
          <w:sz w:val="24"/>
          <w:szCs w:val="24"/>
        </w:rPr>
        <w:t>2</w:t>
      </w:r>
      <w:r w:rsidRPr="000A5EDE">
        <w:rPr>
          <w:rFonts w:ascii="Arial" w:hAnsi="Arial" w:cs="Arial"/>
          <w:i/>
          <w:sz w:val="24"/>
          <w:szCs w:val="24"/>
        </w:rPr>
        <w:t>/</w:t>
      </w:r>
      <w:r w:rsidR="00687E29" w:rsidRPr="000A5EDE">
        <w:rPr>
          <w:rFonts w:ascii="Arial" w:hAnsi="Arial" w:cs="Arial"/>
          <w:i/>
          <w:sz w:val="24"/>
          <w:szCs w:val="24"/>
        </w:rPr>
        <w:t>2</w:t>
      </w:r>
      <w:r w:rsidR="001B335C">
        <w:rPr>
          <w:rFonts w:ascii="Arial" w:hAnsi="Arial" w:cs="Arial"/>
          <w:i/>
          <w:sz w:val="24"/>
          <w:szCs w:val="24"/>
        </w:rPr>
        <w:t>3</w:t>
      </w:r>
    </w:p>
    <w:p w14:paraId="78A327DF" w14:textId="5C766C66" w:rsidR="00DB2D78" w:rsidRDefault="00DB2D78" w:rsidP="00DB2D78">
      <w:pPr>
        <w:pStyle w:val="ListParagraph"/>
        <w:ind w:left="0"/>
        <w:contextualSpacing w:val="0"/>
        <w:rPr>
          <w:rFonts w:ascii="Arial" w:hAnsi="Arial" w:cs="Arial"/>
          <w:b/>
          <w:sz w:val="24"/>
          <w:szCs w:val="24"/>
        </w:rPr>
      </w:pPr>
      <w:bookmarkStart w:id="4" w:name="OLE_LINK2"/>
      <w:bookmarkEnd w:id="3"/>
      <w:r>
        <w:rPr>
          <w:rFonts w:ascii="Arial" w:hAnsi="Arial" w:cs="Arial"/>
          <w:b/>
          <w:sz w:val="24"/>
          <w:szCs w:val="24"/>
        </w:rPr>
        <w:t>REPORT OF THE CHIEF FINANCE OFFICER OF THE OFFICE OF THE POLICE AND CRIME COMMISSIONER</w:t>
      </w:r>
    </w:p>
    <w:p w14:paraId="0C83E2DC" w14:textId="5C766C66" w:rsidR="00D05E91" w:rsidRPr="00D05E91" w:rsidRDefault="00D05E91" w:rsidP="00EA23A9"/>
    <w:bookmarkEnd w:id="4"/>
    <w:p w14:paraId="263D9372" w14:textId="77777777" w:rsidR="00DB2D78" w:rsidRPr="00E40BA7" w:rsidRDefault="00DB2D78" w:rsidP="00DB2D78">
      <w:pPr>
        <w:keepNext/>
        <w:numPr>
          <w:ilvl w:val="0"/>
          <w:numId w:val="27"/>
        </w:numPr>
        <w:tabs>
          <w:tab w:val="num" w:pos="720"/>
        </w:tabs>
        <w:spacing w:after="240" w:line="240" w:lineRule="auto"/>
        <w:ind w:left="431" w:hanging="431"/>
        <w:outlineLvl w:val="0"/>
        <w:rPr>
          <w:rFonts w:ascii="Arial" w:hAnsi="Arial" w:cs="Arial"/>
          <w:b/>
          <w:sz w:val="24"/>
        </w:rPr>
      </w:pPr>
      <w:r w:rsidRPr="00E40BA7">
        <w:rPr>
          <w:rFonts w:ascii="Arial" w:hAnsi="Arial" w:cs="Arial"/>
          <w:b/>
          <w:sz w:val="24"/>
        </w:rPr>
        <w:t>Purpose</w:t>
      </w:r>
    </w:p>
    <w:p w14:paraId="2352D419" w14:textId="77777777" w:rsidR="00C708AC" w:rsidRDefault="00E40BA7" w:rsidP="00E40BA7">
      <w:pPr>
        <w:pStyle w:val="ListParagraph"/>
        <w:keepNext/>
        <w:numPr>
          <w:ilvl w:val="1"/>
          <w:numId w:val="27"/>
        </w:numPr>
        <w:spacing w:after="120" w:line="240" w:lineRule="auto"/>
        <w:ind w:left="720" w:hanging="720"/>
        <w:contextualSpacing w:val="0"/>
        <w:rPr>
          <w:rFonts w:ascii="Arial" w:hAnsi="Arial" w:cs="Arial"/>
          <w:sz w:val="24"/>
          <w:szCs w:val="24"/>
        </w:rPr>
      </w:pPr>
      <w:r w:rsidRPr="00E40BA7">
        <w:rPr>
          <w:rFonts w:ascii="Arial" w:hAnsi="Arial" w:cs="Arial"/>
          <w:sz w:val="24"/>
          <w:szCs w:val="24"/>
        </w:rPr>
        <w:t xml:space="preserve">The Chartered Institute of Public Finance and Accountancy’s Treasury Management in the Public Services: Code of Practice 2017 (the CIPFA Code) requires authorities to determine the Treasury Management Strategy Statement (TMSS) before the start of each financial year. </w:t>
      </w:r>
    </w:p>
    <w:p w14:paraId="234E3297" w14:textId="73446E92" w:rsidR="00E40BA7" w:rsidRPr="00E40BA7" w:rsidRDefault="00E40BA7" w:rsidP="00E40BA7">
      <w:pPr>
        <w:pStyle w:val="ListParagraph"/>
        <w:keepNext/>
        <w:numPr>
          <w:ilvl w:val="1"/>
          <w:numId w:val="27"/>
        </w:numPr>
        <w:spacing w:after="120" w:line="240" w:lineRule="auto"/>
        <w:ind w:left="720" w:hanging="720"/>
        <w:contextualSpacing w:val="0"/>
        <w:rPr>
          <w:rFonts w:ascii="Arial" w:hAnsi="Arial" w:cs="Arial"/>
          <w:sz w:val="24"/>
          <w:szCs w:val="24"/>
        </w:rPr>
      </w:pPr>
      <w:r w:rsidRPr="00E40BA7">
        <w:rPr>
          <w:rFonts w:ascii="Arial" w:hAnsi="Arial" w:cs="Arial"/>
          <w:sz w:val="24"/>
          <w:szCs w:val="24"/>
        </w:rPr>
        <w:t>This report fulfils the</w:t>
      </w:r>
      <w:r>
        <w:rPr>
          <w:rFonts w:ascii="Arial" w:hAnsi="Arial" w:cs="Arial"/>
          <w:sz w:val="24"/>
          <w:szCs w:val="24"/>
        </w:rPr>
        <w:t xml:space="preserve"> Office of the</w:t>
      </w:r>
      <w:r w:rsidRPr="00E40BA7">
        <w:rPr>
          <w:rFonts w:ascii="Arial" w:hAnsi="Arial" w:cs="Arial"/>
          <w:sz w:val="24"/>
          <w:szCs w:val="24"/>
        </w:rPr>
        <w:t xml:space="preserve"> Police and Crime Commissioner’s legal obligation under the Local Government Act 2003 to have regard to the CIPFA Code.</w:t>
      </w:r>
    </w:p>
    <w:p w14:paraId="3BC5925A" w14:textId="631222CB" w:rsidR="00E40BA7" w:rsidRPr="00C708AC" w:rsidRDefault="00E40BA7" w:rsidP="00C708AC">
      <w:pPr>
        <w:pStyle w:val="ListParagraph"/>
        <w:keepNext/>
        <w:spacing w:after="120" w:line="240" w:lineRule="auto"/>
        <w:ind w:left="0"/>
        <w:contextualSpacing w:val="0"/>
        <w:rPr>
          <w:rFonts w:ascii="Arial" w:hAnsi="Arial" w:cs="Arial"/>
          <w:sz w:val="24"/>
          <w:szCs w:val="24"/>
        </w:rPr>
      </w:pPr>
    </w:p>
    <w:p w14:paraId="258C6D20" w14:textId="77777777" w:rsidR="00DB2D78" w:rsidRPr="00E40BA7" w:rsidRDefault="00DB2D78" w:rsidP="000A5EDE">
      <w:pPr>
        <w:keepNext/>
        <w:numPr>
          <w:ilvl w:val="0"/>
          <w:numId w:val="27"/>
        </w:numPr>
        <w:tabs>
          <w:tab w:val="num" w:pos="720"/>
        </w:tabs>
        <w:spacing w:after="240" w:line="240" w:lineRule="auto"/>
        <w:ind w:left="431" w:hanging="431"/>
        <w:outlineLvl w:val="0"/>
        <w:rPr>
          <w:rFonts w:ascii="Arial" w:hAnsi="Arial" w:cs="Arial"/>
          <w:b/>
          <w:sz w:val="24"/>
        </w:rPr>
      </w:pPr>
      <w:r w:rsidRPr="00E40BA7">
        <w:rPr>
          <w:rFonts w:ascii="Arial" w:hAnsi="Arial" w:cs="Arial"/>
          <w:b/>
          <w:sz w:val="24"/>
        </w:rPr>
        <w:t>Recommendation</w:t>
      </w:r>
    </w:p>
    <w:p w14:paraId="174323B8" w14:textId="0D3EDB68" w:rsidR="00DB2D78" w:rsidRPr="00E40BA7" w:rsidRDefault="00DB2D78" w:rsidP="000A5EDE">
      <w:pPr>
        <w:pStyle w:val="ListParagraph"/>
        <w:keepNext/>
        <w:numPr>
          <w:ilvl w:val="1"/>
          <w:numId w:val="27"/>
        </w:numPr>
        <w:spacing w:after="120" w:line="240" w:lineRule="auto"/>
        <w:ind w:left="720" w:hanging="720"/>
        <w:contextualSpacing w:val="0"/>
        <w:rPr>
          <w:rFonts w:ascii="Arial" w:hAnsi="Arial" w:cs="Arial"/>
          <w:sz w:val="24"/>
          <w:szCs w:val="24"/>
        </w:rPr>
      </w:pPr>
      <w:r w:rsidRPr="00E40BA7">
        <w:rPr>
          <w:rFonts w:ascii="Arial" w:hAnsi="Arial" w:cs="Arial"/>
          <w:sz w:val="24"/>
          <w:szCs w:val="24"/>
        </w:rPr>
        <w:t>That the Joint Audit Committee notes the recommendations made to the P</w:t>
      </w:r>
      <w:r w:rsidR="00E40BA7" w:rsidRPr="00E40BA7">
        <w:rPr>
          <w:rFonts w:ascii="Arial" w:hAnsi="Arial" w:cs="Arial"/>
          <w:sz w:val="24"/>
          <w:szCs w:val="24"/>
        </w:rPr>
        <w:t xml:space="preserve">olice and </w:t>
      </w:r>
      <w:r w:rsidRPr="00E40BA7">
        <w:rPr>
          <w:rFonts w:ascii="Arial" w:hAnsi="Arial" w:cs="Arial"/>
          <w:sz w:val="24"/>
          <w:szCs w:val="24"/>
        </w:rPr>
        <w:t>C</w:t>
      </w:r>
      <w:r w:rsidR="00E40BA7" w:rsidRPr="00E40BA7">
        <w:rPr>
          <w:rFonts w:ascii="Arial" w:hAnsi="Arial" w:cs="Arial"/>
          <w:sz w:val="24"/>
          <w:szCs w:val="24"/>
        </w:rPr>
        <w:t xml:space="preserve">rime </w:t>
      </w:r>
      <w:r w:rsidRPr="00E40BA7">
        <w:rPr>
          <w:rFonts w:ascii="Arial" w:hAnsi="Arial" w:cs="Arial"/>
          <w:sz w:val="24"/>
          <w:szCs w:val="24"/>
        </w:rPr>
        <w:t>C</w:t>
      </w:r>
      <w:r w:rsidR="00E40BA7" w:rsidRPr="00E40BA7">
        <w:rPr>
          <w:rFonts w:ascii="Arial" w:hAnsi="Arial" w:cs="Arial"/>
          <w:sz w:val="24"/>
          <w:szCs w:val="24"/>
        </w:rPr>
        <w:t>ommissioner</w:t>
      </w:r>
      <w:r w:rsidRPr="00E40BA7">
        <w:rPr>
          <w:rFonts w:ascii="Arial" w:hAnsi="Arial" w:cs="Arial"/>
          <w:sz w:val="24"/>
          <w:szCs w:val="24"/>
        </w:rPr>
        <w:t xml:space="preserve"> to be put in place from the date at which he signs the</w:t>
      </w:r>
      <w:r w:rsidR="000A5EDE" w:rsidRPr="00E40BA7">
        <w:rPr>
          <w:rFonts w:ascii="Arial" w:hAnsi="Arial" w:cs="Arial"/>
          <w:sz w:val="24"/>
          <w:szCs w:val="24"/>
        </w:rPr>
        <w:t xml:space="preserve"> recommendations:</w:t>
      </w:r>
    </w:p>
    <w:p w14:paraId="05BDFB13" w14:textId="64B12975" w:rsidR="00E40BA7" w:rsidRPr="00E40BA7" w:rsidRDefault="00E40BA7" w:rsidP="00E40BA7">
      <w:pPr>
        <w:keepNext/>
        <w:numPr>
          <w:ilvl w:val="0"/>
          <w:numId w:val="46"/>
        </w:numPr>
        <w:spacing w:after="240" w:line="240" w:lineRule="auto"/>
        <w:outlineLvl w:val="0"/>
        <w:rPr>
          <w:rFonts w:ascii="Arial" w:hAnsi="Arial" w:cs="Arial"/>
          <w:sz w:val="24"/>
          <w:szCs w:val="24"/>
        </w:rPr>
      </w:pPr>
      <w:r w:rsidRPr="00E40BA7">
        <w:rPr>
          <w:rFonts w:ascii="Arial" w:hAnsi="Arial" w:cs="Arial"/>
          <w:sz w:val="24"/>
          <w:szCs w:val="24"/>
        </w:rPr>
        <w:t>That the Treasury Management Strategy for 20</w:t>
      </w:r>
      <w:r w:rsidR="001B335C">
        <w:rPr>
          <w:rFonts w:ascii="Arial" w:hAnsi="Arial" w:cs="Arial"/>
          <w:sz w:val="24"/>
          <w:szCs w:val="24"/>
        </w:rPr>
        <w:t>20</w:t>
      </w:r>
      <w:r w:rsidRPr="00E40BA7">
        <w:rPr>
          <w:rFonts w:ascii="Arial" w:hAnsi="Arial" w:cs="Arial"/>
          <w:sz w:val="24"/>
          <w:szCs w:val="24"/>
        </w:rPr>
        <w:t>/2</w:t>
      </w:r>
      <w:r w:rsidR="001B335C">
        <w:rPr>
          <w:rFonts w:ascii="Arial" w:hAnsi="Arial" w:cs="Arial"/>
          <w:sz w:val="24"/>
          <w:szCs w:val="24"/>
        </w:rPr>
        <w:t>1</w:t>
      </w:r>
      <w:r w:rsidRPr="00E40BA7">
        <w:rPr>
          <w:rFonts w:ascii="Arial" w:hAnsi="Arial" w:cs="Arial"/>
          <w:sz w:val="24"/>
          <w:szCs w:val="24"/>
        </w:rPr>
        <w:t xml:space="preserve"> (and the remainder of 201</w:t>
      </w:r>
      <w:r w:rsidR="001B335C">
        <w:rPr>
          <w:rFonts w:ascii="Arial" w:hAnsi="Arial" w:cs="Arial"/>
          <w:sz w:val="24"/>
          <w:szCs w:val="24"/>
        </w:rPr>
        <w:t>9</w:t>
      </w:r>
      <w:r w:rsidRPr="00E40BA7">
        <w:rPr>
          <w:rFonts w:ascii="Arial" w:hAnsi="Arial" w:cs="Arial"/>
          <w:sz w:val="24"/>
          <w:szCs w:val="24"/>
        </w:rPr>
        <w:t>/</w:t>
      </w:r>
      <w:r w:rsidR="001B335C">
        <w:rPr>
          <w:rFonts w:ascii="Arial" w:hAnsi="Arial" w:cs="Arial"/>
          <w:sz w:val="24"/>
          <w:szCs w:val="24"/>
        </w:rPr>
        <w:t>20</w:t>
      </w:r>
      <w:r w:rsidRPr="00E40BA7">
        <w:rPr>
          <w:rFonts w:ascii="Arial" w:hAnsi="Arial" w:cs="Arial"/>
          <w:sz w:val="24"/>
          <w:szCs w:val="24"/>
        </w:rPr>
        <w:t>) is approved; and</w:t>
      </w:r>
    </w:p>
    <w:p w14:paraId="6455C857" w14:textId="77777777" w:rsidR="00E40BA7" w:rsidRPr="00E40BA7" w:rsidRDefault="00E40BA7" w:rsidP="00E40BA7">
      <w:pPr>
        <w:keepNext/>
        <w:numPr>
          <w:ilvl w:val="0"/>
          <w:numId w:val="46"/>
        </w:numPr>
        <w:spacing w:after="240" w:line="240" w:lineRule="auto"/>
        <w:outlineLvl w:val="0"/>
        <w:rPr>
          <w:rFonts w:ascii="Arial" w:hAnsi="Arial" w:cs="Arial"/>
          <w:sz w:val="24"/>
          <w:szCs w:val="24"/>
        </w:rPr>
      </w:pPr>
      <w:r w:rsidRPr="00E40BA7">
        <w:rPr>
          <w:rFonts w:ascii="Arial" w:hAnsi="Arial" w:cs="Arial"/>
          <w:sz w:val="24"/>
          <w:szCs w:val="24"/>
        </w:rPr>
        <w:t>That authority is delegated to the Chief Finance Officer to manage the Office of the Police and Crime Commissioner’s investments and borrowing according to the Treasury Management Strategy Statement as appropriate.</w:t>
      </w:r>
    </w:p>
    <w:p w14:paraId="49F39389" w14:textId="77777777" w:rsidR="00032328" w:rsidRPr="00E40BA7" w:rsidRDefault="004363C9" w:rsidP="00CA200E">
      <w:pPr>
        <w:keepNext/>
        <w:numPr>
          <w:ilvl w:val="0"/>
          <w:numId w:val="27"/>
        </w:numPr>
        <w:tabs>
          <w:tab w:val="num" w:pos="720"/>
        </w:tabs>
        <w:spacing w:after="240" w:line="240" w:lineRule="auto"/>
        <w:ind w:left="431" w:hanging="431"/>
        <w:outlineLvl w:val="0"/>
        <w:rPr>
          <w:rFonts w:ascii="Arial" w:hAnsi="Arial" w:cs="Arial"/>
          <w:b/>
          <w:sz w:val="24"/>
        </w:rPr>
      </w:pPr>
      <w:r w:rsidRPr="00E40BA7">
        <w:rPr>
          <w:rFonts w:ascii="Arial" w:hAnsi="Arial" w:cs="Arial"/>
          <w:b/>
          <w:sz w:val="24"/>
        </w:rPr>
        <w:t>Introduction</w:t>
      </w:r>
    </w:p>
    <w:p w14:paraId="206FD81F" w14:textId="77777777" w:rsidR="00E40BA7" w:rsidRPr="00E40BA7" w:rsidRDefault="00E40BA7" w:rsidP="00E40BA7">
      <w:pPr>
        <w:pStyle w:val="ListParagraph"/>
        <w:keepNext/>
        <w:numPr>
          <w:ilvl w:val="1"/>
          <w:numId w:val="27"/>
        </w:numPr>
        <w:spacing w:after="120" w:line="240" w:lineRule="auto"/>
        <w:ind w:left="720" w:hanging="720"/>
        <w:contextualSpacing w:val="0"/>
        <w:rPr>
          <w:rFonts w:ascii="Arial" w:hAnsi="Arial" w:cs="Arial"/>
          <w:sz w:val="24"/>
          <w:szCs w:val="24"/>
        </w:rPr>
      </w:pPr>
      <w:r w:rsidRPr="00E40BA7">
        <w:rPr>
          <w:rFonts w:ascii="Arial" w:hAnsi="Arial" w:cs="Arial"/>
          <w:sz w:val="24"/>
          <w:szCs w:val="24"/>
        </w:rPr>
        <w:t xml:space="preserve">Treasury management is the management of the </w:t>
      </w:r>
      <w:r>
        <w:rPr>
          <w:rFonts w:ascii="Arial" w:hAnsi="Arial" w:cs="Arial"/>
          <w:sz w:val="24"/>
          <w:szCs w:val="24"/>
        </w:rPr>
        <w:t>Office of the Police and Crime Commissioner</w:t>
      </w:r>
      <w:r w:rsidRPr="00E40BA7">
        <w:rPr>
          <w:rFonts w:ascii="Arial" w:hAnsi="Arial" w:cs="Arial"/>
          <w:sz w:val="24"/>
          <w:szCs w:val="24"/>
        </w:rPr>
        <w:t>’s</w:t>
      </w:r>
      <w:r>
        <w:rPr>
          <w:rFonts w:ascii="Arial" w:hAnsi="Arial" w:cs="Arial"/>
          <w:sz w:val="24"/>
          <w:szCs w:val="24"/>
        </w:rPr>
        <w:t xml:space="preserve"> (OPCC)</w:t>
      </w:r>
      <w:r w:rsidRPr="00E40BA7">
        <w:rPr>
          <w:rFonts w:ascii="Arial" w:hAnsi="Arial" w:cs="Arial"/>
          <w:sz w:val="24"/>
          <w:szCs w:val="24"/>
        </w:rPr>
        <w:t xml:space="preserve"> cash flows, borrowing and investments, and the associated risks. The </w:t>
      </w:r>
      <w:r>
        <w:rPr>
          <w:rFonts w:ascii="Arial" w:hAnsi="Arial" w:cs="Arial"/>
          <w:sz w:val="24"/>
          <w:szCs w:val="24"/>
        </w:rPr>
        <w:t>OPCC</w:t>
      </w:r>
      <w:r w:rsidRPr="00E40BA7">
        <w:rPr>
          <w:rFonts w:ascii="Arial" w:hAnsi="Arial" w:cs="Arial"/>
          <w:sz w:val="24"/>
          <w:szCs w:val="24"/>
        </w:rPr>
        <w:t xml:space="preserve"> has borrowed and invested sums of money and is therefore exposed to financial risks including the loss of invested funds and the revenue effect of changing interest rates. The successful identification, monitoring and control of financial risk are therefore central to the </w:t>
      </w:r>
      <w:r>
        <w:rPr>
          <w:rFonts w:ascii="Arial" w:hAnsi="Arial" w:cs="Arial"/>
          <w:sz w:val="24"/>
          <w:szCs w:val="24"/>
        </w:rPr>
        <w:t>OPCC’s</w:t>
      </w:r>
      <w:r w:rsidRPr="00E40BA7">
        <w:rPr>
          <w:rFonts w:ascii="Arial" w:hAnsi="Arial" w:cs="Arial"/>
          <w:sz w:val="24"/>
          <w:szCs w:val="24"/>
        </w:rPr>
        <w:t xml:space="preserve"> prudent financial management.</w:t>
      </w:r>
    </w:p>
    <w:p w14:paraId="7DC2DF92" w14:textId="66BDF72F" w:rsidR="00E40BA7" w:rsidRPr="00E40BA7" w:rsidRDefault="00E40BA7" w:rsidP="00E40BA7">
      <w:pPr>
        <w:pStyle w:val="ListParagraph"/>
        <w:keepNext/>
        <w:numPr>
          <w:ilvl w:val="1"/>
          <w:numId w:val="27"/>
        </w:numPr>
        <w:spacing w:after="120" w:line="240" w:lineRule="auto"/>
        <w:ind w:left="720" w:hanging="720"/>
        <w:contextualSpacing w:val="0"/>
        <w:rPr>
          <w:rFonts w:ascii="Arial" w:hAnsi="Arial" w:cs="Arial"/>
          <w:sz w:val="24"/>
          <w:szCs w:val="24"/>
        </w:rPr>
      </w:pPr>
      <w:r w:rsidRPr="00E40BA7">
        <w:rPr>
          <w:rFonts w:ascii="Arial" w:hAnsi="Arial" w:cs="Arial"/>
          <w:sz w:val="24"/>
          <w:szCs w:val="24"/>
        </w:rPr>
        <w:t xml:space="preserve">Treasury risk management at the </w:t>
      </w:r>
      <w:r>
        <w:rPr>
          <w:rFonts w:ascii="Arial" w:hAnsi="Arial" w:cs="Arial"/>
          <w:sz w:val="24"/>
          <w:szCs w:val="24"/>
        </w:rPr>
        <w:t>OPCC</w:t>
      </w:r>
      <w:r w:rsidRPr="00E40BA7">
        <w:rPr>
          <w:rFonts w:ascii="Arial" w:hAnsi="Arial" w:cs="Arial"/>
          <w:sz w:val="24"/>
          <w:szCs w:val="24"/>
        </w:rPr>
        <w:t xml:space="preserve"> is conducted within the framework of the CIPFA Code which requires the </w:t>
      </w:r>
      <w:r>
        <w:rPr>
          <w:rFonts w:ascii="Arial" w:hAnsi="Arial" w:cs="Arial"/>
          <w:sz w:val="24"/>
          <w:szCs w:val="24"/>
        </w:rPr>
        <w:t xml:space="preserve">OPCC </w:t>
      </w:r>
      <w:r w:rsidRPr="00E40BA7">
        <w:rPr>
          <w:rFonts w:ascii="Arial" w:hAnsi="Arial" w:cs="Arial"/>
          <w:sz w:val="24"/>
          <w:szCs w:val="24"/>
        </w:rPr>
        <w:t xml:space="preserve">to approve a TMSS before the start of each financial year. This report fulfils the </w:t>
      </w:r>
      <w:r>
        <w:rPr>
          <w:rFonts w:ascii="Arial" w:hAnsi="Arial" w:cs="Arial"/>
          <w:sz w:val="24"/>
          <w:szCs w:val="24"/>
        </w:rPr>
        <w:t>OPCC’s</w:t>
      </w:r>
      <w:r w:rsidRPr="00E40BA7">
        <w:rPr>
          <w:rFonts w:ascii="Arial" w:hAnsi="Arial" w:cs="Arial"/>
          <w:sz w:val="24"/>
          <w:szCs w:val="24"/>
        </w:rPr>
        <w:t xml:space="preserve"> legal obligation under the Local Government Act 2003 to have regard to the CIPFA Code.</w:t>
      </w:r>
    </w:p>
    <w:p w14:paraId="3807DABA" w14:textId="77777777" w:rsidR="00E40BA7" w:rsidRPr="00E40BA7" w:rsidRDefault="00E40BA7" w:rsidP="00E40BA7">
      <w:pPr>
        <w:pStyle w:val="ListParagraph"/>
        <w:keepNext/>
        <w:numPr>
          <w:ilvl w:val="1"/>
          <w:numId w:val="27"/>
        </w:numPr>
        <w:spacing w:after="120" w:line="240" w:lineRule="auto"/>
        <w:ind w:left="720" w:hanging="720"/>
        <w:contextualSpacing w:val="0"/>
        <w:rPr>
          <w:rFonts w:ascii="Arial" w:hAnsi="Arial" w:cs="Arial"/>
          <w:sz w:val="24"/>
          <w:szCs w:val="24"/>
        </w:rPr>
      </w:pPr>
      <w:r w:rsidRPr="00E40BA7">
        <w:rPr>
          <w:rFonts w:ascii="Arial" w:hAnsi="Arial" w:cs="Arial"/>
          <w:sz w:val="24"/>
          <w:szCs w:val="24"/>
        </w:rPr>
        <w:t>Investments held for service purposes or for commercial profit are considered in a different report, the Capital and Investment Strategy.</w:t>
      </w:r>
    </w:p>
    <w:p w14:paraId="205EE09F" w14:textId="77777777" w:rsidR="004363C9" w:rsidRPr="00F22CB2" w:rsidRDefault="004363C9" w:rsidP="00CA200E">
      <w:pPr>
        <w:keepNext/>
        <w:numPr>
          <w:ilvl w:val="0"/>
          <w:numId w:val="27"/>
        </w:numPr>
        <w:tabs>
          <w:tab w:val="num" w:pos="720"/>
        </w:tabs>
        <w:spacing w:after="240" w:line="240" w:lineRule="auto"/>
        <w:ind w:left="431" w:hanging="431"/>
        <w:outlineLvl w:val="0"/>
        <w:rPr>
          <w:rFonts w:ascii="Arial" w:hAnsi="Arial" w:cs="Arial"/>
          <w:b/>
          <w:sz w:val="24"/>
        </w:rPr>
      </w:pPr>
      <w:r w:rsidRPr="00F22CB2">
        <w:rPr>
          <w:rFonts w:ascii="Arial" w:hAnsi="Arial" w:cs="Arial"/>
          <w:b/>
          <w:sz w:val="24"/>
        </w:rPr>
        <w:t>External Context</w:t>
      </w:r>
    </w:p>
    <w:p w14:paraId="72DBFF70" w14:textId="6A51AA30" w:rsidR="00C66890" w:rsidRPr="00F22CB2" w:rsidRDefault="00C66890" w:rsidP="00C66890">
      <w:pPr>
        <w:pStyle w:val="ListParagraph"/>
        <w:numPr>
          <w:ilvl w:val="1"/>
          <w:numId w:val="27"/>
        </w:numPr>
        <w:spacing w:after="240" w:line="240" w:lineRule="auto"/>
        <w:ind w:left="720" w:hanging="720"/>
        <w:contextualSpacing w:val="0"/>
        <w:rPr>
          <w:rFonts w:ascii="Arial" w:hAnsi="Arial" w:cs="Arial"/>
          <w:sz w:val="24"/>
          <w:szCs w:val="24"/>
        </w:rPr>
      </w:pPr>
      <w:r w:rsidRPr="00F22CB2">
        <w:rPr>
          <w:rFonts w:ascii="Arial" w:hAnsi="Arial" w:cs="Arial"/>
          <w:sz w:val="24"/>
          <w:szCs w:val="24"/>
        </w:rPr>
        <w:t xml:space="preserve">The following paragraphs explain the economic and financial background against which the </w:t>
      </w:r>
      <w:r w:rsidR="00F22CB2" w:rsidRPr="00F22CB2">
        <w:rPr>
          <w:rFonts w:ascii="Arial" w:hAnsi="Arial" w:cs="Arial"/>
          <w:sz w:val="24"/>
          <w:szCs w:val="24"/>
        </w:rPr>
        <w:t>TMS</w:t>
      </w:r>
      <w:r w:rsidRPr="00F22CB2">
        <w:rPr>
          <w:rFonts w:ascii="Arial" w:hAnsi="Arial" w:cs="Arial"/>
          <w:sz w:val="24"/>
          <w:szCs w:val="24"/>
        </w:rPr>
        <w:t xml:space="preserve"> is being set.</w:t>
      </w:r>
    </w:p>
    <w:p w14:paraId="7CE3570E" w14:textId="77777777" w:rsidR="00CA200E" w:rsidRPr="00F22CB2" w:rsidRDefault="00647DD4" w:rsidP="000A5EDE">
      <w:pPr>
        <w:pStyle w:val="ListParagraph"/>
        <w:keepNext/>
        <w:spacing w:after="240" w:line="240" w:lineRule="auto"/>
        <w:contextualSpacing w:val="0"/>
        <w:rPr>
          <w:rFonts w:ascii="Arial" w:hAnsi="Arial" w:cs="Arial"/>
          <w:b/>
          <w:sz w:val="24"/>
          <w:szCs w:val="24"/>
        </w:rPr>
      </w:pPr>
      <w:r w:rsidRPr="00F22CB2">
        <w:rPr>
          <w:rFonts w:ascii="Arial" w:hAnsi="Arial" w:cs="Arial"/>
          <w:b/>
          <w:sz w:val="24"/>
          <w:szCs w:val="24"/>
        </w:rPr>
        <w:t>Economic</w:t>
      </w:r>
      <w:r w:rsidR="00C92F60" w:rsidRPr="00F22CB2">
        <w:rPr>
          <w:rFonts w:ascii="Arial" w:hAnsi="Arial" w:cs="Arial"/>
          <w:b/>
          <w:sz w:val="24"/>
          <w:szCs w:val="24"/>
        </w:rPr>
        <w:t xml:space="preserve"> background</w:t>
      </w:r>
    </w:p>
    <w:p w14:paraId="388FBF87" w14:textId="3B35DDC6" w:rsidR="00F22CB2" w:rsidRPr="00F82767" w:rsidRDefault="00F82767" w:rsidP="00F22CB2">
      <w:pPr>
        <w:pStyle w:val="ListParagraph"/>
        <w:numPr>
          <w:ilvl w:val="1"/>
          <w:numId w:val="27"/>
        </w:numPr>
        <w:spacing w:after="240" w:line="240" w:lineRule="auto"/>
        <w:ind w:left="720" w:hanging="720"/>
        <w:contextualSpacing w:val="0"/>
        <w:rPr>
          <w:rFonts w:ascii="Arial" w:hAnsi="Arial" w:cs="Arial"/>
          <w:sz w:val="24"/>
          <w:szCs w:val="24"/>
        </w:rPr>
      </w:pPr>
      <w:r w:rsidRPr="00F82767">
        <w:rPr>
          <w:rFonts w:ascii="Arial" w:hAnsi="Arial" w:cs="Arial"/>
          <w:sz w:val="24"/>
          <w:szCs w:val="24"/>
        </w:rPr>
        <w:t>The UK’s progress negotiating its exit from the European Union</w:t>
      </w:r>
      <w:r w:rsidR="00966B18">
        <w:rPr>
          <w:rFonts w:ascii="Arial" w:hAnsi="Arial" w:cs="Arial"/>
          <w:sz w:val="24"/>
          <w:szCs w:val="24"/>
        </w:rPr>
        <w:t xml:space="preserve"> and</w:t>
      </w:r>
      <w:r w:rsidRPr="00F82767">
        <w:rPr>
          <w:rFonts w:ascii="Arial" w:hAnsi="Arial" w:cs="Arial"/>
          <w:sz w:val="24"/>
          <w:szCs w:val="24"/>
        </w:rPr>
        <w:t xml:space="preserve"> its future trading arrangements will continue to be a major influence on the </w:t>
      </w:r>
      <w:r w:rsidR="008F1B7C">
        <w:rPr>
          <w:rFonts w:ascii="Arial" w:hAnsi="Arial" w:cs="Arial"/>
          <w:sz w:val="24"/>
          <w:szCs w:val="24"/>
        </w:rPr>
        <w:t>OPCC</w:t>
      </w:r>
      <w:r w:rsidRPr="00F82767">
        <w:rPr>
          <w:rFonts w:ascii="Arial" w:hAnsi="Arial" w:cs="Arial"/>
          <w:sz w:val="24"/>
          <w:szCs w:val="24"/>
        </w:rPr>
        <w:t>’s treasury management strategy for 2020/21</w:t>
      </w:r>
      <w:r w:rsidR="00F22CB2" w:rsidRPr="00F82767">
        <w:rPr>
          <w:rFonts w:ascii="Arial" w:hAnsi="Arial" w:cs="Arial"/>
          <w:sz w:val="24"/>
          <w:szCs w:val="24"/>
        </w:rPr>
        <w:t xml:space="preserve">.   </w:t>
      </w:r>
    </w:p>
    <w:p w14:paraId="7DB3793A" w14:textId="1D87617C" w:rsidR="00F22CB2" w:rsidRPr="00F82767" w:rsidRDefault="003006B1" w:rsidP="00F22CB2">
      <w:pPr>
        <w:pStyle w:val="ListParagraph"/>
        <w:numPr>
          <w:ilvl w:val="1"/>
          <w:numId w:val="27"/>
        </w:numPr>
        <w:spacing w:after="240" w:line="240" w:lineRule="auto"/>
        <w:ind w:left="720" w:hanging="720"/>
        <w:contextualSpacing w:val="0"/>
        <w:rPr>
          <w:rFonts w:ascii="Arial" w:hAnsi="Arial" w:cs="Arial"/>
          <w:sz w:val="24"/>
          <w:szCs w:val="24"/>
        </w:rPr>
      </w:pPr>
      <w:r w:rsidRPr="003006B1">
        <w:rPr>
          <w:rFonts w:ascii="Arial" w:hAnsi="Arial" w:cs="Arial"/>
          <w:sz w:val="24"/>
          <w:szCs w:val="24"/>
        </w:rPr>
        <w:t>GDP growth rose by 0.4% in the third quarter of 2019 from -0.2% in the previous three months with the annual rate falling further below its trend rate to 1.1% Looking ahead, the Bank of England forecasts economic growth to pick up during 2020 as Brexit-related uncertainties dissipate and provide a boost to business investment helping GDP reach 1.6% in Q4 2020, 1.8% in Q4 2021 and 2.1% in Q4 2022</w:t>
      </w:r>
      <w:r w:rsidR="00F22CB2" w:rsidRPr="00F82767">
        <w:rPr>
          <w:rFonts w:ascii="Arial" w:hAnsi="Arial" w:cs="Arial"/>
          <w:sz w:val="24"/>
          <w:szCs w:val="24"/>
        </w:rPr>
        <w:t xml:space="preserve">.   </w:t>
      </w:r>
    </w:p>
    <w:p w14:paraId="693EA871" w14:textId="4A272873" w:rsidR="00F22CB2" w:rsidRPr="00F82767" w:rsidRDefault="001A3F66" w:rsidP="00F22CB2">
      <w:pPr>
        <w:pStyle w:val="ListParagraph"/>
        <w:numPr>
          <w:ilvl w:val="1"/>
          <w:numId w:val="27"/>
        </w:numPr>
        <w:spacing w:after="240" w:line="240" w:lineRule="auto"/>
        <w:ind w:left="720" w:hanging="720"/>
        <w:contextualSpacing w:val="0"/>
        <w:rPr>
          <w:rFonts w:ascii="Arial" w:hAnsi="Arial" w:cs="Arial"/>
          <w:sz w:val="24"/>
          <w:szCs w:val="24"/>
        </w:rPr>
      </w:pPr>
      <w:r w:rsidRPr="001A3F66">
        <w:rPr>
          <w:rFonts w:ascii="Arial" w:hAnsi="Arial" w:cs="Arial"/>
          <w:sz w:val="24"/>
          <w:szCs w:val="24"/>
        </w:rPr>
        <w:t>The headline rate of UK Consumer Price Inflation remained the same in November 2019 at 1.5% year-on-year, although lower than highs of 2.1% in July and April 2019 and below the BOE target of 2%</w:t>
      </w:r>
      <w:r w:rsidR="00F22CB2" w:rsidRPr="00F82767">
        <w:rPr>
          <w:rFonts w:ascii="Arial" w:hAnsi="Arial" w:cs="Arial"/>
          <w:sz w:val="24"/>
          <w:szCs w:val="24"/>
        </w:rPr>
        <w:t xml:space="preserve">. </w:t>
      </w:r>
    </w:p>
    <w:p w14:paraId="148DC624" w14:textId="3AE8B21D" w:rsidR="00F82767" w:rsidRPr="00F82767" w:rsidRDefault="004603EE" w:rsidP="00F22CB2">
      <w:pPr>
        <w:pStyle w:val="ListParagraph"/>
        <w:numPr>
          <w:ilvl w:val="1"/>
          <w:numId w:val="27"/>
        </w:numPr>
        <w:spacing w:after="240" w:line="240" w:lineRule="auto"/>
        <w:ind w:left="720" w:hanging="720"/>
        <w:contextualSpacing w:val="0"/>
        <w:rPr>
          <w:rFonts w:ascii="Arial" w:hAnsi="Arial" w:cs="Arial"/>
          <w:b/>
          <w:sz w:val="24"/>
          <w:szCs w:val="24"/>
        </w:rPr>
      </w:pPr>
      <w:r w:rsidRPr="004603EE">
        <w:rPr>
          <w:rFonts w:ascii="Arial" w:hAnsi="Arial" w:cs="Arial"/>
          <w:sz w:val="24"/>
          <w:szCs w:val="24"/>
        </w:rPr>
        <w:t>Labour market data continues to be positive with unemployment at 3.8%, the lowest level since 1975. The 3-month average annual growth rate for pay excluding bonuses rose to 3.5% in November 2019 providing some evidence that a shortage of labour is supporting wages.  However, adjusting for inflation this means real wages were only up by 0.9% in October 2019 and only likely to have a moderate impact on household spending</w:t>
      </w:r>
      <w:r w:rsidR="00F82767" w:rsidRPr="00F82767">
        <w:rPr>
          <w:rFonts w:ascii="Arial" w:hAnsi="Arial" w:cs="Arial"/>
          <w:sz w:val="24"/>
          <w:szCs w:val="24"/>
        </w:rPr>
        <w:t>.</w:t>
      </w:r>
    </w:p>
    <w:p w14:paraId="22FAC6AB" w14:textId="77777777" w:rsidR="00CA200E" w:rsidRPr="00F82767" w:rsidRDefault="00C845A7" w:rsidP="00F22CB2">
      <w:pPr>
        <w:pStyle w:val="ListParagraph"/>
        <w:spacing w:after="240" w:line="240" w:lineRule="auto"/>
        <w:contextualSpacing w:val="0"/>
        <w:rPr>
          <w:rFonts w:ascii="Arial" w:hAnsi="Arial" w:cs="Arial"/>
          <w:b/>
          <w:sz w:val="24"/>
          <w:szCs w:val="24"/>
        </w:rPr>
      </w:pPr>
      <w:r w:rsidRPr="00F82767">
        <w:rPr>
          <w:rFonts w:ascii="Arial" w:hAnsi="Arial" w:cs="Arial"/>
          <w:b/>
          <w:sz w:val="24"/>
          <w:szCs w:val="24"/>
        </w:rPr>
        <w:t xml:space="preserve">Credit </w:t>
      </w:r>
      <w:r w:rsidR="003E6FF7" w:rsidRPr="00F82767">
        <w:rPr>
          <w:rFonts w:ascii="Arial" w:hAnsi="Arial" w:cs="Arial"/>
          <w:b/>
          <w:sz w:val="24"/>
          <w:szCs w:val="24"/>
        </w:rPr>
        <w:t>outlook</w:t>
      </w:r>
    </w:p>
    <w:p w14:paraId="09A440DA" w14:textId="66B0131C" w:rsidR="00F22CB2" w:rsidRPr="00F82767" w:rsidRDefault="00D975F3" w:rsidP="00F22CB2">
      <w:pPr>
        <w:pStyle w:val="ListParagraph"/>
        <w:numPr>
          <w:ilvl w:val="1"/>
          <w:numId w:val="27"/>
        </w:numPr>
        <w:spacing w:after="240" w:line="240" w:lineRule="auto"/>
        <w:ind w:left="720" w:hanging="720"/>
        <w:contextualSpacing w:val="0"/>
        <w:rPr>
          <w:rFonts w:ascii="Arial" w:hAnsi="Arial" w:cs="Arial"/>
          <w:sz w:val="24"/>
          <w:szCs w:val="24"/>
        </w:rPr>
      </w:pPr>
      <w:r w:rsidRPr="00D975F3">
        <w:rPr>
          <w:rFonts w:ascii="Arial" w:hAnsi="Arial" w:cs="Arial"/>
          <w:sz w:val="24"/>
          <w:szCs w:val="24"/>
        </w:rPr>
        <w:t>The recent Bank of England stress tests assessed all seven UK banking groups, with all seven passing the test. Major banks have steadily increased their capital for many years now, however the tests do not cover all banks and the Bank of England will seek to address some of these issues in 2020, when Virgin Money/Clydesdale will be added to the testing group and separate tests will be included of ringfenced banks</w:t>
      </w:r>
      <w:r w:rsidR="00F22CB2" w:rsidRPr="00F82767">
        <w:rPr>
          <w:rFonts w:ascii="Arial" w:hAnsi="Arial" w:cs="Arial"/>
          <w:sz w:val="24"/>
          <w:szCs w:val="24"/>
        </w:rPr>
        <w:t xml:space="preserve">.    </w:t>
      </w:r>
    </w:p>
    <w:p w14:paraId="6F8954C4" w14:textId="1A3A1D1B" w:rsidR="00F82767" w:rsidRPr="00F82767" w:rsidRDefault="00344A08" w:rsidP="00F22CB2">
      <w:pPr>
        <w:pStyle w:val="ListParagraph"/>
        <w:numPr>
          <w:ilvl w:val="1"/>
          <w:numId w:val="27"/>
        </w:numPr>
        <w:spacing w:after="240" w:line="240" w:lineRule="auto"/>
        <w:ind w:left="720" w:hanging="720"/>
        <w:contextualSpacing w:val="0"/>
        <w:rPr>
          <w:rFonts w:ascii="Arial" w:hAnsi="Arial" w:cs="Arial"/>
          <w:sz w:val="24"/>
          <w:szCs w:val="24"/>
        </w:rPr>
      </w:pPr>
      <w:r w:rsidRPr="00344A08">
        <w:rPr>
          <w:rFonts w:ascii="Arial" w:hAnsi="Arial" w:cs="Arial"/>
          <w:sz w:val="24"/>
          <w:szCs w:val="24"/>
        </w:rPr>
        <w:t xml:space="preserve">Looking forward, the potential for a “no-deal” Brexit and/or a global recession remain the major risks facing banks and building societies in 2020/21 and a cautious approach to bank deposits continues to be recommended by the </w:t>
      </w:r>
      <w:r w:rsidR="000F1A19">
        <w:rPr>
          <w:rFonts w:ascii="Arial" w:hAnsi="Arial" w:cs="Arial"/>
          <w:sz w:val="24"/>
          <w:szCs w:val="24"/>
        </w:rPr>
        <w:t>OPCC</w:t>
      </w:r>
      <w:r w:rsidRPr="00344A08">
        <w:rPr>
          <w:rFonts w:ascii="Arial" w:hAnsi="Arial" w:cs="Arial"/>
          <w:sz w:val="24"/>
          <w:szCs w:val="24"/>
        </w:rPr>
        <w:t>’s treasury advisors</w:t>
      </w:r>
      <w:r w:rsidR="00F82767" w:rsidRPr="00F82767">
        <w:rPr>
          <w:rFonts w:ascii="Arial" w:hAnsi="Arial" w:cs="Arial"/>
          <w:sz w:val="24"/>
          <w:szCs w:val="24"/>
        </w:rPr>
        <w:t>.</w:t>
      </w:r>
    </w:p>
    <w:p w14:paraId="4BA0E019" w14:textId="77777777" w:rsidR="00CA200E" w:rsidRPr="00F22CB2" w:rsidRDefault="004363C9" w:rsidP="00F22CB2">
      <w:pPr>
        <w:pStyle w:val="ListParagraph"/>
        <w:spacing w:after="240" w:line="240" w:lineRule="auto"/>
        <w:contextualSpacing w:val="0"/>
        <w:rPr>
          <w:rFonts w:ascii="Arial" w:hAnsi="Arial" w:cs="Arial"/>
          <w:b/>
          <w:sz w:val="24"/>
          <w:szCs w:val="24"/>
        </w:rPr>
      </w:pPr>
      <w:r w:rsidRPr="00F22CB2">
        <w:rPr>
          <w:rFonts w:ascii="Arial" w:hAnsi="Arial" w:cs="Arial"/>
          <w:b/>
          <w:sz w:val="24"/>
          <w:szCs w:val="24"/>
        </w:rPr>
        <w:t>Interest rate forecast</w:t>
      </w:r>
    </w:p>
    <w:p w14:paraId="4B1AC18D" w14:textId="00958AF5" w:rsidR="00F82767" w:rsidRDefault="00D0349E" w:rsidP="00F22CB2">
      <w:pPr>
        <w:pStyle w:val="ListParagraph"/>
        <w:numPr>
          <w:ilvl w:val="1"/>
          <w:numId w:val="27"/>
        </w:numPr>
        <w:spacing w:after="240" w:line="240" w:lineRule="auto"/>
        <w:ind w:left="720" w:hanging="720"/>
        <w:contextualSpacing w:val="0"/>
        <w:rPr>
          <w:rFonts w:ascii="Arial" w:hAnsi="Arial" w:cs="Arial"/>
          <w:sz w:val="24"/>
          <w:szCs w:val="24"/>
        </w:rPr>
      </w:pPr>
      <w:bookmarkStart w:id="5" w:name="_Hlk26791825"/>
      <w:r w:rsidRPr="00D0349E">
        <w:rPr>
          <w:rFonts w:ascii="Arial" w:hAnsi="Arial" w:cs="Arial"/>
          <w:sz w:val="24"/>
          <w:szCs w:val="24"/>
        </w:rPr>
        <w:t xml:space="preserve">The </w:t>
      </w:r>
      <w:r>
        <w:rPr>
          <w:rFonts w:ascii="Arial" w:hAnsi="Arial" w:cs="Arial"/>
          <w:sz w:val="24"/>
          <w:szCs w:val="24"/>
        </w:rPr>
        <w:t>OPCC</w:t>
      </w:r>
      <w:r w:rsidRPr="00D0349E">
        <w:rPr>
          <w:rFonts w:ascii="Arial" w:hAnsi="Arial" w:cs="Arial"/>
          <w:sz w:val="24"/>
          <w:szCs w:val="24"/>
        </w:rPr>
        <w:t xml:space="preserve">’s treasury management adviser </w:t>
      </w:r>
      <w:proofErr w:type="spellStart"/>
      <w:r w:rsidRPr="00D0349E">
        <w:rPr>
          <w:rFonts w:ascii="Arial" w:hAnsi="Arial" w:cs="Arial"/>
          <w:sz w:val="24"/>
          <w:szCs w:val="24"/>
        </w:rPr>
        <w:t>Arlingclose</w:t>
      </w:r>
      <w:proofErr w:type="spellEnd"/>
      <w:r w:rsidRPr="00D0349E">
        <w:rPr>
          <w:rFonts w:ascii="Arial" w:hAnsi="Arial" w:cs="Arial"/>
          <w:sz w:val="24"/>
          <w:szCs w:val="24"/>
        </w:rPr>
        <w:t xml:space="preserve"> is forecasting that Bank Rate will remain at 0.75% until the end of 2022. The risks to this forecast are deemed to be significantly weighted to the downside, particularly given the need for greater clarity on Brexit and the continuing global economic slowdown</w:t>
      </w:r>
      <w:bookmarkEnd w:id="5"/>
      <w:r w:rsidR="00F82767">
        <w:rPr>
          <w:rFonts w:ascii="Arial" w:hAnsi="Arial" w:cs="Arial"/>
          <w:sz w:val="24"/>
          <w:szCs w:val="24"/>
        </w:rPr>
        <w:t>.</w:t>
      </w:r>
    </w:p>
    <w:p w14:paraId="5DEAFDAD" w14:textId="75A6ADCD" w:rsidR="00F82767" w:rsidRDefault="00D23003" w:rsidP="00F22CB2">
      <w:pPr>
        <w:pStyle w:val="ListParagraph"/>
        <w:numPr>
          <w:ilvl w:val="1"/>
          <w:numId w:val="27"/>
        </w:numPr>
        <w:spacing w:after="240" w:line="240" w:lineRule="auto"/>
        <w:ind w:left="720" w:hanging="720"/>
        <w:contextualSpacing w:val="0"/>
        <w:rPr>
          <w:rFonts w:ascii="Arial" w:hAnsi="Arial" w:cs="Arial"/>
          <w:sz w:val="24"/>
          <w:szCs w:val="24"/>
        </w:rPr>
      </w:pPr>
      <w:bookmarkStart w:id="6" w:name="_Hlk26791852"/>
      <w:r w:rsidRPr="00D23003">
        <w:rPr>
          <w:rFonts w:ascii="Arial" w:hAnsi="Arial" w:cs="Arial"/>
          <w:sz w:val="24"/>
          <w:szCs w:val="24"/>
        </w:rPr>
        <w:t>The Bank of England, having previously indicated interest rates may need to rise if a Brexit agreement was reached, stated in its November Monetary Policy Report and its Bank Rate decision (7-2 vote to hold rates) that the MPC now believe this is less likely even in the event of a deal</w:t>
      </w:r>
      <w:bookmarkEnd w:id="6"/>
      <w:r w:rsidR="00F22CB2" w:rsidRPr="00F82767">
        <w:rPr>
          <w:rFonts w:ascii="Arial" w:hAnsi="Arial" w:cs="Arial"/>
          <w:sz w:val="24"/>
          <w:szCs w:val="24"/>
        </w:rPr>
        <w:t>.</w:t>
      </w:r>
    </w:p>
    <w:p w14:paraId="2B2CE1CA" w14:textId="0805B595" w:rsidR="00F22CB2" w:rsidRPr="00F82767" w:rsidRDefault="00D350C8" w:rsidP="00F22CB2">
      <w:pPr>
        <w:pStyle w:val="ListParagraph"/>
        <w:numPr>
          <w:ilvl w:val="1"/>
          <w:numId w:val="27"/>
        </w:numPr>
        <w:spacing w:after="240" w:line="240" w:lineRule="auto"/>
        <w:ind w:left="720" w:hanging="720"/>
        <w:contextualSpacing w:val="0"/>
        <w:rPr>
          <w:rFonts w:ascii="Arial" w:hAnsi="Arial" w:cs="Arial"/>
          <w:sz w:val="24"/>
          <w:szCs w:val="24"/>
        </w:rPr>
      </w:pPr>
      <w:bookmarkStart w:id="7" w:name="_Hlk26791880"/>
      <w:r w:rsidRPr="00D350C8">
        <w:rPr>
          <w:rFonts w:ascii="Arial" w:hAnsi="Arial" w:cs="Arial"/>
          <w:sz w:val="24"/>
          <w:szCs w:val="24"/>
        </w:rPr>
        <w:t xml:space="preserve">Gilt yields have risen but remain at low levels and only some very modest upward movement from current levels are expected based on </w:t>
      </w:r>
      <w:proofErr w:type="spellStart"/>
      <w:r w:rsidRPr="00D350C8">
        <w:rPr>
          <w:rFonts w:ascii="Arial" w:hAnsi="Arial" w:cs="Arial"/>
          <w:sz w:val="24"/>
          <w:szCs w:val="24"/>
        </w:rPr>
        <w:t>Arlingclose’s</w:t>
      </w:r>
      <w:proofErr w:type="spellEnd"/>
      <w:r w:rsidRPr="00D350C8">
        <w:rPr>
          <w:rFonts w:ascii="Arial" w:hAnsi="Arial" w:cs="Arial"/>
          <w:sz w:val="24"/>
          <w:szCs w:val="24"/>
        </w:rPr>
        <w:t xml:space="preserve"> interest rate projections.  The central case is for 10-year and 20-year gilt yields to rise to around 1.00% and 1.40% respectively over the time horizon, with broadly balanced risks to both the upside and downside.  However, short-term volatility arising from both economic and political events over the period is a near certainty</w:t>
      </w:r>
      <w:bookmarkEnd w:id="7"/>
      <w:r w:rsidR="00F22CB2" w:rsidRPr="00F82767">
        <w:rPr>
          <w:rFonts w:ascii="Arial" w:hAnsi="Arial" w:cs="Arial"/>
          <w:sz w:val="24"/>
          <w:szCs w:val="24"/>
        </w:rPr>
        <w:t xml:space="preserve">. </w:t>
      </w:r>
    </w:p>
    <w:p w14:paraId="5929A30F" w14:textId="77777777" w:rsidR="00F82767" w:rsidRDefault="00C66890" w:rsidP="00F22CB2">
      <w:pPr>
        <w:pStyle w:val="ListParagraph"/>
        <w:numPr>
          <w:ilvl w:val="1"/>
          <w:numId w:val="27"/>
        </w:numPr>
        <w:spacing w:after="240" w:line="240" w:lineRule="auto"/>
        <w:ind w:left="720" w:hanging="720"/>
        <w:contextualSpacing w:val="0"/>
        <w:rPr>
          <w:rFonts w:ascii="Arial" w:hAnsi="Arial" w:cs="Arial"/>
          <w:sz w:val="24"/>
          <w:szCs w:val="24"/>
        </w:rPr>
      </w:pPr>
      <w:r w:rsidRPr="00F22CB2">
        <w:rPr>
          <w:rFonts w:ascii="Arial" w:hAnsi="Arial" w:cs="Arial"/>
          <w:sz w:val="24"/>
          <w:szCs w:val="24"/>
        </w:rPr>
        <w:t xml:space="preserve">A more detailed economic and interest rate forecast provided by </w:t>
      </w:r>
      <w:proofErr w:type="spellStart"/>
      <w:r w:rsidRPr="00F22CB2">
        <w:rPr>
          <w:rFonts w:ascii="Arial" w:hAnsi="Arial" w:cs="Arial"/>
          <w:sz w:val="24"/>
          <w:szCs w:val="24"/>
        </w:rPr>
        <w:t>Arlingclose</w:t>
      </w:r>
      <w:proofErr w:type="spellEnd"/>
      <w:r w:rsidRPr="00F22CB2">
        <w:rPr>
          <w:rFonts w:ascii="Arial" w:hAnsi="Arial" w:cs="Arial"/>
          <w:sz w:val="24"/>
          <w:szCs w:val="24"/>
        </w:rPr>
        <w:t xml:space="preserve"> is attached at Appendix A. </w:t>
      </w:r>
    </w:p>
    <w:p w14:paraId="47294E96" w14:textId="77777777" w:rsidR="004363C9" w:rsidRPr="00F22CB2" w:rsidRDefault="00CA200E" w:rsidP="00C66890">
      <w:pPr>
        <w:keepNext/>
        <w:numPr>
          <w:ilvl w:val="0"/>
          <w:numId w:val="27"/>
        </w:numPr>
        <w:tabs>
          <w:tab w:val="num" w:pos="720"/>
        </w:tabs>
        <w:spacing w:after="240" w:line="240" w:lineRule="auto"/>
        <w:ind w:left="431" w:hanging="431"/>
        <w:outlineLvl w:val="0"/>
        <w:rPr>
          <w:rFonts w:ascii="Arial" w:hAnsi="Arial" w:cs="Arial"/>
          <w:b/>
          <w:sz w:val="24"/>
        </w:rPr>
      </w:pPr>
      <w:r w:rsidRPr="00F22CB2">
        <w:rPr>
          <w:rFonts w:ascii="Arial" w:hAnsi="Arial" w:cs="Arial"/>
          <w:b/>
          <w:sz w:val="24"/>
        </w:rPr>
        <w:t>Balance Sheet summary and forecast</w:t>
      </w:r>
    </w:p>
    <w:p w14:paraId="16B8B007" w14:textId="58EE42F9" w:rsidR="00F1221F" w:rsidRDefault="00BF4360" w:rsidP="00F1221F">
      <w:pPr>
        <w:pStyle w:val="ListParagraph"/>
        <w:numPr>
          <w:ilvl w:val="1"/>
          <w:numId w:val="27"/>
        </w:numPr>
        <w:spacing w:after="240" w:line="240" w:lineRule="auto"/>
        <w:ind w:left="720" w:hanging="720"/>
        <w:contextualSpacing w:val="0"/>
        <w:rPr>
          <w:rFonts w:ascii="Arial" w:hAnsi="Arial" w:cs="Arial"/>
          <w:sz w:val="24"/>
          <w:szCs w:val="24"/>
        </w:rPr>
      </w:pPr>
      <w:r w:rsidRPr="00F22CB2">
        <w:rPr>
          <w:rFonts w:ascii="Arial" w:hAnsi="Arial" w:cs="Arial"/>
          <w:sz w:val="24"/>
          <w:szCs w:val="24"/>
        </w:rPr>
        <w:t>On 3</w:t>
      </w:r>
      <w:r w:rsidR="00F22CB2" w:rsidRPr="00F22CB2">
        <w:rPr>
          <w:rFonts w:ascii="Arial" w:hAnsi="Arial" w:cs="Arial"/>
          <w:sz w:val="24"/>
          <w:szCs w:val="24"/>
        </w:rPr>
        <w:t>0</w:t>
      </w:r>
      <w:r w:rsidRPr="00F22CB2">
        <w:rPr>
          <w:rFonts w:ascii="Arial" w:hAnsi="Arial" w:cs="Arial"/>
          <w:sz w:val="24"/>
          <w:szCs w:val="24"/>
        </w:rPr>
        <w:t xml:space="preserve"> </w:t>
      </w:r>
      <w:r w:rsidR="00F22CB2" w:rsidRPr="00F22CB2">
        <w:rPr>
          <w:rFonts w:ascii="Arial" w:hAnsi="Arial" w:cs="Arial"/>
          <w:sz w:val="24"/>
          <w:szCs w:val="24"/>
        </w:rPr>
        <w:t>Nove</w:t>
      </w:r>
      <w:r w:rsidRPr="00F22CB2">
        <w:rPr>
          <w:rFonts w:ascii="Arial" w:hAnsi="Arial" w:cs="Arial"/>
          <w:sz w:val="24"/>
          <w:szCs w:val="24"/>
        </w:rPr>
        <w:t>mber 201</w:t>
      </w:r>
      <w:r w:rsidR="00B0619F">
        <w:rPr>
          <w:rFonts w:ascii="Arial" w:hAnsi="Arial" w:cs="Arial"/>
          <w:sz w:val="24"/>
          <w:szCs w:val="24"/>
        </w:rPr>
        <w:t>9</w:t>
      </w:r>
      <w:r w:rsidRPr="00F22CB2">
        <w:rPr>
          <w:rFonts w:ascii="Arial" w:hAnsi="Arial" w:cs="Arial"/>
          <w:sz w:val="24"/>
          <w:szCs w:val="24"/>
        </w:rPr>
        <w:t>, t</w:t>
      </w:r>
      <w:r w:rsidR="004363C9" w:rsidRPr="00F22CB2">
        <w:rPr>
          <w:rFonts w:ascii="Arial" w:hAnsi="Arial" w:cs="Arial"/>
          <w:sz w:val="24"/>
          <w:szCs w:val="24"/>
        </w:rPr>
        <w:t xml:space="preserve">he </w:t>
      </w:r>
      <w:r w:rsidR="00CA200E" w:rsidRPr="00F22CB2">
        <w:rPr>
          <w:rFonts w:ascii="Arial" w:hAnsi="Arial" w:cs="Arial"/>
          <w:sz w:val="24"/>
          <w:szCs w:val="24"/>
        </w:rPr>
        <w:t>OPCC</w:t>
      </w:r>
      <w:r w:rsidR="004363C9" w:rsidRPr="00F22CB2">
        <w:rPr>
          <w:rFonts w:ascii="Arial" w:hAnsi="Arial" w:cs="Arial"/>
          <w:sz w:val="24"/>
          <w:szCs w:val="24"/>
        </w:rPr>
        <w:t xml:space="preserve"> </w:t>
      </w:r>
      <w:r w:rsidR="004363C9" w:rsidRPr="00900172">
        <w:rPr>
          <w:rFonts w:ascii="Arial" w:hAnsi="Arial" w:cs="Arial"/>
          <w:sz w:val="24"/>
          <w:szCs w:val="24"/>
        </w:rPr>
        <w:t>h</w:t>
      </w:r>
      <w:r w:rsidRPr="00900172">
        <w:rPr>
          <w:rFonts w:ascii="Arial" w:hAnsi="Arial" w:cs="Arial"/>
          <w:sz w:val="24"/>
          <w:szCs w:val="24"/>
        </w:rPr>
        <w:t>eld</w:t>
      </w:r>
      <w:r w:rsidR="004363C9" w:rsidRPr="00900172">
        <w:rPr>
          <w:rFonts w:ascii="Arial" w:hAnsi="Arial" w:cs="Arial"/>
          <w:sz w:val="24"/>
          <w:szCs w:val="24"/>
        </w:rPr>
        <w:t xml:space="preserve"> £</w:t>
      </w:r>
      <w:r w:rsidR="009E011B" w:rsidRPr="00900172">
        <w:rPr>
          <w:rFonts w:ascii="Arial" w:hAnsi="Arial" w:cs="Arial"/>
          <w:sz w:val="24"/>
          <w:szCs w:val="24"/>
        </w:rPr>
        <w:t>3</w:t>
      </w:r>
      <w:r w:rsidR="00900172" w:rsidRPr="00900172">
        <w:rPr>
          <w:rFonts w:ascii="Arial" w:hAnsi="Arial" w:cs="Arial"/>
          <w:sz w:val="24"/>
          <w:szCs w:val="24"/>
        </w:rPr>
        <w:t>0</w:t>
      </w:r>
      <w:r w:rsidR="00F22CB2" w:rsidRPr="00900172">
        <w:rPr>
          <w:rFonts w:ascii="Arial" w:hAnsi="Arial" w:cs="Arial"/>
          <w:sz w:val="24"/>
          <w:szCs w:val="24"/>
        </w:rPr>
        <w:t>.</w:t>
      </w:r>
      <w:r w:rsidR="00900172" w:rsidRPr="00900172">
        <w:rPr>
          <w:rFonts w:ascii="Arial" w:hAnsi="Arial" w:cs="Arial"/>
          <w:sz w:val="24"/>
          <w:szCs w:val="24"/>
        </w:rPr>
        <w:t>7</w:t>
      </w:r>
      <w:r w:rsidR="004363C9" w:rsidRPr="00900172">
        <w:rPr>
          <w:rFonts w:ascii="Arial" w:hAnsi="Arial" w:cs="Arial"/>
          <w:sz w:val="24"/>
          <w:szCs w:val="24"/>
        </w:rPr>
        <w:t xml:space="preserve">m of </w:t>
      </w:r>
      <w:r w:rsidR="009F23E2" w:rsidRPr="00900172">
        <w:rPr>
          <w:rFonts w:ascii="Arial" w:hAnsi="Arial" w:cs="Arial"/>
          <w:sz w:val="24"/>
          <w:szCs w:val="24"/>
        </w:rPr>
        <w:t>borrowing</w:t>
      </w:r>
      <w:r w:rsidR="004363C9" w:rsidRPr="00900172">
        <w:rPr>
          <w:rFonts w:ascii="Arial" w:hAnsi="Arial" w:cs="Arial"/>
          <w:sz w:val="24"/>
          <w:szCs w:val="24"/>
        </w:rPr>
        <w:t xml:space="preserve"> and </w:t>
      </w:r>
      <w:r w:rsidR="00243E06" w:rsidRPr="00900172">
        <w:rPr>
          <w:rFonts w:ascii="Arial" w:hAnsi="Arial" w:cs="Arial"/>
          <w:sz w:val="24"/>
          <w:szCs w:val="24"/>
        </w:rPr>
        <w:t>£</w:t>
      </w:r>
      <w:r w:rsidR="00900172" w:rsidRPr="00900172">
        <w:rPr>
          <w:rFonts w:ascii="Arial" w:hAnsi="Arial" w:cs="Arial"/>
          <w:sz w:val="24"/>
          <w:szCs w:val="24"/>
        </w:rPr>
        <w:t>61</w:t>
      </w:r>
      <w:r w:rsidR="00F22CB2" w:rsidRPr="00900172">
        <w:rPr>
          <w:rFonts w:ascii="Arial" w:hAnsi="Arial" w:cs="Arial"/>
          <w:sz w:val="24"/>
          <w:szCs w:val="24"/>
        </w:rPr>
        <w:t>.</w:t>
      </w:r>
      <w:r w:rsidR="00900172" w:rsidRPr="00900172">
        <w:rPr>
          <w:rFonts w:ascii="Arial" w:hAnsi="Arial" w:cs="Arial"/>
          <w:sz w:val="24"/>
          <w:szCs w:val="24"/>
        </w:rPr>
        <w:t>6</w:t>
      </w:r>
      <w:r w:rsidR="00F22CB2" w:rsidRPr="00900172">
        <w:rPr>
          <w:rFonts w:ascii="Arial" w:hAnsi="Arial" w:cs="Arial"/>
          <w:sz w:val="24"/>
          <w:szCs w:val="24"/>
        </w:rPr>
        <w:t>m</w:t>
      </w:r>
      <w:r w:rsidR="00243E06" w:rsidRPr="00F22CB2">
        <w:rPr>
          <w:rFonts w:ascii="Arial" w:hAnsi="Arial" w:cs="Arial"/>
          <w:sz w:val="24"/>
          <w:szCs w:val="24"/>
        </w:rPr>
        <w:t xml:space="preserve"> </w:t>
      </w:r>
      <w:r w:rsidR="004363C9" w:rsidRPr="00F22CB2">
        <w:rPr>
          <w:rFonts w:ascii="Arial" w:hAnsi="Arial" w:cs="Arial"/>
          <w:sz w:val="24"/>
          <w:szCs w:val="24"/>
        </w:rPr>
        <w:t xml:space="preserve">of investments. </w:t>
      </w:r>
      <w:r w:rsidR="00CA200E" w:rsidRPr="00F22CB2">
        <w:rPr>
          <w:rFonts w:ascii="Arial" w:hAnsi="Arial" w:cs="Arial"/>
          <w:sz w:val="24"/>
          <w:szCs w:val="24"/>
        </w:rPr>
        <w:t xml:space="preserve"> </w:t>
      </w:r>
      <w:r w:rsidR="004363C9" w:rsidRPr="00F22CB2">
        <w:rPr>
          <w:rFonts w:ascii="Arial" w:hAnsi="Arial" w:cs="Arial"/>
          <w:sz w:val="24"/>
          <w:szCs w:val="24"/>
        </w:rPr>
        <w:t xml:space="preserve">This is set out in further detail at Appendix </w:t>
      </w:r>
      <w:r w:rsidR="00C845A7" w:rsidRPr="00F22CB2">
        <w:rPr>
          <w:rFonts w:ascii="Arial" w:hAnsi="Arial" w:cs="Arial"/>
          <w:sz w:val="24"/>
          <w:szCs w:val="24"/>
        </w:rPr>
        <w:t>B</w:t>
      </w:r>
      <w:r w:rsidR="004363C9" w:rsidRPr="00F22CB2">
        <w:rPr>
          <w:rFonts w:ascii="Arial" w:hAnsi="Arial" w:cs="Arial"/>
          <w:sz w:val="24"/>
          <w:szCs w:val="24"/>
        </w:rPr>
        <w:t>.</w:t>
      </w:r>
      <w:r w:rsidR="009F23E2" w:rsidRPr="00F22CB2">
        <w:rPr>
          <w:rFonts w:ascii="Arial" w:hAnsi="Arial" w:cs="Arial"/>
          <w:sz w:val="24"/>
          <w:szCs w:val="24"/>
        </w:rPr>
        <w:t xml:space="preserve">  Forecast changes in these sums are shown in the balance sheet analysis in </w:t>
      </w:r>
      <w:r w:rsidR="00CA200E" w:rsidRPr="00F22CB2">
        <w:rPr>
          <w:rFonts w:ascii="Arial" w:hAnsi="Arial" w:cs="Arial"/>
          <w:sz w:val="24"/>
          <w:szCs w:val="24"/>
        </w:rPr>
        <w:t>T</w:t>
      </w:r>
      <w:r w:rsidR="009F23E2" w:rsidRPr="00F22CB2">
        <w:rPr>
          <w:rFonts w:ascii="Arial" w:hAnsi="Arial" w:cs="Arial"/>
          <w:sz w:val="24"/>
          <w:szCs w:val="24"/>
        </w:rPr>
        <w:t xml:space="preserve">able 1 </w:t>
      </w:r>
      <w:r w:rsidR="00A904DD">
        <w:rPr>
          <w:rFonts w:ascii="Arial" w:hAnsi="Arial" w:cs="Arial"/>
          <w:sz w:val="24"/>
          <w:szCs w:val="24"/>
        </w:rPr>
        <w:t>overleaf</w:t>
      </w:r>
      <w:r w:rsidR="009F23E2" w:rsidRPr="00F22CB2">
        <w:rPr>
          <w:rFonts w:ascii="Arial" w:hAnsi="Arial" w:cs="Arial"/>
          <w:sz w:val="24"/>
          <w:szCs w:val="24"/>
        </w:rPr>
        <w:t>.</w:t>
      </w:r>
      <w:r w:rsidR="00D4394C" w:rsidRPr="00F22CB2">
        <w:rPr>
          <w:rFonts w:ascii="Arial" w:hAnsi="Arial" w:cs="Arial"/>
          <w:sz w:val="24"/>
          <w:szCs w:val="24"/>
        </w:rPr>
        <w:t xml:space="preserve">  </w:t>
      </w:r>
    </w:p>
    <w:p w14:paraId="478C3D9F" w14:textId="6A24DD91" w:rsidR="00A904DD" w:rsidRDefault="00A904DD" w:rsidP="00A904DD">
      <w:pPr>
        <w:pStyle w:val="ListParagraph"/>
        <w:spacing w:after="240" w:line="240" w:lineRule="auto"/>
        <w:contextualSpacing w:val="0"/>
        <w:rPr>
          <w:rFonts w:ascii="Arial" w:hAnsi="Arial" w:cs="Arial"/>
          <w:sz w:val="24"/>
          <w:szCs w:val="24"/>
        </w:rPr>
      </w:pPr>
    </w:p>
    <w:p w14:paraId="2354F798" w14:textId="136DB5BE" w:rsidR="00A904DD" w:rsidRDefault="00A904DD" w:rsidP="00A904DD">
      <w:pPr>
        <w:pStyle w:val="ListParagraph"/>
        <w:spacing w:after="240" w:line="240" w:lineRule="auto"/>
        <w:contextualSpacing w:val="0"/>
        <w:rPr>
          <w:rFonts w:ascii="Arial" w:hAnsi="Arial" w:cs="Arial"/>
          <w:sz w:val="24"/>
          <w:szCs w:val="24"/>
        </w:rPr>
      </w:pPr>
    </w:p>
    <w:p w14:paraId="72E207DF" w14:textId="5F96E637" w:rsidR="00A904DD" w:rsidRDefault="00A904DD" w:rsidP="00A904DD">
      <w:pPr>
        <w:pStyle w:val="ListParagraph"/>
        <w:spacing w:after="240" w:line="240" w:lineRule="auto"/>
        <w:contextualSpacing w:val="0"/>
        <w:rPr>
          <w:rFonts w:ascii="Arial" w:hAnsi="Arial" w:cs="Arial"/>
          <w:sz w:val="24"/>
          <w:szCs w:val="24"/>
        </w:rPr>
      </w:pPr>
    </w:p>
    <w:p w14:paraId="08AB48E0" w14:textId="77777777" w:rsidR="00A904DD" w:rsidRPr="00F22CB2" w:rsidRDefault="00A904DD" w:rsidP="00A904DD">
      <w:pPr>
        <w:pStyle w:val="ListParagraph"/>
        <w:spacing w:after="240" w:line="240" w:lineRule="auto"/>
        <w:contextualSpacing w:val="0"/>
        <w:rPr>
          <w:rFonts w:ascii="Arial" w:hAnsi="Arial" w:cs="Arial"/>
          <w:sz w:val="24"/>
          <w:szCs w:val="24"/>
        </w:rPr>
      </w:pPr>
    </w:p>
    <w:tbl>
      <w:tblPr>
        <w:tblpPr w:leftFromText="180" w:rightFromText="180" w:vertAnchor="text" w:horzAnchor="margin" w:tblpXSpec="center" w:tblpY="160"/>
        <w:tblW w:w="10320" w:type="dxa"/>
        <w:tblLayout w:type="fixed"/>
        <w:tblLook w:val="01E0" w:firstRow="1" w:lastRow="1" w:firstColumn="1" w:lastColumn="1" w:noHBand="0" w:noVBand="0"/>
      </w:tblPr>
      <w:tblGrid>
        <w:gridCol w:w="3937"/>
        <w:gridCol w:w="1276"/>
        <w:gridCol w:w="1277"/>
        <w:gridCol w:w="1277"/>
        <w:gridCol w:w="1277"/>
        <w:gridCol w:w="1276"/>
      </w:tblGrid>
      <w:tr w:rsidR="004A671F" w:rsidRPr="00D564D6" w14:paraId="7DE57A4D" w14:textId="77777777" w:rsidTr="008E694E">
        <w:tc>
          <w:tcPr>
            <w:tcW w:w="10320" w:type="dxa"/>
            <w:gridSpan w:val="6"/>
            <w:vAlign w:val="center"/>
            <w:hideMark/>
          </w:tcPr>
          <w:p w14:paraId="4645C6B9" w14:textId="77777777" w:rsidR="004A671F" w:rsidRPr="00D564D6" w:rsidRDefault="004A671F" w:rsidP="004A671F">
            <w:pPr>
              <w:keepNext/>
              <w:spacing w:after="240" w:line="240" w:lineRule="auto"/>
              <w:outlineLvl w:val="0"/>
              <w:rPr>
                <w:rFonts w:ascii="Arial" w:hAnsi="Arial" w:cs="Arial"/>
                <w:b/>
                <w:sz w:val="24"/>
                <w:szCs w:val="24"/>
              </w:rPr>
            </w:pPr>
            <w:bookmarkStart w:id="8" w:name="OLE_LINK10"/>
            <w:bookmarkStart w:id="9" w:name="OLE_LINK4"/>
            <w:r w:rsidRPr="00D564D6">
              <w:rPr>
                <w:rFonts w:ascii="Arial" w:hAnsi="Arial" w:cs="Arial"/>
                <w:b/>
                <w:sz w:val="24"/>
              </w:rPr>
              <w:t>Table 1: Balance Sheet Summary and Forecast</w:t>
            </w:r>
          </w:p>
        </w:tc>
      </w:tr>
      <w:tr w:rsidR="004A671F" w:rsidRPr="00D564D6" w14:paraId="2174136B" w14:textId="77777777" w:rsidTr="008E694E">
        <w:tc>
          <w:tcPr>
            <w:tcW w:w="3937" w:type="dxa"/>
            <w:vAlign w:val="center"/>
          </w:tcPr>
          <w:p w14:paraId="6791C6AB" w14:textId="77777777" w:rsidR="004A671F" w:rsidRPr="00D564D6" w:rsidRDefault="004A671F" w:rsidP="004A671F">
            <w:pPr>
              <w:spacing w:after="0"/>
              <w:rPr>
                <w:rFonts w:ascii="Arial" w:eastAsia="Times New Roman" w:hAnsi="Arial" w:cs="Arial"/>
                <w:bCs/>
                <w:sz w:val="24"/>
                <w:szCs w:val="24"/>
                <w:lang w:eastAsia="en-GB"/>
              </w:rPr>
            </w:pPr>
          </w:p>
        </w:tc>
        <w:tc>
          <w:tcPr>
            <w:tcW w:w="1276" w:type="dxa"/>
            <w:hideMark/>
          </w:tcPr>
          <w:p w14:paraId="5E7F8122" w14:textId="77990E57" w:rsidR="004A671F" w:rsidRPr="00D564D6" w:rsidRDefault="004A671F" w:rsidP="004A671F">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31/03/1</w:t>
            </w:r>
            <w:r w:rsidR="002855C0" w:rsidRPr="00D564D6">
              <w:rPr>
                <w:rFonts w:ascii="Arial" w:eastAsia="Times New Roman" w:hAnsi="Arial" w:cs="Arial"/>
                <w:b/>
                <w:bCs/>
                <w:sz w:val="24"/>
                <w:szCs w:val="24"/>
                <w:lang w:eastAsia="en-GB"/>
              </w:rPr>
              <w:t>9</w:t>
            </w:r>
          </w:p>
          <w:p w14:paraId="5C89EE96" w14:textId="77777777" w:rsidR="004A671F" w:rsidRPr="00D564D6" w:rsidRDefault="004A671F" w:rsidP="004A671F">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Actual</w:t>
            </w:r>
          </w:p>
          <w:p w14:paraId="3292C649" w14:textId="77777777" w:rsidR="004A671F" w:rsidRPr="00D564D6" w:rsidRDefault="004A671F" w:rsidP="004A671F">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£m</w:t>
            </w:r>
          </w:p>
        </w:tc>
        <w:tc>
          <w:tcPr>
            <w:tcW w:w="1277" w:type="dxa"/>
            <w:hideMark/>
          </w:tcPr>
          <w:p w14:paraId="43CDB789" w14:textId="7E8807B0" w:rsidR="004A671F" w:rsidRPr="00D564D6" w:rsidRDefault="004A671F" w:rsidP="004A671F">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31/03/</w:t>
            </w:r>
            <w:r w:rsidR="002855C0" w:rsidRPr="00D564D6">
              <w:rPr>
                <w:rFonts w:ascii="Arial" w:eastAsia="Times New Roman" w:hAnsi="Arial" w:cs="Arial"/>
                <w:b/>
                <w:bCs/>
                <w:sz w:val="24"/>
                <w:szCs w:val="24"/>
                <w:lang w:eastAsia="en-GB"/>
              </w:rPr>
              <w:t>20</w:t>
            </w:r>
          </w:p>
          <w:p w14:paraId="4606D484" w14:textId="77777777" w:rsidR="004A671F" w:rsidRPr="00D564D6" w:rsidRDefault="004A671F" w:rsidP="004A671F">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Estimate</w:t>
            </w:r>
          </w:p>
          <w:p w14:paraId="0F13AC50" w14:textId="77777777" w:rsidR="004A671F" w:rsidRPr="00D564D6" w:rsidRDefault="004A671F" w:rsidP="004A671F">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£m</w:t>
            </w:r>
          </w:p>
        </w:tc>
        <w:tc>
          <w:tcPr>
            <w:tcW w:w="1277" w:type="dxa"/>
            <w:hideMark/>
          </w:tcPr>
          <w:p w14:paraId="00C6432C" w14:textId="286C8265" w:rsidR="004A671F" w:rsidRPr="00D564D6" w:rsidRDefault="004A671F" w:rsidP="004A671F">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31/03/2</w:t>
            </w:r>
            <w:r w:rsidR="002855C0" w:rsidRPr="00D564D6">
              <w:rPr>
                <w:rFonts w:ascii="Arial" w:eastAsia="Times New Roman" w:hAnsi="Arial" w:cs="Arial"/>
                <w:b/>
                <w:bCs/>
                <w:sz w:val="24"/>
                <w:szCs w:val="24"/>
                <w:lang w:eastAsia="en-GB"/>
              </w:rPr>
              <w:t>1</w:t>
            </w:r>
          </w:p>
          <w:p w14:paraId="510B94BF" w14:textId="77777777" w:rsidR="004A671F" w:rsidRPr="00D564D6" w:rsidRDefault="004A671F" w:rsidP="004A671F">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Forecast</w:t>
            </w:r>
          </w:p>
          <w:p w14:paraId="44565235" w14:textId="77777777" w:rsidR="004A671F" w:rsidRPr="00D564D6" w:rsidRDefault="004A671F" w:rsidP="004A671F">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£m</w:t>
            </w:r>
          </w:p>
        </w:tc>
        <w:tc>
          <w:tcPr>
            <w:tcW w:w="1277" w:type="dxa"/>
            <w:hideMark/>
          </w:tcPr>
          <w:p w14:paraId="3E9C92FF" w14:textId="6EA421D5" w:rsidR="004A671F" w:rsidRPr="00D564D6" w:rsidRDefault="004A671F" w:rsidP="004A671F">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31/03/2</w:t>
            </w:r>
            <w:r w:rsidR="002855C0" w:rsidRPr="00D564D6">
              <w:rPr>
                <w:rFonts w:ascii="Arial" w:eastAsia="Times New Roman" w:hAnsi="Arial" w:cs="Arial"/>
                <w:b/>
                <w:bCs/>
                <w:sz w:val="24"/>
                <w:szCs w:val="24"/>
                <w:lang w:eastAsia="en-GB"/>
              </w:rPr>
              <w:t>2</w:t>
            </w:r>
          </w:p>
          <w:p w14:paraId="17C00F04" w14:textId="77777777" w:rsidR="004A671F" w:rsidRPr="00D564D6" w:rsidRDefault="004A671F" w:rsidP="004A671F">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Forecast</w:t>
            </w:r>
          </w:p>
          <w:p w14:paraId="3E0CBFC8" w14:textId="77777777" w:rsidR="004A671F" w:rsidRPr="00D564D6" w:rsidRDefault="004A671F" w:rsidP="004A671F">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£m</w:t>
            </w:r>
          </w:p>
        </w:tc>
        <w:tc>
          <w:tcPr>
            <w:tcW w:w="1276" w:type="dxa"/>
            <w:hideMark/>
          </w:tcPr>
          <w:p w14:paraId="0A261F65" w14:textId="4C9D6FD0" w:rsidR="004A671F" w:rsidRPr="00D564D6" w:rsidRDefault="004A671F" w:rsidP="004A671F">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31/03/2</w:t>
            </w:r>
            <w:r w:rsidR="002855C0" w:rsidRPr="00D564D6">
              <w:rPr>
                <w:rFonts w:ascii="Arial" w:eastAsia="Times New Roman" w:hAnsi="Arial" w:cs="Arial"/>
                <w:b/>
                <w:bCs/>
                <w:sz w:val="24"/>
                <w:szCs w:val="24"/>
                <w:lang w:eastAsia="en-GB"/>
              </w:rPr>
              <w:t>3</w:t>
            </w:r>
          </w:p>
          <w:p w14:paraId="738F20F5" w14:textId="77777777" w:rsidR="004A671F" w:rsidRPr="00D564D6" w:rsidRDefault="004A671F" w:rsidP="004A671F">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Forecast</w:t>
            </w:r>
          </w:p>
          <w:p w14:paraId="54F04AD8" w14:textId="77777777" w:rsidR="004A671F" w:rsidRPr="00D564D6" w:rsidRDefault="004A671F" w:rsidP="004A671F">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£m</w:t>
            </w:r>
          </w:p>
        </w:tc>
      </w:tr>
      <w:tr w:rsidR="008E694E" w:rsidRPr="00D564D6" w14:paraId="4813697B" w14:textId="77777777" w:rsidTr="008E694E">
        <w:trPr>
          <w:trHeight w:val="340"/>
        </w:trPr>
        <w:tc>
          <w:tcPr>
            <w:tcW w:w="3937" w:type="dxa"/>
            <w:vAlign w:val="center"/>
            <w:hideMark/>
          </w:tcPr>
          <w:p w14:paraId="7D19A644" w14:textId="77777777" w:rsidR="008E694E" w:rsidRPr="00D564D6" w:rsidRDefault="008E694E" w:rsidP="008E694E">
            <w:pPr>
              <w:spacing w:after="0"/>
              <w:rPr>
                <w:rFonts w:ascii="Arial" w:eastAsia="Times New Roman" w:hAnsi="Arial" w:cs="Arial"/>
                <w:bCs/>
                <w:sz w:val="24"/>
                <w:szCs w:val="24"/>
                <w:lang w:eastAsia="en-GB"/>
              </w:rPr>
            </w:pPr>
            <w:r w:rsidRPr="00D564D6">
              <w:rPr>
                <w:rFonts w:ascii="Arial" w:eastAsia="Times New Roman" w:hAnsi="Arial" w:cs="Arial"/>
                <w:bCs/>
                <w:sz w:val="24"/>
                <w:szCs w:val="24"/>
                <w:lang w:eastAsia="en-GB"/>
              </w:rPr>
              <w:t>Capital Financing Requirement</w:t>
            </w:r>
          </w:p>
        </w:tc>
        <w:tc>
          <w:tcPr>
            <w:tcW w:w="1276" w:type="dxa"/>
            <w:vAlign w:val="center"/>
            <w:hideMark/>
          </w:tcPr>
          <w:p w14:paraId="5C0C79F5" w14:textId="0EF839E5" w:rsidR="008E694E" w:rsidRPr="00D564D6" w:rsidRDefault="00900172"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58.1</w:t>
            </w:r>
          </w:p>
        </w:tc>
        <w:tc>
          <w:tcPr>
            <w:tcW w:w="1277" w:type="dxa"/>
            <w:vAlign w:val="center"/>
            <w:hideMark/>
          </w:tcPr>
          <w:p w14:paraId="65AFA490" w14:textId="26244B0B" w:rsidR="008E694E" w:rsidRPr="00D564D6" w:rsidRDefault="00093D5C"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58.9</w:t>
            </w:r>
          </w:p>
        </w:tc>
        <w:tc>
          <w:tcPr>
            <w:tcW w:w="1277" w:type="dxa"/>
            <w:vAlign w:val="center"/>
            <w:hideMark/>
          </w:tcPr>
          <w:p w14:paraId="1E490C1F" w14:textId="3755BF5D" w:rsidR="008E694E" w:rsidRPr="00D564D6" w:rsidRDefault="00D30609"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52.3</w:t>
            </w:r>
          </w:p>
        </w:tc>
        <w:tc>
          <w:tcPr>
            <w:tcW w:w="1277" w:type="dxa"/>
            <w:vAlign w:val="center"/>
            <w:hideMark/>
          </w:tcPr>
          <w:p w14:paraId="7362B2A3" w14:textId="5448549B" w:rsidR="008E694E" w:rsidRPr="00D564D6" w:rsidRDefault="0070666C"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49.2</w:t>
            </w:r>
          </w:p>
        </w:tc>
        <w:tc>
          <w:tcPr>
            <w:tcW w:w="1276" w:type="dxa"/>
            <w:vAlign w:val="center"/>
            <w:hideMark/>
          </w:tcPr>
          <w:p w14:paraId="2C6C0BF4" w14:textId="54A90C23" w:rsidR="008E694E" w:rsidRPr="00D564D6" w:rsidRDefault="003538D2"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44.8</w:t>
            </w:r>
          </w:p>
        </w:tc>
      </w:tr>
      <w:tr w:rsidR="008E694E" w:rsidRPr="00D564D6" w14:paraId="3194C97F" w14:textId="77777777" w:rsidTr="008E694E">
        <w:trPr>
          <w:trHeight w:val="340"/>
        </w:trPr>
        <w:tc>
          <w:tcPr>
            <w:tcW w:w="3937" w:type="dxa"/>
            <w:tcBorders>
              <w:top w:val="nil"/>
              <w:left w:val="nil"/>
              <w:bottom w:val="single" w:sz="4" w:space="0" w:color="auto"/>
              <w:right w:val="nil"/>
            </w:tcBorders>
            <w:vAlign w:val="center"/>
            <w:hideMark/>
          </w:tcPr>
          <w:p w14:paraId="2BC2655B" w14:textId="77777777" w:rsidR="008E694E" w:rsidRPr="00D564D6" w:rsidRDefault="008E694E" w:rsidP="008E694E">
            <w:pPr>
              <w:spacing w:after="0"/>
              <w:rPr>
                <w:rFonts w:ascii="Arial" w:eastAsia="Times New Roman" w:hAnsi="Arial" w:cs="Arial"/>
                <w:bCs/>
                <w:sz w:val="24"/>
                <w:szCs w:val="24"/>
                <w:lang w:eastAsia="en-GB"/>
              </w:rPr>
            </w:pPr>
            <w:r w:rsidRPr="00D564D6">
              <w:rPr>
                <w:rFonts w:ascii="Arial" w:eastAsia="Times New Roman" w:hAnsi="Arial" w:cs="Arial"/>
                <w:bCs/>
                <w:sz w:val="24"/>
                <w:szCs w:val="24"/>
                <w:lang w:eastAsia="en-GB"/>
              </w:rPr>
              <w:t>Less: External borrowing (PWLB)</w:t>
            </w:r>
          </w:p>
        </w:tc>
        <w:tc>
          <w:tcPr>
            <w:tcW w:w="1276" w:type="dxa"/>
            <w:tcBorders>
              <w:top w:val="nil"/>
              <w:left w:val="nil"/>
              <w:bottom w:val="single" w:sz="4" w:space="0" w:color="auto"/>
              <w:right w:val="nil"/>
            </w:tcBorders>
            <w:vAlign w:val="center"/>
            <w:hideMark/>
          </w:tcPr>
          <w:p w14:paraId="5BB72D72" w14:textId="6A7F906B"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(31.</w:t>
            </w:r>
            <w:r w:rsidR="006F14D2" w:rsidRPr="00D564D6">
              <w:rPr>
                <w:rFonts w:ascii="Arial" w:eastAsia="Times New Roman" w:hAnsi="Arial" w:cs="Arial"/>
                <w:bCs/>
                <w:sz w:val="24"/>
                <w:szCs w:val="24"/>
                <w:lang w:eastAsia="en-GB"/>
              </w:rPr>
              <w:t>0)</w:t>
            </w:r>
          </w:p>
        </w:tc>
        <w:tc>
          <w:tcPr>
            <w:tcW w:w="1277" w:type="dxa"/>
            <w:tcBorders>
              <w:top w:val="nil"/>
              <w:left w:val="nil"/>
              <w:bottom w:val="single" w:sz="4" w:space="0" w:color="auto"/>
              <w:right w:val="nil"/>
            </w:tcBorders>
            <w:vAlign w:val="center"/>
            <w:hideMark/>
          </w:tcPr>
          <w:p w14:paraId="1D576301" w14:textId="4FF41736"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(3</w:t>
            </w:r>
            <w:r w:rsidR="00EE07A7" w:rsidRPr="00D564D6">
              <w:rPr>
                <w:rFonts w:ascii="Arial" w:eastAsia="Times New Roman" w:hAnsi="Arial" w:cs="Arial"/>
                <w:bCs/>
                <w:sz w:val="24"/>
                <w:szCs w:val="24"/>
                <w:lang w:eastAsia="en-GB"/>
              </w:rPr>
              <w:t>0</w:t>
            </w:r>
            <w:r w:rsidRPr="00D564D6">
              <w:rPr>
                <w:rFonts w:ascii="Arial" w:eastAsia="Times New Roman" w:hAnsi="Arial" w:cs="Arial"/>
                <w:bCs/>
                <w:sz w:val="24"/>
                <w:szCs w:val="24"/>
                <w:lang w:eastAsia="en-GB"/>
              </w:rPr>
              <w:t>.</w:t>
            </w:r>
            <w:r w:rsidR="00EE07A7" w:rsidRPr="00D564D6">
              <w:rPr>
                <w:rFonts w:ascii="Arial" w:eastAsia="Times New Roman" w:hAnsi="Arial" w:cs="Arial"/>
                <w:bCs/>
                <w:sz w:val="24"/>
                <w:szCs w:val="24"/>
                <w:lang w:eastAsia="en-GB"/>
              </w:rPr>
              <w:t>7</w:t>
            </w:r>
            <w:r w:rsidRPr="00D564D6">
              <w:rPr>
                <w:rFonts w:ascii="Arial" w:eastAsia="Times New Roman" w:hAnsi="Arial" w:cs="Arial"/>
                <w:bCs/>
                <w:sz w:val="24"/>
                <w:szCs w:val="24"/>
                <w:lang w:eastAsia="en-GB"/>
              </w:rPr>
              <w:t>)</w:t>
            </w:r>
          </w:p>
        </w:tc>
        <w:tc>
          <w:tcPr>
            <w:tcW w:w="1277" w:type="dxa"/>
            <w:tcBorders>
              <w:top w:val="nil"/>
              <w:left w:val="nil"/>
              <w:bottom w:val="single" w:sz="4" w:space="0" w:color="auto"/>
              <w:right w:val="nil"/>
            </w:tcBorders>
            <w:vAlign w:val="center"/>
            <w:hideMark/>
          </w:tcPr>
          <w:p w14:paraId="3C7DE91E" w14:textId="57C6175E"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(30.</w:t>
            </w:r>
            <w:r w:rsidR="0002053D" w:rsidRPr="00D564D6">
              <w:rPr>
                <w:rFonts w:ascii="Arial" w:eastAsia="Times New Roman" w:hAnsi="Arial" w:cs="Arial"/>
                <w:bCs/>
                <w:sz w:val="24"/>
                <w:szCs w:val="24"/>
                <w:lang w:eastAsia="en-GB"/>
              </w:rPr>
              <w:t>7</w:t>
            </w:r>
            <w:r w:rsidRPr="00D564D6">
              <w:rPr>
                <w:rFonts w:ascii="Arial" w:eastAsia="Times New Roman" w:hAnsi="Arial" w:cs="Arial"/>
                <w:bCs/>
                <w:sz w:val="24"/>
                <w:szCs w:val="24"/>
                <w:lang w:eastAsia="en-GB"/>
              </w:rPr>
              <w:t>)</w:t>
            </w:r>
          </w:p>
        </w:tc>
        <w:tc>
          <w:tcPr>
            <w:tcW w:w="1277" w:type="dxa"/>
            <w:tcBorders>
              <w:top w:val="nil"/>
              <w:left w:val="nil"/>
              <w:bottom w:val="single" w:sz="4" w:space="0" w:color="auto"/>
              <w:right w:val="nil"/>
            </w:tcBorders>
            <w:vAlign w:val="center"/>
            <w:hideMark/>
          </w:tcPr>
          <w:p w14:paraId="4564EFE0" w14:textId="6EDC9E75"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w:t>
            </w:r>
            <w:r w:rsidR="00265A3A" w:rsidRPr="00D564D6">
              <w:rPr>
                <w:rFonts w:ascii="Arial" w:eastAsia="Times New Roman" w:hAnsi="Arial" w:cs="Arial"/>
                <w:bCs/>
                <w:sz w:val="24"/>
                <w:szCs w:val="24"/>
                <w:lang w:eastAsia="en-GB"/>
              </w:rPr>
              <w:t>29.7</w:t>
            </w:r>
            <w:r w:rsidRPr="00D564D6">
              <w:rPr>
                <w:rFonts w:ascii="Arial" w:eastAsia="Times New Roman" w:hAnsi="Arial" w:cs="Arial"/>
                <w:bCs/>
                <w:sz w:val="24"/>
                <w:szCs w:val="24"/>
                <w:lang w:eastAsia="en-GB"/>
              </w:rPr>
              <w:t>)</w:t>
            </w:r>
          </w:p>
        </w:tc>
        <w:tc>
          <w:tcPr>
            <w:tcW w:w="1276" w:type="dxa"/>
            <w:tcBorders>
              <w:top w:val="nil"/>
              <w:left w:val="nil"/>
              <w:bottom w:val="single" w:sz="4" w:space="0" w:color="auto"/>
              <w:right w:val="nil"/>
            </w:tcBorders>
            <w:vAlign w:val="center"/>
            <w:hideMark/>
          </w:tcPr>
          <w:p w14:paraId="4C534542" w14:textId="0585BD2E"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w:t>
            </w:r>
            <w:r w:rsidR="00E220B4" w:rsidRPr="00D564D6">
              <w:rPr>
                <w:rFonts w:ascii="Arial" w:eastAsia="Times New Roman" w:hAnsi="Arial" w:cs="Arial"/>
                <w:bCs/>
                <w:sz w:val="24"/>
                <w:szCs w:val="24"/>
                <w:lang w:eastAsia="en-GB"/>
              </w:rPr>
              <w:t>2</w:t>
            </w:r>
            <w:r w:rsidRPr="00D564D6">
              <w:rPr>
                <w:rFonts w:ascii="Arial" w:eastAsia="Times New Roman" w:hAnsi="Arial" w:cs="Arial"/>
                <w:bCs/>
                <w:sz w:val="24"/>
                <w:szCs w:val="24"/>
                <w:lang w:eastAsia="en-GB"/>
              </w:rPr>
              <w:t>9.7)</w:t>
            </w:r>
          </w:p>
        </w:tc>
      </w:tr>
      <w:tr w:rsidR="008E694E" w:rsidRPr="00D564D6" w14:paraId="6A6AFE36" w14:textId="77777777" w:rsidTr="008E694E">
        <w:trPr>
          <w:trHeight w:val="340"/>
        </w:trPr>
        <w:tc>
          <w:tcPr>
            <w:tcW w:w="3937" w:type="dxa"/>
            <w:tcBorders>
              <w:top w:val="single" w:sz="4" w:space="0" w:color="auto"/>
              <w:left w:val="nil"/>
              <w:bottom w:val="nil"/>
              <w:right w:val="nil"/>
            </w:tcBorders>
            <w:vAlign w:val="center"/>
            <w:hideMark/>
          </w:tcPr>
          <w:p w14:paraId="3402E2C8" w14:textId="33060078" w:rsidR="008E694E" w:rsidRPr="00D564D6" w:rsidRDefault="008E694E" w:rsidP="008E694E">
            <w:pPr>
              <w:spacing w:after="0"/>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Internal borrowing</w:t>
            </w:r>
          </w:p>
        </w:tc>
        <w:tc>
          <w:tcPr>
            <w:tcW w:w="1276" w:type="dxa"/>
            <w:tcBorders>
              <w:top w:val="single" w:sz="4" w:space="0" w:color="auto"/>
              <w:left w:val="nil"/>
              <w:bottom w:val="nil"/>
              <w:right w:val="nil"/>
            </w:tcBorders>
            <w:vAlign w:val="center"/>
            <w:hideMark/>
          </w:tcPr>
          <w:p w14:paraId="6DC2DDBB" w14:textId="437B318E" w:rsidR="008E694E" w:rsidRPr="00D564D6" w:rsidRDefault="006F14D2" w:rsidP="008E694E">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27.1</w:t>
            </w:r>
          </w:p>
        </w:tc>
        <w:tc>
          <w:tcPr>
            <w:tcW w:w="1277" w:type="dxa"/>
            <w:tcBorders>
              <w:top w:val="single" w:sz="4" w:space="0" w:color="auto"/>
              <w:left w:val="nil"/>
              <w:bottom w:val="nil"/>
              <w:right w:val="nil"/>
            </w:tcBorders>
            <w:vAlign w:val="center"/>
            <w:hideMark/>
          </w:tcPr>
          <w:p w14:paraId="67C14F49" w14:textId="7360C535" w:rsidR="008E694E" w:rsidRPr="00D564D6" w:rsidRDefault="00EE07A7" w:rsidP="008E694E">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2</w:t>
            </w:r>
            <w:r w:rsidR="00F15047" w:rsidRPr="00D564D6">
              <w:rPr>
                <w:rFonts w:ascii="Arial" w:eastAsia="Times New Roman" w:hAnsi="Arial" w:cs="Arial"/>
                <w:b/>
                <w:bCs/>
                <w:sz w:val="24"/>
                <w:szCs w:val="24"/>
                <w:lang w:eastAsia="en-GB"/>
              </w:rPr>
              <w:t>8</w:t>
            </w:r>
            <w:r w:rsidRPr="00D564D6">
              <w:rPr>
                <w:rFonts w:ascii="Arial" w:eastAsia="Times New Roman" w:hAnsi="Arial" w:cs="Arial"/>
                <w:b/>
                <w:bCs/>
                <w:sz w:val="24"/>
                <w:szCs w:val="24"/>
                <w:lang w:eastAsia="en-GB"/>
              </w:rPr>
              <w:t>.</w:t>
            </w:r>
            <w:r w:rsidR="00F15047" w:rsidRPr="00D564D6">
              <w:rPr>
                <w:rFonts w:ascii="Arial" w:eastAsia="Times New Roman" w:hAnsi="Arial" w:cs="Arial"/>
                <w:b/>
                <w:bCs/>
                <w:sz w:val="24"/>
                <w:szCs w:val="24"/>
                <w:lang w:eastAsia="en-GB"/>
              </w:rPr>
              <w:t>2</w:t>
            </w:r>
          </w:p>
        </w:tc>
        <w:tc>
          <w:tcPr>
            <w:tcW w:w="1277" w:type="dxa"/>
            <w:tcBorders>
              <w:top w:val="single" w:sz="4" w:space="0" w:color="auto"/>
              <w:left w:val="nil"/>
              <w:bottom w:val="nil"/>
              <w:right w:val="nil"/>
            </w:tcBorders>
            <w:vAlign w:val="center"/>
            <w:hideMark/>
          </w:tcPr>
          <w:p w14:paraId="7E0B8333" w14:textId="56EE6421" w:rsidR="008E694E" w:rsidRPr="00D564D6" w:rsidRDefault="002F0FF8" w:rsidP="008E694E">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21.6</w:t>
            </w:r>
          </w:p>
        </w:tc>
        <w:tc>
          <w:tcPr>
            <w:tcW w:w="1277" w:type="dxa"/>
            <w:tcBorders>
              <w:top w:val="single" w:sz="4" w:space="0" w:color="auto"/>
              <w:left w:val="nil"/>
              <w:bottom w:val="nil"/>
              <w:right w:val="nil"/>
            </w:tcBorders>
            <w:vAlign w:val="center"/>
            <w:hideMark/>
          </w:tcPr>
          <w:p w14:paraId="1AB53A02" w14:textId="6F6E3B0C" w:rsidR="008E694E" w:rsidRPr="00D564D6" w:rsidRDefault="00886821" w:rsidP="008E694E">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19.5</w:t>
            </w:r>
          </w:p>
        </w:tc>
        <w:tc>
          <w:tcPr>
            <w:tcW w:w="1276" w:type="dxa"/>
            <w:tcBorders>
              <w:top w:val="single" w:sz="4" w:space="0" w:color="auto"/>
              <w:left w:val="nil"/>
              <w:bottom w:val="nil"/>
              <w:right w:val="nil"/>
            </w:tcBorders>
            <w:vAlign w:val="center"/>
            <w:hideMark/>
          </w:tcPr>
          <w:p w14:paraId="357F2995" w14:textId="275167E3" w:rsidR="001617EA" w:rsidRPr="00D564D6" w:rsidRDefault="001617EA" w:rsidP="001617EA">
            <w:pPr>
              <w:spacing w:after="0"/>
              <w:jc w:val="right"/>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15.1</w:t>
            </w:r>
          </w:p>
        </w:tc>
      </w:tr>
      <w:tr w:rsidR="008E694E" w:rsidRPr="00D564D6" w14:paraId="1B9D280D" w14:textId="77777777" w:rsidTr="008E694E">
        <w:trPr>
          <w:trHeight w:val="340"/>
        </w:trPr>
        <w:tc>
          <w:tcPr>
            <w:tcW w:w="3937" w:type="dxa"/>
            <w:vAlign w:val="center"/>
          </w:tcPr>
          <w:p w14:paraId="25A74997" w14:textId="77777777" w:rsidR="008E694E" w:rsidRPr="00D564D6" w:rsidRDefault="008E694E" w:rsidP="008E694E">
            <w:pPr>
              <w:spacing w:after="0"/>
              <w:rPr>
                <w:rFonts w:ascii="Arial" w:eastAsia="Times New Roman" w:hAnsi="Arial" w:cs="Arial"/>
                <w:b/>
                <w:bCs/>
                <w:sz w:val="24"/>
                <w:szCs w:val="24"/>
                <w:lang w:eastAsia="en-GB"/>
              </w:rPr>
            </w:pPr>
          </w:p>
        </w:tc>
        <w:tc>
          <w:tcPr>
            <w:tcW w:w="1276" w:type="dxa"/>
            <w:vAlign w:val="center"/>
          </w:tcPr>
          <w:p w14:paraId="1DBEF5E2" w14:textId="77777777" w:rsidR="008E694E" w:rsidRPr="00D564D6" w:rsidRDefault="008E694E" w:rsidP="008E694E">
            <w:pPr>
              <w:spacing w:after="0"/>
              <w:jc w:val="right"/>
              <w:rPr>
                <w:rFonts w:ascii="Arial" w:eastAsia="Times New Roman" w:hAnsi="Arial" w:cs="Arial"/>
                <w:b/>
                <w:bCs/>
                <w:sz w:val="24"/>
                <w:szCs w:val="24"/>
                <w:lang w:eastAsia="en-GB"/>
              </w:rPr>
            </w:pPr>
          </w:p>
        </w:tc>
        <w:tc>
          <w:tcPr>
            <w:tcW w:w="1277" w:type="dxa"/>
            <w:vAlign w:val="center"/>
          </w:tcPr>
          <w:p w14:paraId="41EB9247" w14:textId="77777777" w:rsidR="008E694E" w:rsidRPr="00D564D6" w:rsidRDefault="008E694E" w:rsidP="008E694E">
            <w:pPr>
              <w:spacing w:after="0"/>
              <w:jc w:val="right"/>
              <w:rPr>
                <w:rFonts w:ascii="Arial" w:eastAsia="Times New Roman" w:hAnsi="Arial" w:cs="Arial"/>
                <w:b/>
                <w:bCs/>
                <w:sz w:val="24"/>
                <w:szCs w:val="24"/>
                <w:lang w:eastAsia="en-GB"/>
              </w:rPr>
            </w:pPr>
          </w:p>
        </w:tc>
        <w:tc>
          <w:tcPr>
            <w:tcW w:w="1277" w:type="dxa"/>
            <w:vAlign w:val="center"/>
          </w:tcPr>
          <w:p w14:paraId="055789F5" w14:textId="77777777" w:rsidR="008E694E" w:rsidRPr="00D564D6" w:rsidRDefault="008E694E" w:rsidP="008E694E">
            <w:pPr>
              <w:spacing w:after="0"/>
              <w:jc w:val="right"/>
              <w:rPr>
                <w:rFonts w:ascii="Arial" w:eastAsia="Times New Roman" w:hAnsi="Arial" w:cs="Arial"/>
                <w:b/>
                <w:bCs/>
                <w:sz w:val="24"/>
                <w:szCs w:val="24"/>
                <w:lang w:eastAsia="en-GB"/>
              </w:rPr>
            </w:pPr>
          </w:p>
        </w:tc>
        <w:tc>
          <w:tcPr>
            <w:tcW w:w="1277" w:type="dxa"/>
            <w:vAlign w:val="center"/>
          </w:tcPr>
          <w:p w14:paraId="0A543F85" w14:textId="77777777" w:rsidR="008E694E" w:rsidRPr="00D564D6" w:rsidRDefault="008E694E" w:rsidP="008E694E">
            <w:pPr>
              <w:spacing w:after="0"/>
              <w:jc w:val="right"/>
              <w:rPr>
                <w:rFonts w:ascii="Arial" w:eastAsia="Times New Roman" w:hAnsi="Arial" w:cs="Arial"/>
                <w:b/>
                <w:bCs/>
                <w:sz w:val="24"/>
                <w:szCs w:val="24"/>
                <w:lang w:eastAsia="en-GB"/>
              </w:rPr>
            </w:pPr>
          </w:p>
        </w:tc>
        <w:tc>
          <w:tcPr>
            <w:tcW w:w="1276" w:type="dxa"/>
            <w:vAlign w:val="center"/>
          </w:tcPr>
          <w:p w14:paraId="5D1577AE" w14:textId="77777777" w:rsidR="008E694E" w:rsidRPr="00D564D6" w:rsidRDefault="008E694E" w:rsidP="008E694E">
            <w:pPr>
              <w:spacing w:after="0"/>
              <w:jc w:val="right"/>
              <w:rPr>
                <w:rFonts w:ascii="Arial" w:eastAsia="Times New Roman" w:hAnsi="Arial" w:cs="Arial"/>
                <w:b/>
                <w:bCs/>
                <w:sz w:val="24"/>
                <w:szCs w:val="24"/>
                <w:lang w:eastAsia="en-GB"/>
              </w:rPr>
            </w:pPr>
          </w:p>
        </w:tc>
      </w:tr>
      <w:tr w:rsidR="008E694E" w:rsidRPr="00D564D6" w14:paraId="3F5150D7" w14:textId="77777777" w:rsidTr="008E694E">
        <w:trPr>
          <w:trHeight w:val="340"/>
        </w:trPr>
        <w:tc>
          <w:tcPr>
            <w:tcW w:w="3937" w:type="dxa"/>
            <w:vAlign w:val="center"/>
            <w:hideMark/>
          </w:tcPr>
          <w:p w14:paraId="77164C64" w14:textId="77777777" w:rsidR="008E694E" w:rsidRPr="00D564D6" w:rsidRDefault="008E694E" w:rsidP="008E694E">
            <w:pPr>
              <w:spacing w:after="0"/>
              <w:rPr>
                <w:rFonts w:ascii="Arial" w:eastAsia="Times New Roman" w:hAnsi="Arial" w:cs="Arial"/>
                <w:bCs/>
                <w:sz w:val="24"/>
                <w:szCs w:val="24"/>
                <w:lang w:eastAsia="en-GB"/>
              </w:rPr>
            </w:pPr>
            <w:r w:rsidRPr="00D564D6">
              <w:rPr>
                <w:rFonts w:ascii="Arial" w:eastAsia="Times New Roman" w:hAnsi="Arial" w:cs="Arial"/>
                <w:bCs/>
                <w:sz w:val="24"/>
                <w:szCs w:val="24"/>
                <w:lang w:eastAsia="en-GB"/>
              </w:rPr>
              <w:t>Less: Usable reserves</w:t>
            </w:r>
          </w:p>
        </w:tc>
        <w:tc>
          <w:tcPr>
            <w:tcW w:w="1276" w:type="dxa"/>
            <w:vAlign w:val="center"/>
          </w:tcPr>
          <w:p w14:paraId="2D7D9815" w14:textId="77777777" w:rsidR="008E694E" w:rsidRPr="00D564D6" w:rsidRDefault="008E694E" w:rsidP="008E694E">
            <w:pPr>
              <w:spacing w:after="0"/>
              <w:jc w:val="right"/>
              <w:rPr>
                <w:rFonts w:ascii="Arial" w:eastAsia="Times New Roman" w:hAnsi="Arial" w:cs="Arial"/>
                <w:bCs/>
                <w:sz w:val="24"/>
                <w:szCs w:val="24"/>
                <w:lang w:eastAsia="en-GB"/>
              </w:rPr>
            </w:pPr>
          </w:p>
        </w:tc>
        <w:tc>
          <w:tcPr>
            <w:tcW w:w="1277" w:type="dxa"/>
            <w:vAlign w:val="center"/>
          </w:tcPr>
          <w:p w14:paraId="46402BEE" w14:textId="77777777" w:rsidR="008E694E" w:rsidRPr="00D564D6" w:rsidRDefault="008E694E" w:rsidP="008E694E">
            <w:pPr>
              <w:spacing w:after="0"/>
              <w:jc w:val="right"/>
              <w:rPr>
                <w:rFonts w:ascii="Arial" w:eastAsia="Times New Roman" w:hAnsi="Arial" w:cs="Arial"/>
                <w:bCs/>
                <w:sz w:val="24"/>
                <w:szCs w:val="24"/>
                <w:lang w:eastAsia="en-GB"/>
              </w:rPr>
            </w:pPr>
          </w:p>
        </w:tc>
        <w:tc>
          <w:tcPr>
            <w:tcW w:w="1277" w:type="dxa"/>
            <w:vAlign w:val="center"/>
          </w:tcPr>
          <w:p w14:paraId="26E21C2F" w14:textId="77777777" w:rsidR="008E694E" w:rsidRPr="00D564D6" w:rsidRDefault="008E694E" w:rsidP="008E694E">
            <w:pPr>
              <w:spacing w:after="0"/>
              <w:jc w:val="right"/>
              <w:rPr>
                <w:rFonts w:ascii="Arial" w:eastAsia="Times New Roman" w:hAnsi="Arial" w:cs="Arial"/>
                <w:bCs/>
                <w:sz w:val="24"/>
                <w:szCs w:val="24"/>
                <w:lang w:eastAsia="en-GB"/>
              </w:rPr>
            </w:pPr>
          </w:p>
        </w:tc>
        <w:tc>
          <w:tcPr>
            <w:tcW w:w="1277" w:type="dxa"/>
            <w:vAlign w:val="center"/>
          </w:tcPr>
          <w:p w14:paraId="4B5FFEEE" w14:textId="77777777" w:rsidR="008E694E" w:rsidRPr="00D564D6" w:rsidRDefault="008E694E" w:rsidP="008E694E">
            <w:pPr>
              <w:spacing w:after="0"/>
              <w:jc w:val="right"/>
              <w:rPr>
                <w:rFonts w:ascii="Arial" w:eastAsia="Times New Roman" w:hAnsi="Arial" w:cs="Arial"/>
                <w:bCs/>
                <w:sz w:val="24"/>
                <w:szCs w:val="24"/>
                <w:lang w:eastAsia="en-GB"/>
              </w:rPr>
            </w:pPr>
          </w:p>
        </w:tc>
        <w:tc>
          <w:tcPr>
            <w:tcW w:w="1276" w:type="dxa"/>
            <w:vAlign w:val="center"/>
          </w:tcPr>
          <w:p w14:paraId="3CC3D1B8" w14:textId="77777777" w:rsidR="008E694E" w:rsidRPr="00D564D6" w:rsidRDefault="008E694E" w:rsidP="008E694E">
            <w:pPr>
              <w:spacing w:after="0"/>
              <w:jc w:val="right"/>
              <w:rPr>
                <w:rFonts w:ascii="Arial" w:eastAsia="Times New Roman" w:hAnsi="Arial" w:cs="Arial"/>
                <w:bCs/>
                <w:sz w:val="24"/>
                <w:szCs w:val="24"/>
                <w:lang w:eastAsia="en-GB"/>
              </w:rPr>
            </w:pPr>
          </w:p>
        </w:tc>
      </w:tr>
      <w:tr w:rsidR="008E694E" w:rsidRPr="00D564D6" w14:paraId="6B8FD4D5" w14:textId="77777777" w:rsidTr="008E694E">
        <w:trPr>
          <w:trHeight w:val="340"/>
        </w:trPr>
        <w:tc>
          <w:tcPr>
            <w:tcW w:w="3937" w:type="dxa"/>
            <w:vAlign w:val="center"/>
            <w:hideMark/>
          </w:tcPr>
          <w:p w14:paraId="2D972F82" w14:textId="77777777" w:rsidR="008E694E" w:rsidRPr="00D564D6" w:rsidRDefault="008E694E" w:rsidP="0016239A">
            <w:pPr>
              <w:spacing w:after="0"/>
              <w:ind w:firstLine="142"/>
              <w:rPr>
                <w:rFonts w:ascii="Arial" w:eastAsia="Times New Roman" w:hAnsi="Arial" w:cs="Arial"/>
                <w:bCs/>
                <w:sz w:val="24"/>
                <w:szCs w:val="24"/>
                <w:lang w:eastAsia="en-GB"/>
              </w:rPr>
            </w:pPr>
            <w:r w:rsidRPr="00D564D6">
              <w:rPr>
                <w:rFonts w:ascii="Arial" w:eastAsia="Times New Roman" w:hAnsi="Arial" w:cs="Arial"/>
                <w:bCs/>
                <w:sz w:val="24"/>
                <w:szCs w:val="24"/>
                <w:lang w:eastAsia="en-GB"/>
              </w:rPr>
              <w:t>- Police and Crime Commissioner</w:t>
            </w:r>
          </w:p>
        </w:tc>
        <w:tc>
          <w:tcPr>
            <w:tcW w:w="1276" w:type="dxa"/>
            <w:vAlign w:val="center"/>
            <w:hideMark/>
          </w:tcPr>
          <w:p w14:paraId="1C065B2E" w14:textId="09686415"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w:t>
            </w:r>
            <w:r w:rsidR="006F14D2" w:rsidRPr="00D564D6">
              <w:rPr>
                <w:rFonts w:ascii="Arial" w:eastAsia="Times New Roman" w:hAnsi="Arial" w:cs="Arial"/>
                <w:bCs/>
                <w:sz w:val="24"/>
                <w:szCs w:val="24"/>
                <w:lang w:eastAsia="en-GB"/>
              </w:rPr>
              <w:t>56</w:t>
            </w:r>
            <w:r w:rsidRPr="00D564D6">
              <w:rPr>
                <w:rFonts w:ascii="Arial" w:eastAsia="Times New Roman" w:hAnsi="Arial" w:cs="Arial"/>
                <w:bCs/>
                <w:sz w:val="24"/>
                <w:szCs w:val="24"/>
                <w:lang w:eastAsia="en-GB"/>
              </w:rPr>
              <w:t>.6)</w:t>
            </w:r>
          </w:p>
        </w:tc>
        <w:tc>
          <w:tcPr>
            <w:tcW w:w="1277" w:type="dxa"/>
            <w:vAlign w:val="center"/>
            <w:hideMark/>
          </w:tcPr>
          <w:p w14:paraId="3AE4BC18" w14:textId="22D4C95A"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w:t>
            </w:r>
            <w:r w:rsidR="00CF1CE0">
              <w:rPr>
                <w:rFonts w:ascii="Arial" w:eastAsia="Times New Roman" w:hAnsi="Arial" w:cs="Arial"/>
                <w:bCs/>
                <w:sz w:val="24"/>
                <w:szCs w:val="24"/>
                <w:lang w:eastAsia="en-GB"/>
              </w:rPr>
              <w:t>46.8</w:t>
            </w:r>
            <w:r w:rsidRPr="00D564D6">
              <w:rPr>
                <w:rFonts w:ascii="Arial" w:eastAsia="Times New Roman" w:hAnsi="Arial" w:cs="Arial"/>
                <w:bCs/>
                <w:sz w:val="24"/>
                <w:szCs w:val="24"/>
                <w:lang w:eastAsia="en-GB"/>
              </w:rPr>
              <w:t>)</w:t>
            </w:r>
          </w:p>
        </w:tc>
        <w:tc>
          <w:tcPr>
            <w:tcW w:w="1277" w:type="dxa"/>
            <w:vAlign w:val="center"/>
            <w:hideMark/>
          </w:tcPr>
          <w:p w14:paraId="7410AA06" w14:textId="48373758"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w:t>
            </w:r>
            <w:r w:rsidR="00CF1CE0">
              <w:rPr>
                <w:rFonts w:ascii="Arial" w:eastAsia="Times New Roman" w:hAnsi="Arial" w:cs="Arial"/>
                <w:bCs/>
                <w:sz w:val="24"/>
                <w:szCs w:val="24"/>
                <w:lang w:eastAsia="en-GB"/>
              </w:rPr>
              <w:t>39.8</w:t>
            </w:r>
            <w:r w:rsidRPr="00D564D6">
              <w:rPr>
                <w:rFonts w:ascii="Arial" w:eastAsia="Times New Roman" w:hAnsi="Arial" w:cs="Arial"/>
                <w:bCs/>
                <w:sz w:val="24"/>
                <w:szCs w:val="24"/>
                <w:lang w:eastAsia="en-GB"/>
              </w:rPr>
              <w:t>)</w:t>
            </w:r>
          </w:p>
        </w:tc>
        <w:tc>
          <w:tcPr>
            <w:tcW w:w="1277" w:type="dxa"/>
            <w:vAlign w:val="center"/>
            <w:hideMark/>
          </w:tcPr>
          <w:p w14:paraId="3E57A90F" w14:textId="4CC15397"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w:t>
            </w:r>
            <w:r w:rsidR="00CF1CE0">
              <w:rPr>
                <w:rFonts w:ascii="Arial" w:eastAsia="Times New Roman" w:hAnsi="Arial" w:cs="Arial"/>
                <w:bCs/>
                <w:sz w:val="24"/>
                <w:szCs w:val="24"/>
                <w:lang w:eastAsia="en-GB"/>
              </w:rPr>
              <w:t>28.9</w:t>
            </w:r>
            <w:r w:rsidRPr="00D564D6">
              <w:rPr>
                <w:rFonts w:ascii="Arial" w:eastAsia="Times New Roman" w:hAnsi="Arial" w:cs="Arial"/>
                <w:bCs/>
                <w:sz w:val="24"/>
                <w:szCs w:val="24"/>
                <w:lang w:eastAsia="en-GB"/>
              </w:rPr>
              <w:t>)</w:t>
            </w:r>
          </w:p>
        </w:tc>
        <w:tc>
          <w:tcPr>
            <w:tcW w:w="1276" w:type="dxa"/>
            <w:vAlign w:val="center"/>
            <w:hideMark/>
          </w:tcPr>
          <w:p w14:paraId="43FD681C" w14:textId="28546306"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w:t>
            </w:r>
            <w:r w:rsidR="00CD28F9" w:rsidRPr="00D564D6">
              <w:rPr>
                <w:rFonts w:ascii="Arial" w:eastAsia="Times New Roman" w:hAnsi="Arial" w:cs="Arial"/>
                <w:bCs/>
                <w:sz w:val="24"/>
                <w:szCs w:val="24"/>
                <w:lang w:eastAsia="en-GB"/>
              </w:rPr>
              <w:t>24.</w:t>
            </w:r>
            <w:r w:rsidR="00CF1CE0">
              <w:rPr>
                <w:rFonts w:ascii="Arial" w:eastAsia="Times New Roman" w:hAnsi="Arial" w:cs="Arial"/>
                <w:bCs/>
                <w:sz w:val="24"/>
                <w:szCs w:val="24"/>
                <w:lang w:eastAsia="en-GB"/>
              </w:rPr>
              <w:t>5</w:t>
            </w:r>
            <w:r w:rsidRPr="00D564D6">
              <w:rPr>
                <w:rFonts w:ascii="Arial" w:eastAsia="Times New Roman" w:hAnsi="Arial" w:cs="Arial"/>
                <w:bCs/>
                <w:sz w:val="24"/>
                <w:szCs w:val="24"/>
                <w:lang w:eastAsia="en-GB"/>
              </w:rPr>
              <w:t>)</w:t>
            </w:r>
          </w:p>
        </w:tc>
      </w:tr>
      <w:tr w:rsidR="008E694E" w:rsidRPr="00D564D6" w14:paraId="0DBC2FB7" w14:textId="77777777" w:rsidTr="008E694E">
        <w:trPr>
          <w:trHeight w:val="340"/>
        </w:trPr>
        <w:tc>
          <w:tcPr>
            <w:tcW w:w="3937" w:type="dxa"/>
            <w:vAlign w:val="center"/>
            <w:hideMark/>
          </w:tcPr>
          <w:p w14:paraId="07E4E758" w14:textId="77777777" w:rsidR="008E694E" w:rsidRPr="00D564D6" w:rsidRDefault="008E694E" w:rsidP="0016239A">
            <w:pPr>
              <w:spacing w:after="0"/>
              <w:ind w:left="284" w:hanging="142"/>
              <w:rPr>
                <w:rFonts w:ascii="Arial" w:eastAsia="Times New Roman" w:hAnsi="Arial" w:cs="Arial"/>
                <w:bCs/>
                <w:sz w:val="24"/>
                <w:szCs w:val="24"/>
                <w:lang w:eastAsia="en-GB"/>
              </w:rPr>
            </w:pPr>
            <w:r w:rsidRPr="00D564D6">
              <w:rPr>
                <w:rFonts w:ascii="Arial" w:eastAsia="Times New Roman" w:hAnsi="Arial" w:cs="Arial"/>
                <w:bCs/>
                <w:sz w:val="24"/>
                <w:szCs w:val="24"/>
                <w:lang w:eastAsia="en-GB"/>
              </w:rPr>
              <w:t>- Association of Chief Police Officers (ACPO) Criminal Records Office – ACRO*</w:t>
            </w:r>
          </w:p>
        </w:tc>
        <w:tc>
          <w:tcPr>
            <w:tcW w:w="1276" w:type="dxa"/>
            <w:vAlign w:val="center"/>
            <w:hideMark/>
          </w:tcPr>
          <w:p w14:paraId="738BC719" w14:textId="6619F8EA"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w:t>
            </w:r>
            <w:r w:rsidR="006F14D2" w:rsidRPr="00D564D6">
              <w:rPr>
                <w:rFonts w:ascii="Arial" w:eastAsia="Times New Roman" w:hAnsi="Arial" w:cs="Arial"/>
                <w:bCs/>
                <w:sz w:val="24"/>
                <w:szCs w:val="24"/>
                <w:lang w:eastAsia="en-GB"/>
              </w:rPr>
              <w:t>8.7</w:t>
            </w:r>
            <w:r w:rsidRPr="00D564D6">
              <w:rPr>
                <w:rFonts w:ascii="Arial" w:eastAsia="Times New Roman" w:hAnsi="Arial" w:cs="Arial"/>
                <w:bCs/>
                <w:sz w:val="24"/>
                <w:szCs w:val="24"/>
                <w:lang w:eastAsia="en-GB"/>
              </w:rPr>
              <w:t>)</w:t>
            </w:r>
          </w:p>
        </w:tc>
        <w:tc>
          <w:tcPr>
            <w:tcW w:w="1277" w:type="dxa"/>
            <w:vAlign w:val="center"/>
            <w:hideMark/>
          </w:tcPr>
          <w:p w14:paraId="546209C2" w14:textId="43319D86"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w:t>
            </w:r>
            <w:r w:rsidR="00EE07A7" w:rsidRPr="00D564D6">
              <w:rPr>
                <w:rFonts w:ascii="Arial" w:eastAsia="Times New Roman" w:hAnsi="Arial" w:cs="Arial"/>
                <w:bCs/>
                <w:sz w:val="24"/>
                <w:szCs w:val="24"/>
                <w:lang w:eastAsia="en-GB"/>
              </w:rPr>
              <w:t>8.7</w:t>
            </w:r>
            <w:r w:rsidRPr="00D564D6">
              <w:rPr>
                <w:rFonts w:ascii="Arial" w:eastAsia="Times New Roman" w:hAnsi="Arial" w:cs="Arial"/>
                <w:bCs/>
                <w:sz w:val="24"/>
                <w:szCs w:val="24"/>
                <w:lang w:eastAsia="en-GB"/>
              </w:rPr>
              <w:t>)</w:t>
            </w:r>
          </w:p>
        </w:tc>
        <w:tc>
          <w:tcPr>
            <w:tcW w:w="1277" w:type="dxa"/>
            <w:vAlign w:val="center"/>
            <w:hideMark/>
          </w:tcPr>
          <w:p w14:paraId="501D4519" w14:textId="52521EDD"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w:t>
            </w:r>
            <w:r w:rsidR="0002053D" w:rsidRPr="00D564D6">
              <w:rPr>
                <w:rFonts w:ascii="Arial" w:eastAsia="Times New Roman" w:hAnsi="Arial" w:cs="Arial"/>
                <w:bCs/>
                <w:sz w:val="24"/>
                <w:szCs w:val="24"/>
                <w:lang w:eastAsia="en-GB"/>
              </w:rPr>
              <w:t>8.7</w:t>
            </w:r>
            <w:r w:rsidRPr="00D564D6">
              <w:rPr>
                <w:rFonts w:ascii="Arial" w:eastAsia="Times New Roman" w:hAnsi="Arial" w:cs="Arial"/>
                <w:bCs/>
                <w:sz w:val="24"/>
                <w:szCs w:val="24"/>
                <w:lang w:eastAsia="en-GB"/>
              </w:rPr>
              <w:t>)</w:t>
            </w:r>
          </w:p>
        </w:tc>
        <w:tc>
          <w:tcPr>
            <w:tcW w:w="1277" w:type="dxa"/>
            <w:vAlign w:val="center"/>
            <w:hideMark/>
          </w:tcPr>
          <w:p w14:paraId="0DF09FF5" w14:textId="718519F3"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w:t>
            </w:r>
            <w:r w:rsidR="00265A3A" w:rsidRPr="00D564D6">
              <w:rPr>
                <w:rFonts w:ascii="Arial" w:eastAsia="Times New Roman" w:hAnsi="Arial" w:cs="Arial"/>
                <w:bCs/>
                <w:sz w:val="24"/>
                <w:szCs w:val="24"/>
                <w:lang w:eastAsia="en-GB"/>
              </w:rPr>
              <w:t>8.7</w:t>
            </w:r>
            <w:r w:rsidRPr="00D564D6">
              <w:rPr>
                <w:rFonts w:ascii="Arial" w:eastAsia="Times New Roman" w:hAnsi="Arial" w:cs="Arial"/>
                <w:bCs/>
                <w:sz w:val="24"/>
                <w:szCs w:val="24"/>
                <w:lang w:eastAsia="en-GB"/>
              </w:rPr>
              <w:t>)</w:t>
            </w:r>
          </w:p>
        </w:tc>
        <w:tc>
          <w:tcPr>
            <w:tcW w:w="1276" w:type="dxa"/>
            <w:vAlign w:val="center"/>
            <w:hideMark/>
          </w:tcPr>
          <w:p w14:paraId="6335459B" w14:textId="66D20925"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w:t>
            </w:r>
            <w:r w:rsidR="00D76B53" w:rsidRPr="00D564D6">
              <w:rPr>
                <w:rFonts w:ascii="Arial" w:eastAsia="Times New Roman" w:hAnsi="Arial" w:cs="Arial"/>
                <w:bCs/>
                <w:sz w:val="24"/>
                <w:szCs w:val="24"/>
                <w:lang w:eastAsia="en-GB"/>
              </w:rPr>
              <w:t>8.7</w:t>
            </w:r>
            <w:r w:rsidRPr="00D564D6">
              <w:rPr>
                <w:rFonts w:ascii="Arial" w:eastAsia="Times New Roman" w:hAnsi="Arial" w:cs="Arial"/>
                <w:bCs/>
                <w:sz w:val="24"/>
                <w:szCs w:val="24"/>
                <w:lang w:eastAsia="en-GB"/>
              </w:rPr>
              <w:t>)</w:t>
            </w:r>
          </w:p>
        </w:tc>
      </w:tr>
      <w:tr w:rsidR="008E694E" w:rsidRPr="00D564D6" w14:paraId="0A7B118E" w14:textId="77777777" w:rsidTr="008E694E">
        <w:trPr>
          <w:trHeight w:val="340"/>
        </w:trPr>
        <w:tc>
          <w:tcPr>
            <w:tcW w:w="3937" w:type="dxa"/>
            <w:tcBorders>
              <w:top w:val="nil"/>
              <w:left w:val="nil"/>
              <w:bottom w:val="single" w:sz="4" w:space="0" w:color="auto"/>
              <w:right w:val="nil"/>
            </w:tcBorders>
            <w:vAlign w:val="center"/>
            <w:hideMark/>
          </w:tcPr>
          <w:p w14:paraId="077F423F" w14:textId="77777777" w:rsidR="008E694E" w:rsidRPr="00D564D6" w:rsidRDefault="008E694E" w:rsidP="008E694E">
            <w:pPr>
              <w:spacing w:after="0"/>
              <w:rPr>
                <w:rFonts w:ascii="Arial" w:eastAsia="Times New Roman" w:hAnsi="Arial" w:cs="Arial"/>
                <w:bCs/>
                <w:sz w:val="24"/>
                <w:szCs w:val="24"/>
                <w:lang w:eastAsia="en-GB"/>
              </w:rPr>
            </w:pPr>
            <w:r w:rsidRPr="00D564D6">
              <w:rPr>
                <w:rFonts w:ascii="Arial" w:eastAsia="Times New Roman" w:hAnsi="Arial" w:cs="Arial"/>
                <w:bCs/>
                <w:sz w:val="24"/>
                <w:szCs w:val="24"/>
                <w:lang w:eastAsia="en-GB"/>
              </w:rPr>
              <w:t>Less: Working capital</w:t>
            </w:r>
          </w:p>
        </w:tc>
        <w:tc>
          <w:tcPr>
            <w:tcW w:w="1276" w:type="dxa"/>
            <w:tcBorders>
              <w:top w:val="nil"/>
              <w:left w:val="nil"/>
              <w:bottom w:val="single" w:sz="4" w:space="0" w:color="auto"/>
              <w:right w:val="nil"/>
            </w:tcBorders>
            <w:vAlign w:val="center"/>
            <w:hideMark/>
          </w:tcPr>
          <w:p w14:paraId="381D184B" w14:textId="7916BE2B"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3.</w:t>
            </w:r>
            <w:r w:rsidR="006F14D2" w:rsidRPr="00D564D6">
              <w:rPr>
                <w:rFonts w:ascii="Arial" w:eastAsia="Times New Roman" w:hAnsi="Arial" w:cs="Arial"/>
                <w:bCs/>
                <w:sz w:val="24"/>
                <w:szCs w:val="24"/>
                <w:lang w:eastAsia="en-GB"/>
              </w:rPr>
              <w:t>2</w:t>
            </w:r>
          </w:p>
        </w:tc>
        <w:tc>
          <w:tcPr>
            <w:tcW w:w="1277" w:type="dxa"/>
            <w:tcBorders>
              <w:top w:val="nil"/>
              <w:left w:val="nil"/>
              <w:bottom w:val="single" w:sz="4" w:space="0" w:color="auto"/>
              <w:right w:val="nil"/>
            </w:tcBorders>
            <w:vAlign w:val="center"/>
            <w:hideMark/>
          </w:tcPr>
          <w:p w14:paraId="4F39D1EF" w14:textId="793F901B"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3.</w:t>
            </w:r>
            <w:r w:rsidR="00475B27" w:rsidRPr="00D564D6">
              <w:rPr>
                <w:rFonts w:ascii="Arial" w:eastAsia="Times New Roman" w:hAnsi="Arial" w:cs="Arial"/>
                <w:bCs/>
                <w:sz w:val="24"/>
                <w:szCs w:val="24"/>
                <w:lang w:eastAsia="en-GB"/>
              </w:rPr>
              <w:t>2</w:t>
            </w:r>
          </w:p>
        </w:tc>
        <w:tc>
          <w:tcPr>
            <w:tcW w:w="1277" w:type="dxa"/>
            <w:tcBorders>
              <w:top w:val="nil"/>
              <w:left w:val="nil"/>
              <w:bottom w:val="single" w:sz="4" w:space="0" w:color="auto"/>
              <w:right w:val="nil"/>
            </w:tcBorders>
            <w:vAlign w:val="center"/>
            <w:hideMark/>
          </w:tcPr>
          <w:p w14:paraId="78378BBF" w14:textId="71A489C3"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3.</w:t>
            </w:r>
            <w:r w:rsidR="0002053D" w:rsidRPr="00D564D6">
              <w:rPr>
                <w:rFonts w:ascii="Arial" w:eastAsia="Times New Roman" w:hAnsi="Arial" w:cs="Arial"/>
                <w:bCs/>
                <w:sz w:val="24"/>
                <w:szCs w:val="24"/>
                <w:lang w:eastAsia="en-GB"/>
              </w:rPr>
              <w:t>2</w:t>
            </w:r>
          </w:p>
        </w:tc>
        <w:tc>
          <w:tcPr>
            <w:tcW w:w="1277" w:type="dxa"/>
            <w:tcBorders>
              <w:top w:val="nil"/>
              <w:left w:val="nil"/>
              <w:bottom w:val="single" w:sz="4" w:space="0" w:color="auto"/>
              <w:right w:val="nil"/>
            </w:tcBorders>
            <w:vAlign w:val="center"/>
            <w:hideMark/>
          </w:tcPr>
          <w:p w14:paraId="05F91AFF" w14:textId="5DE9C1AC"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3.</w:t>
            </w:r>
            <w:r w:rsidR="00265A3A" w:rsidRPr="00D564D6">
              <w:rPr>
                <w:rFonts w:ascii="Arial" w:eastAsia="Times New Roman" w:hAnsi="Arial" w:cs="Arial"/>
                <w:bCs/>
                <w:sz w:val="24"/>
                <w:szCs w:val="24"/>
                <w:lang w:eastAsia="en-GB"/>
              </w:rPr>
              <w:t>2</w:t>
            </w:r>
          </w:p>
        </w:tc>
        <w:tc>
          <w:tcPr>
            <w:tcW w:w="1276" w:type="dxa"/>
            <w:tcBorders>
              <w:top w:val="nil"/>
              <w:left w:val="nil"/>
              <w:bottom w:val="single" w:sz="4" w:space="0" w:color="auto"/>
              <w:right w:val="nil"/>
            </w:tcBorders>
            <w:vAlign w:val="center"/>
            <w:hideMark/>
          </w:tcPr>
          <w:p w14:paraId="408D5ECF" w14:textId="30188965" w:rsidR="008E694E" w:rsidRPr="00D564D6" w:rsidRDefault="008E694E" w:rsidP="008E694E">
            <w:pPr>
              <w:spacing w:after="0"/>
              <w:jc w:val="right"/>
              <w:rPr>
                <w:rFonts w:ascii="Arial" w:eastAsia="Times New Roman" w:hAnsi="Arial" w:cs="Arial"/>
                <w:bCs/>
                <w:sz w:val="24"/>
                <w:szCs w:val="24"/>
                <w:lang w:eastAsia="en-GB"/>
              </w:rPr>
            </w:pPr>
            <w:r w:rsidRPr="00D564D6">
              <w:rPr>
                <w:rFonts w:ascii="Arial" w:eastAsia="Times New Roman" w:hAnsi="Arial" w:cs="Arial"/>
                <w:bCs/>
                <w:sz w:val="24"/>
                <w:szCs w:val="24"/>
                <w:lang w:eastAsia="en-GB"/>
              </w:rPr>
              <w:t>3.</w:t>
            </w:r>
            <w:r w:rsidR="00D76B53" w:rsidRPr="00D564D6">
              <w:rPr>
                <w:rFonts w:ascii="Arial" w:eastAsia="Times New Roman" w:hAnsi="Arial" w:cs="Arial"/>
                <w:bCs/>
                <w:sz w:val="24"/>
                <w:szCs w:val="24"/>
                <w:lang w:eastAsia="en-GB"/>
              </w:rPr>
              <w:t>2</w:t>
            </w:r>
          </w:p>
        </w:tc>
      </w:tr>
      <w:tr w:rsidR="008E694E" w:rsidRPr="00D564D6" w14:paraId="1F5C4F2B" w14:textId="77777777" w:rsidTr="008E694E">
        <w:trPr>
          <w:trHeight w:val="340"/>
        </w:trPr>
        <w:tc>
          <w:tcPr>
            <w:tcW w:w="3937" w:type="dxa"/>
            <w:tcBorders>
              <w:top w:val="single" w:sz="4" w:space="0" w:color="auto"/>
              <w:left w:val="nil"/>
              <w:bottom w:val="nil"/>
              <w:right w:val="nil"/>
            </w:tcBorders>
            <w:vAlign w:val="center"/>
          </w:tcPr>
          <w:p w14:paraId="2E5D2CB5" w14:textId="383DB999" w:rsidR="008E694E" w:rsidRPr="00D564D6" w:rsidRDefault="00B33B68" w:rsidP="008E694E">
            <w:pPr>
              <w:spacing w:after="0"/>
              <w:rPr>
                <w:rFonts w:ascii="Arial" w:eastAsia="Times New Roman" w:hAnsi="Arial" w:cs="Arial"/>
                <w:b/>
                <w:sz w:val="24"/>
                <w:szCs w:val="24"/>
                <w:lang w:eastAsia="en-GB"/>
              </w:rPr>
            </w:pPr>
            <w:r w:rsidRPr="00D564D6">
              <w:rPr>
                <w:rFonts w:ascii="Arial" w:eastAsia="Times New Roman" w:hAnsi="Arial" w:cs="Arial"/>
                <w:b/>
                <w:sz w:val="24"/>
                <w:szCs w:val="24"/>
                <w:lang w:eastAsia="en-GB"/>
              </w:rPr>
              <w:t>Resources for investment</w:t>
            </w:r>
          </w:p>
        </w:tc>
        <w:tc>
          <w:tcPr>
            <w:tcW w:w="1276" w:type="dxa"/>
            <w:tcBorders>
              <w:top w:val="single" w:sz="4" w:space="0" w:color="auto"/>
              <w:left w:val="nil"/>
              <w:bottom w:val="nil"/>
              <w:right w:val="nil"/>
            </w:tcBorders>
            <w:vAlign w:val="center"/>
            <w:hideMark/>
          </w:tcPr>
          <w:p w14:paraId="4788F777" w14:textId="59529DA8" w:rsidR="008E694E" w:rsidRPr="00D564D6" w:rsidRDefault="008E694E" w:rsidP="008E694E">
            <w:pPr>
              <w:spacing w:line="240" w:lineRule="auto"/>
              <w:jc w:val="right"/>
            </w:pPr>
            <w:r w:rsidRPr="00D564D6">
              <w:rPr>
                <w:rFonts w:ascii="Arial" w:eastAsia="Times New Roman" w:hAnsi="Arial" w:cs="Arial"/>
                <w:bCs/>
                <w:sz w:val="24"/>
                <w:szCs w:val="24"/>
                <w:lang w:eastAsia="en-GB"/>
              </w:rPr>
              <w:t>(</w:t>
            </w:r>
            <w:r w:rsidR="006F14D2" w:rsidRPr="00D564D6">
              <w:rPr>
                <w:rFonts w:ascii="Arial" w:eastAsia="Times New Roman" w:hAnsi="Arial" w:cs="Arial"/>
                <w:bCs/>
                <w:sz w:val="24"/>
                <w:szCs w:val="24"/>
                <w:lang w:eastAsia="en-GB"/>
              </w:rPr>
              <w:t>6</w:t>
            </w:r>
            <w:r w:rsidRPr="00D564D6">
              <w:rPr>
                <w:rFonts w:ascii="Arial" w:eastAsia="Times New Roman" w:hAnsi="Arial" w:cs="Arial"/>
                <w:bCs/>
                <w:sz w:val="24"/>
                <w:szCs w:val="24"/>
                <w:lang w:eastAsia="en-GB"/>
              </w:rPr>
              <w:t>2.</w:t>
            </w:r>
            <w:r w:rsidR="006F14D2" w:rsidRPr="00D564D6">
              <w:rPr>
                <w:rFonts w:ascii="Arial" w:eastAsia="Times New Roman" w:hAnsi="Arial" w:cs="Arial"/>
                <w:bCs/>
                <w:sz w:val="24"/>
                <w:szCs w:val="24"/>
                <w:lang w:eastAsia="en-GB"/>
              </w:rPr>
              <w:t>1</w:t>
            </w:r>
            <w:r w:rsidRPr="00D564D6">
              <w:rPr>
                <w:rFonts w:ascii="Arial" w:eastAsia="Times New Roman" w:hAnsi="Arial" w:cs="Arial"/>
                <w:bCs/>
                <w:sz w:val="24"/>
                <w:szCs w:val="24"/>
                <w:lang w:eastAsia="en-GB"/>
              </w:rPr>
              <w:t>)</w:t>
            </w:r>
          </w:p>
        </w:tc>
        <w:tc>
          <w:tcPr>
            <w:tcW w:w="1277" w:type="dxa"/>
            <w:tcBorders>
              <w:top w:val="single" w:sz="4" w:space="0" w:color="auto"/>
              <w:left w:val="nil"/>
              <w:bottom w:val="nil"/>
              <w:right w:val="nil"/>
            </w:tcBorders>
            <w:vAlign w:val="center"/>
            <w:hideMark/>
          </w:tcPr>
          <w:p w14:paraId="6C8A76A8" w14:textId="7EB58133" w:rsidR="008E694E" w:rsidRPr="00D564D6" w:rsidRDefault="008E694E" w:rsidP="008E694E">
            <w:pPr>
              <w:spacing w:line="240" w:lineRule="auto"/>
              <w:jc w:val="right"/>
            </w:pPr>
            <w:r w:rsidRPr="00D564D6">
              <w:rPr>
                <w:rFonts w:ascii="Arial" w:eastAsia="Times New Roman" w:hAnsi="Arial" w:cs="Arial"/>
                <w:bCs/>
                <w:sz w:val="24"/>
                <w:szCs w:val="24"/>
                <w:lang w:eastAsia="en-GB"/>
              </w:rPr>
              <w:t>(5</w:t>
            </w:r>
            <w:r w:rsidR="00CF1CE0">
              <w:rPr>
                <w:rFonts w:ascii="Arial" w:eastAsia="Times New Roman" w:hAnsi="Arial" w:cs="Arial"/>
                <w:bCs/>
                <w:sz w:val="24"/>
                <w:szCs w:val="24"/>
                <w:lang w:eastAsia="en-GB"/>
              </w:rPr>
              <w:t>2.3</w:t>
            </w:r>
            <w:r w:rsidRPr="00D564D6">
              <w:rPr>
                <w:rFonts w:ascii="Arial" w:eastAsia="Times New Roman" w:hAnsi="Arial" w:cs="Arial"/>
                <w:bCs/>
                <w:sz w:val="24"/>
                <w:szCs w:val="24"/>
                <w:lang w:eastAsia="en-GB"/>
              </w:rPr>
              <w:t>)</w:t>
            </w:r>
          </w:p>
        </w:tc>
        <w:tc>
          <w:tcPr>
            <w:tcW w:w="1277" w:type="dxa"/>
            <w:tcBorders>
              <w:top w:val="single" w:sz="4" w:space="0" w:color="auto"/>
              <w:left w:val="nil"/>
              <w:bottom w:val="nil"/>
              <w:right w:val="nil"/>
            </w:tcBorders>
            <w:vAlign w:val="center"/>
            <w:hideMark/>
          </w:tcPr>
          <w:p w14:paraId="16F6F07D" w14:textId="22434034" w:rsidR="008E694E" w:rsidRPr="00D564D6" w:rsidRDefault="008E694E" w:rsidP="008E694E">
            <w:pPr>
              <w:spacing w:line="240" w:lineRule="auto"/>
              <w:jc w:val="right"/>
            </w:pPr>
            <w:r w:rsidRPr="00D564D6">
              <w:rPr>
                <w:rFonts w:ascii="Arial" w:eastAsia="Times New Roman" w:hAnsi="Arial" w:cs="Arial"/>
                <w:bCs/>
                <w:sz w:val="24"/>
                <w:szCs w:val="24"/>
                <w:lang w:eastAsia="en-GB"/>
              </w:rPr>
              <w:t>(</w:t>
            </w:r>
            <w:r w:rsidR="00CF1CE0">
              <w:rPr>
                <w:rFonts w:ascii="Arial" w:eastAsia="Times New Roman" w:hAnsi="Arial" w:cs="Arial"/>
                <w:bCs/>
                <w:sz w:val="24"/>
                <w:szCs w:val="24"/>
                <w:lang w:eastAsia="en-GB"/>
              </w:rPr>
              <w:t>45.3</w:t>
            </w:r>
            <w:r w:rsidRPr="00D564D6">
              <w:rPr>
                <w:rFonts w:ascii="Arial" w:eastAsia="Times New Roman" w:hAnsi="Arial" w:cs="Arial"/>
                <w:bCs/>
                <w:sz w:val="24"/>
                <w:szCs w:val="24"/>
                <w:lang w:eastAsia="en-GB"/>
              </w:rPr>
              <w:t>)</w:t>
            </w:r>
          </w:p>
        </w:tc>
        <w:tc>
          <w:tcPr>
            <w:tcW w:w="1277" w:type="dxa"/>
            <w:tcBorders>
              <w:top w:val="single" w:sz="4" w:space="0" w:color="auto"/>
              <w:left w:val="nil"/>
              <w:bottom w:val="nil"/>
              <w:right w:val="nil"/>
            </w:tcBorders>
            <w:vAlign w:val="center"/>
            <w:hideMark/>
          </w:tcPr>
          <w:p w14:paraId="1A749CCA" w14:textId="7980D9F2" w:rsidR="008E694E" w:rsidRPr="00D564D6" w:rsidRDefault="008E694E" w:rsidP="008E694E">
            <w:pPr>
              <w:spacing w:line="240" w:lineRule="auto"/>
              <w:jc w:val="right"/>
            </w:pPr>
            <w:r w:rsidRPr="00D564D6">
              <w:rPr>
                <w:rFonts w:ascii="Arial" w:eastAsia="Times New Roman" w:hAnsi="Arial" w:cs="Arial"/>
                <w:bCs/>
                <w:sz w:val="24"/>
                <w:szCs w:val="24"/>
                <w:lang w:eastAsia="en-GB"/>
              </w:rPr>
              <w:t>(</w:t>
            </w:r>
            <w:r w:rsidR="00CF1CE0">
              <w:rPr>
                <w:rFonts w:ascii="Arial" w:eastAsia="Times New Roman" w:hAnsi="Arial" w:cs="Arial"/>
                <w:bCs/>
                <w:sz w:val="24"/>
                <w:szCs w:val="24"/>
                <w:lang w:eastAsia="en-GB"/>
              </w:rPr>
              <w:t>34.4</w:t>
            </w:r>
            <w:r w:rsidRPr="00D564D6">
              <w:rPr>
                <w:rFonts w:ascii="Arial" w:eastAsia="Times New Roman" w:hAnsi="Arial" w:cs="Arial"/>
                <w:bCs/>
                <w:sz w:val="24"/>
                <w:szCs w:val="24"/>
                <w:lang w:eastAsia="en-GB"/>
              </w:rPr>
              <w:t>)</w:t>
            </w:r>
          </w:p>
        </w:tc>
        <w:tc>
          <w:tcPr>
            <w:tcW w:w="1276" w:type="dxa"/>
            <w:tcBorders>
              <w:top w:val="single" w:sz="4" w:space="0" w:color="auto"/>
              <w:left w:val="nil"/>
              <w:bottom w:val="nil"/>
              <w:right w:val="nil"/>
            </w:tcBorders>
            <w:vAlign w:val="center"/>
            <w:hideMark/>
          </w:tcPr>
          <w:p w14:paraId="06AFBFC3" w14:textId="358332DB" w:rsidR="008E694E" w:rsidRPr="00D564D6" w:rsidRDefault="008E694E" w:rsidP="008E694E">
            <w:pPr>
              <w:spacing w:line="240" w:lineRule="auto"/>
              <w:jc w:val="right"/>
            </w:pPr>
            <w:r w:rsidRPr="00D564D6">
              <w:rPr>
                <w:rFonts w:ascii="Arial" w:eastAsia="Times New Roman" w:hAnsi="Arial" w:cs="Arial"/>
                <w:bCs/>
                <w:sz w:val="24"/>
                <w:szCs w:val="24"/>
                <w:lang w:eastAsia="en-GB"/>
              </w:rPr>
              <w:t>(</w:t>
            </w:r>
            <w:r w:rsidR="00CD28F9" w:rsidRPr="00D564D6">
              <w:rPr>
                <w:rFonts w:ascii="Arial" w:eastAsia="Times New Roman" w:hAnsi="Arial" w:cs="Arial"/>
                <w:bCs/>
                <w:sz w:val="24"/>
                <w:szCs w:val="24"/>
                <w:lang w:eastAsia="en-GB"/>
              </w:rPr>
              <w:t>30.</w:t>
            </w:r>
            <w:r w:rsidR="00CF1CE0">
              <w:rPr>
                <w:rFonts w:ascii="Arial" w:eastAsia="Times New Roman" w:hAnsi="Arial" w:cs="Arial"/>
                <w:bCs/>
                <w:sz w:val="24"/>
                <w:szCs w:val="24"/>
                <w:lang w:eastAsia="en-GB"/>
              </w:rPr>
              <w:t>0</w:t>
            </w:r>
            <w:r w:rsidRPr="00D564D6">
              <w:rPr>
                <w:rFonts w:ascii="Arial" w:eastAsia="Times New Roman" w:hAnsi="Arial" w:cs="Arial"/>
                <w:bCs/>
                <w:sz w:val="24"/>
                <w:szCs w:val="24"/>
                <w:lang w:eastAsia="en-GB"/>
              </w:rPr>
              <w:t>)</w:t>
            </w:r>
          </w:p>
        </w:tc>
      </w:tr>
      <w:tr w:rsidR="008E694E" w:rsidRPr="00D564D6" w14:paraId="32D13082" w14:textId="77777777" w:rsidTr="008E694E">
        <w:trPr>
          <w:trHeight w:val="340"/>
        </w:trPr>
        <w:tc>
          <w:tcPr>
            <w:tcW w:w="3937" w:type="dxa"/>
            <w:tcBorders>
              <w:top w:val="nil"/>
              <w:left w:val="nil"/>
              <w:bottom w:val="single" w:sz="4" w:space="0" w:color="auto"/>
              <w:right w:val="nil"/>
            </w:tcBorders>
            <w:vAlign w:val="center"/>
          </w:tcPr>
          <w:p w14:paraId="3355E85B" w14:textId="77777777" w:rsidR="008E694E" w:rsidRPr="00D564D6" w:rsidRDefault="008E694E" w:rsidP="008E694E">
            <w:pPr>
              <w:spacing w:after="0"/>
              <w:rPr>
                <w:rFonts w:ascii="Arial" w:eastAsia="Times New Roman" w:hAnsi="Arial" w:cs="Arial"/>
                <w:bCs/>
                <w:sz w:val="24"/>
                <w:szCs w:val="24"/>
                <w:lang w:eastAsia="en-GB"/>
              </w:rPr>
            </w:pPr>
          </w:p>
        </w:tc>
        <w:tc>
          <w:tcPr>
            <w:tcW w:w="1276" w:type="dxa"/>
            <w:tcBorders>
              <w:top w:val="nil"/>
              <w:left w:val="nil"/>
              <w:bottom w:val="single" w:sz="4" w:space="0" w:color="auto"/>
              <w:right w:val="nil"/>
            </w:tcBorders>
            <w:vAlign w:val="center"/>
          </w:tcPr>
          <w:p w14:paraId="01BFCCB2" w14:textId="77777777" w:rsidR="008E694E" w:rsidRPr="00D564D6" w:rsidRDefault="008E694E" w:rsidP="008E694E">
            <w:pPr>
              <w:spacing w:after="0"/>
              <w:jc w:val="right"/>
              <w:rPr>
                <w:rFonts w:ascii="Arial" w:eastAsia="Times New Roman" w:hAnsi="Arial" w:cs="Arial"/>
                <w:bCs/>
                <w:sz w:val="24"/>
                <w:szCs w:val="24"/>
                <w:lang w:eastAsia="en-GB"/>
              </w:rPr>
            </w:pPr>
          </w:p>
        </w:tc>
        <w:tc>
          <w:tcPr>
            <w:tcW w:w="1277" w:type="dxa"/>
            <w:tcBorders>
              <w:top w:val="nil"/>
              <w:left w:val="nil"/>
              <w:bottom w:val="single" w:sz="4" w:space="0" w:color="auto"/>
              <w:right w:val="nil"/>
            </w:tcBorders>
            <w:vAlign w:val="center"/>
          </w:tcPr>
          <w:p w14:paraId="361C6FC7" w14:textId="77777777" w:rsidR="008E694E" w:rsidRPr="00D564D6" w:rsidRDefault="008E694E" w:rsidP="008E694E">
            <w:pPr>
              <w:spacing w:after="0"/>
              <w:jc w:val="right"/>
              <w:rPr>
                <w:rFonts w:ascii="Arial" w:eastAsia="Times New Roman" w:hAnsi="Arial" w:cs="Arial"/>
                <w:bCs/>
                <w:sz w:val="24"/>
                <w:szCs w:val="24"/>
                <w:lang w:eastAsia="en-GB"/>
              </w:rPr>
            </w:pPr>
          </w:p>
        </w:tc>
        <w:tc>
          <w:tcPr>
            <w:tcW w:w="1277" w:type="dxa"/>
            <w:tcBorders>
              <w:top w:val="nil"/>
              <w:left w:val="nil"/>
              <w:bottom w:val="single" w:sz="4" w:space="0" w:color="auto"/>
              <w:right w:val="nil"/>
            </w:tcBorders>
            <w:vAlign w:val="center"/>
          </w:tcPr>
          <w:p w14:paraId="7BF8F816" w14:textId="77777777" w:rsidR="008E694E" w:rsidRPr="00D564D6" w:rsidRDefault="008E694E" w:rsidP="008E694E">
            <w:pPr>
              <w:spacing w:after="0"/>
              <w:jc w:val="right"/>
              <w:rPr>
                <w:rFonts w:ascii="Arial" w:eastAsia="Times New Roman" w:hAnsi="Arial" w:cs="Arial"/>
                <w:bCs/>
                <w:sz w:val="24"/>
                <w:szCs w:val="24"/>
                <w:lang w:eastAsia="en-GB"/>
              </w:rPr>
            </w:pPr>
          </w:p>
        </w:tc>
        <w:tc>
          <w:tcPr>
            <w:tcW w:w="1277" w:type="dxa"/>
            <w:tcBorders>
              <w:top w:val="nil"/>
              <w:left w:val="nil"/>
              <w:bottom w:val="single" w:sz="4" w:space="0" w:color="auto"/>
              <w:right w:val="nil"/>
            </w:tcBorders>
            <w:vAlign w:val="center"/>
          </w:tcPr>
          <w:p w14:paraId="19527030" w14:textId="77777777" w:rsidR="008E694E" w:rsidRPr="00D564D6" w:rsidRDefault="008E694E" w:rsidP="008E694E">
            <w:pPr>
              <w:spacing w:after="0"/>
              <w:jc w:val="right"/>
              <w:rPr>
                <w:rFonts w:ascii="Arial" w:eastAsia="Times New Roman" w:hAnsi="Arial" w:cs="Arial"/>
                <w:bCs/>
                <w:sz w:val="24"/>
                <w:szCs w:val="24"/>
                <w:lang w:eastAsia="en-GB"/>
              </w:rPr>
            </w:pPr>
          </w:p>
        </w:tc>
        <w:tc>
          <w:tcPr>
            <w:tcW w:w="1276" w:type="dxa"/>
            <w:tcBorders>
              <w:top w:val="nil"/>
              <w:left w:val="nil"/>
              <w:bottom w:val="single" w:sz="4" w:space="0" w:color="auto"/>
              <w:right w:val="nil"/>
            </w:tcBorders>
            <w:vAlign w:val="center"/>
          </w:tcPr>
          <w:p w14:paraId="0AA68F39" w14:textId="77777777" w:rsidR="008E694E" w:rsidRPr="00D564D6" w:rsidRDefault="008E694E" w:rsidP="008E694E">
            <w:pPr>
              <w:spacing w:after="0"/>
              <w:jc w:val="right"/>
              <w:rPr>
                <w:rFonts w:ascii="Arial" w:eastAsia="Times New Roman" w:hAnsi="Arial" w:cs="Arial"/>
                <w:bCs/>
                <w:sz w:val="24"/>
                <w:szCs w:val="24"/>
                <w:lang w:eastAsia="en-GB"/>
              </w:rPr>
            </w:pPr>
          </w:p>
        </w:tc>
      </w:tr>
      <w:tr w:rsidR="008E694E" w:rsidRPr="00D564D6" w14:paraId="0E39A2F5" w14:textId="77777777" w:rsidTr="008E694E">
        <w:trPr>
          <w:trHeight w:val="340"/>
        </w:trPr>
        <w:tc>
          <w:tcPr>
            <w:tcW w:w="3937" w:type="dxa"/>
            <w:tcBorders>
              <w:top w:val="single" w:sz="4" w:space="0" w:color="auto"/>
              <w:left w:val="nil"/>
              <w:bottom w:val="single" w:sz="4" w:space="0" w:color="auto"/>
              <w:right w:val="nil"/>
            </w:tcBorders>
            <w:vAlign w:val="center"/>
            <w:hideMark/>
          </w:tcPr>
          <w:p w14:paraId="1E3ECAEA" w14:textId="21500A93" w:rsidR="008E694E" w:rsidRPr="00D564D6" w:rsidRDefault="00224B30" w:rsidP="008E694E">
            <w:pPr>
              <w:spacing w:after="0"/>
              <w:rPr>
                <w:rFonts w:ascii="Arial" w:eastAsia="Times New Roman" w:hAnsi="Arial" w:cs="Arial"/>
                <w:b/>
                <w:bCs/>
                <w:sz w:val="24"/>
                <w:szCs w:val="24"/>
                <w:lang w:eastAsia="en-GB"/>
              </w:rPr>
            </w:pPr>
            <w:r w:rsidRPr="00D564D6">
              <w:rPr>
                <w:rFonts w:ascii="Arial" w:eastAsia="Times New Roman" w:hAnsi="Arial" w:cs="Arial"/>
                <w:b/>
                <w:bCs/>
                <w:sz w:val="24"/>
                <w:szCs w:val="24"/>
                <w:lang w:eastAsia="en-GB"/>
              </w:rPr>
              <w:t>(Treasury Investments) / new borrowing</w:t>
            </w:r>
          </w:p>
        </w:tc>
        <w:tc>
          <w:tcPr>
            <w:tcW w:w="1276" w:type="dxa"/>
            <w:tcBorders>
              <w:top w:val="single" w:sz="4" w:space="0" w:color="auto"/>
              <w:left w:val="nil"/>
              <w:bottom w:val="single" w:sz="4" w:space="0" w:color="auto"/>
              <w:right w:val="nil"/>
            </w:tcBorders>
            <w:vAlign w:val="center"/>
            <w:hideMark/>
          </w:tcPr>
          <w:p w14:paraId="69FB24C2" w14:textId="03804818" w:rsidR="008E694E" w:rsidRPr="00D564D6" w:rsidRDefault="008E694E" w:rsidP="008E694E">
            <w:pPr>
              <w:spacing w:line="240" w:lineRule="auto"/>
              <w:jc w:val="right"/>
              <w:rPr>
                <w:b/>
              </w:rPr>
            </w:pPr>
            <w:r w:rsidRPr="00D564D6">
              <w:rPr>
                <w:rFonts w:ascii="Arial" w:eastAsia="Times New Roman" w:hAnsi="Arial" w:cs="Arial"/>
                <w:b/>
                <w:bCs/>
                <w:sz w:val="24"/>
                <w:szCs w:val="24"/>
                <w:lang w:eastAsia="en-GB"/>
              </w:rPr>
              <w:t>(</w:t>
            </w:r>
            <w:r w:rsidR="006F14D2" w:rsidRPr="00D564D6">
              <w:rPr>
                <w:rFonts w:ascii="Arial" w:eastAsia="Times New Roman" w:hAnsi="Arial" w:cs="Arial"/>
                <w:b/>
                <w:bCs/>
                <w:sz w:val="24"/>
                <w:szCs w:val="24"/>
                <w:lang w:eastAsia="en-GB"/>
              </w:rPr>
              <w:t>35.0</w:t>
            </w:r>
            <w:r w:rsidRPr="00D564D6">
              <w:rPr>
                <w:rFonts w:ascii="Arial" w:eastAsia="Times New Roman" w:hAnsi="Arial" w:cs="Arial"/>
                <w:b/>
                <w:bCs/>
                <w:sz w:val="24"/>
                <w:szCs w:val="24"/>
                <w:lang w:eastAsia="en-GB"/>
              </w:rPr>
              <w:t>)</w:t>
            </w:r>
          </w:p>
        </w:tc>
        <w:tc>
          <w:tcPr>
            <w:tcW w:w="1277" w:type="dxa"/>
            <w:tcBorders>
              <w:top w:val="single" w:sz="4" w:space="0" w:color="auto"/>
              <w:left w:val="nil"/>
              <w:bottom w:val="single" w:sz="4" w:space="0" w:color="auto"/>
              <w:right w:val="nil"/>
            </w:tcBorders>
            <w:vAlign w:val="center"/>
            <w:hideMark/>
          </w:tcPr>
          <w:p w14:paraId="62BE17B1" w14:textId="471FB62B" w:rsidR="008E694E" w:rsidRPr="00D564D6" w:rsidRDefault="008E694E" w:rsidP="008E694E">
            <w:pPr>
              <w:spacing w:line="240" w:lineRule="auto"/>
              <w:jc w:val="right"/>
              <w:rPr>
                <w:b/>
              </w:rPr>
            </w:pPr>
            <w:r w:rsidRPr="00D564D6">
              <w:rPr>
                <w:rFonts w:ascii="Arial" w:eastAsia="Times New Roman" w:hAnsi="Arial" w:cs="Arial"/>
                <w:b/>
                <w:bCs/>
                <w:sz w:val="24"/>
                <w:szCs w:val="24"/>
                <w:lang w:eastAsia="en-GB"/>
              </w:rPr>
              <w:t>(</w:t>
            </w:r>
            <w:r w:rsidR="0019402E" w:rsidRPr="00D564D6">
              <w:rPr>
                <w:rFonts w:ascii="Arial" w:eastAsia="Times New Roman" w:hAnsi="Arial" w:cs="Arial"/>
                <w:b/>
                <w:bCs/>
                <w:sz w:val="24"/>
                <w:szCs w:val="24"/>
                <w:lang w:eastAsia="en-GB"/>
              </w:rPr>
              <w:t>2</w:t>
            </w:r>
            <w:r w:rsidR="00CF1CE0">
              <w:rPr>
                <w:rFonts w:ascii="Arial" w:eastAsia="Times New Roman" w:hAnsi="Arial" w:cs="Arial"/>
                <w:b/>
                <w:bCs/>
                <w:sz w:val="24"/>
                <w:szCs w:val="24"/>
                <w:lang w:eastAsia="en-GB"/>
              </w:rPr>
              <w:t>4.1</w:t>
            </w:r>
            <w:r w:rsidRPr="00D564D6">
              <w:rPr>
                <w:rFonts w:ascii="Arial" w:eastAsia="Times New Roman" w:hAnsi="Arial" w:cs="Arial"/>
                <w:b/>
                <w:bCs/>
                <w:sz w:val="24"/>
                <w:szCs w:val="24"/>
                <w:lang w:eastAsia="en-GB"/>
              </w:rPr>
              <w:t>)</w:t>
            </w:r>
          </w:p>
        </w:tc>
        <w:tc>
          <w:tcPr>
            <w:tcW w:w="1277" w:type="dxa"/>
            <w:tcBorders>
              <w:top w:val="single" w:sz="4" w:space="0" w:color="auto"/>
              <w:left w:val="nil"/>
              <w:bottom w:val="single" w:sz="4" w:space="0" w:color="auto"/>
              <w:right w:val="nil"/>
            </w:tcBorders>
            <w:vAlign w:val="center"/>
            <w:hideMark/>
          </w:tcPr>
          <w:p w14:paraId="319FCCC0" w14:textId="31507201" w:rsidR="008E694E" w:rsidRPr="00D564D6" w:rsidRDefault="00B533C1" w:rsidP="008E694E">
            <w:pPr>
              <w:spacing w:line="240" w:lineRule="auto"/>
              <w:jc w:val="right"/>
              <w:rPr>
                <w:b/>
              </w:rPr>
            </w:pPr>
            <w:r w:rsidRPr="00D564D6">
              <w:rPr>
                <w:rFonts w:ascii="Arial" w:eastAsia="Times New Roman" w:hAnsi="Arial" w:cs="Arial"/>
                <w:b/>
                <w:bCs/>
                <w:sz w:val="24"/>
                <w:szCs w:val="24"/>
                <w:lang w:eastAsia="en-GB"/>
              </w:rPr>
              <w:t>(</w:t>
            </w:r>
            <w:r w:rsidR="00CD28F9" w:rsidRPr="00D564D6">
              <w:rPr>
                <w:rFonts w:ascii="Arial" w:eastAsia="Times New Roman" w:hAnsi="Arial" w:cs="Arial"/>
                <w:b/>
                <w:bCs/>
                <w:sz w:val="24"/>
                <w:szCs w:val="24"/>
                <w:lang w:eastAsia="en-GB"/>
              </w:rPr>
              <w:t>2</w:t>
            </w:r>
            <w:r w:rsidR="00CF1CE0">
              <w:rPr>
                <w:rFonts w:ascii="Arial" w:eastAsia="Times New Roman" w:hAnsi="Arial" w:cs="Arial"/>
                <w:b/>
                <w:bCs/>
                <w:sz w:val="24"/>
                <w:szCs w:val="24"/>
                <w:lang w:eastAsia="en-GB"/>
              </w:rPr>
              <w:t>3.7</w:t>
            </w:r>
            <w:r w:rsidRPr="00D564D6">
              <w:rPr>
                <w:rFonts w:ascii="Arial" w:eastAsia="Times New Roman" w:hAnsi="Arial" w:cs="Arial"/>
                <w:b/>
                <w:bCs/>
                <w:sz w:val="24"/>
                <w:szCs w:val="24"/>
                <w:lang w:eastAsia="en-GB"/>
              </w:rPr>
              <w:t>)</w:t>
            </w:r>
          </w:p>
        </w:tc>
        <w:tc>
          <w:tcPr>
            <w:tcW w:w="1277" w:type="dxa"/>
            <w:tcBorders>
              <w:top w:val="single" w:sz="4" w:space="0" w:color="auto"/>
              <w:left w:val="nil"/>
              <w:bottom w:val="single" w:sz="4" w:space="0" w:color="auto"/>
              <w:right w:val="nil"/>
            </w:tcBorders>
            <w:vAlign w:val="center"/>
            <w:hideMark/>
          </w:tcPr>
          <w:p w14:paraId="5A7EA75B" w14:textId="2D77C244" w:rsidR="008E694E" w:rsidRPr="00D564D6" w:rsidRDefault="008E694E" w:rsidP="008E694E">
            <w:pPr>
              <w:spacing w:line="240" w:lineRule="auto"/>
              <w:jc w:val="right"/>
              <w:rPr>
                <w:b/>
              </w:rPr>
            </w:pPr>
            <w:r w:rsidRPr="00D564D6">
              <w:rPr>
                <w:rFonts w:ascii="Arial" w:eastAsia="Times New Roman" w:hAnsi="Arial" w:cs="Arial"/>
                <w:b/>
                <w:bCs/>
                <w:sz w:val="24"/>
                <w:szCs w:val="24"/>
                <w:lang w:eastAsia="en-GB"/>
              </w:rPr>
              <w:t>(</w:t>
            </w:r>
            <w:r w:rsidR="00CD28F9" w:rsidRPr="00D564D6">
              <w:rPr>
                <w:rFonts w:ascii="Arial" w:eastAsia="Times New Roman" w:hAnsi="Arial" w:cs="Arial"/>
                <w:b/>
                <w:bCs/>
                <w:sz w:val="24"/>
                <w:szCs w:val="24"/>
                <w:lang w:eastAsia="en-GB"/>
              </w:rPr>
              <w:t>1</w:t>
            </w:r>
            <w:r w:rsidR="00CF1CE0">
              <w:rPr>
                <w:rFonts w:ascii="Arial" w:eastAsia="Times New Roman" w:hAnsi="Arial" w:cs="Arial"/>
                <w:b/>
                <w:bCs/>
                <w:sz w:val="24"/>
                <w:szCs w:val="24"/>
                <w:lang w:eastAsia="en-GB"/>
              </w:rPr>
              <w:t>4.9</w:t>
            </w:r>
            <w:r w:rsidRPr="00D564D6">
              <w:rPr>
                <w:rFonts w:ascii="Arial" w:eastAsia="Times New Roman" w:hAnsi="Arial" w:cs="Arial"/>
                <w:b/>
                <w:bCs/>
                <w:sz w:val="24"/>
                <w:szCs w:val="24"/>
                <w:lang w:eastAsia="en-GB"/>
              </w:rPr>
              <w:t>)</w:t>
            </w:r>
          </w:p>
        </w:tc>
        <w:tc>
          <w:tcPr>
            <w:tcW w:w="1276" w:type="dxa"/>
            <w:tcBorders>
              <w:top w:val="single" w:sz="4" w:space="0" w:color="auto"/>
              <w:left w:val="nil"/>
              <w:bottom w:val="single" w:sz="4" w:space="0" w:color="auto"/>
              <w:right w:val="nil"/>
            </w:tcBorders>
            <w:vAlign w:val="center"/>
            <w:hideMark/>
          </w:tcPr>
          <w:p w14:paraId="47E74472" w14:textId="3CBD9554" w:rsidR="008E694E" w:rsidRPr="00D564D6" w:rsidRDefault="008E694E" w:rsidP="008E694E">
            <w:pPr>
              <w:spacing w:line="240" w:lineRule="auto"/>
              <w:jc w:val="right"/>
              <w:rPr>
                <w:b/>
              </w:rPr>
            </w:pPr>
            <w:r w:rsidRPr="00D564D6">
              <w:rPr>
                <w:rFonts w:ascii="Arial" w:eastAsia="Times New Roman" w:hAnsi="Arial" w:cs="Arial"/>
                <w:b/>
                <w:bCs/>
                <w:sz w:val="24"/>
                <w:szCs w:val="24"/>
                <w:lang w:eastAsia="en-GB"/>
              </w:rPr>
              <w:t>(</w:t>
            </w:r>
            <w:r w:rsidR="00CF1CE0">
              <w:rPr>
                <w:rFonts w:ascii="Arial" w:eastAsia="Times New Roman" w:hAnsi="Arial" w:cs="Arial"/>
                <w:b/>
                <w:bCs/>
                <w:sz w:val="24"/>
                <w:szCs w:val="24"/>
                <w:lang w:eastAsia="en-GB"/>
              </w:rPr>
              <w:t>14.9</w:t>
            </w:r>
            <w:r w:rsidRPr="00D564D6">
              <w:rPr>
                <w:rFonts w:ascii="Arial" w:eastAsia="Times New Roman" w:hAnsi="Arial" w:cs="Arial"/>
                <w:b/>
                <w:bCs/>
                <w:sz w:val="24"/>
                <w:szCs w:val="24"/>
                <w:lang w:eastAsia="en-GB"/>
              </w:rPr>
              <w:t>)</w:t>
            </w:r>
          </w:p>
        </w:tc>
      </w:tr>
      <w:tr w:rsidR="004A671F" w:rsidRPr="00C808D7" w14:paraId="2B52ACCA" w14:textId="77777777" w:rsidTr="008E694E">
        <w:trPr>
          <w:trHeight w:val="340"/>
        </w:trPr>
        <w:tc>
          <w:tcPr>
            <w:tcW w:w="3937" w:type="dxa"/>
            <w:tcBorders>
              <w:top w:val="single" w:sz="4" w:space="0" w:color="auto"/>
              <w:left w:val="nil"/>
              <w:bottom w:val="nil"/>
              <w:right w:val="nil"/>
            </w:tcBorders>
            <w:vAlign w:val="center"/>
          </w:tcPr>
          <w:p w14:paraId="542D46CD" w14:textId="77777777" w:rsidR="004A671F" w:rsidRPr="00C808D7" w:rsidRDefault="004A671F" w:rsidP="004A671F">
            <w:pPr>
              <w:spacing w:after="0"/>
              <w:rPr>
                <w:rFonts w:ascii="Arial" w:eastAsia="Times New Roman" w:hAnsi="Arial" w:cs="Arial"/>
                <w:b/>
                <w:bCs/>
                <w:sz w:val="24"/>
                <w:szCs w:val="24"/>
                <w:highlight w:val="yellow"/>
                <w:lang w:eastAsia="en-GB"/>
              </w:rPr>
            </w:pPr>
          </w:p>
        </w:tc>
        <w:tc>
          <w:tcPr>
            <w:tcW w:w="1276" w:type="dxa"/>
            <w:tcBorders>
              <w:top w:val="single" w:sz="4" w:space="0" w:color="auto"/>
              <w:left w:val="nil"/>
              <w:bottom w:val="nil"/>
              <w:right w:val="nil"/>
            </w:tcBorders>
            <w:vAlign w:val="center"/>
          </w:tcPr>
          <w:p w14:paraId="68021058" w14:textId="77777777" w:rsidR="004A671F" w:rsidRPr="00C808D7" w:rsidRDefault="004A671F" w:rsidP="004A671F">
            <w:pPr>
              <w:spacing w:after="0"/>
              <w:jc w:val="right"/>
              <w:rPr>
                <w:rFonts w:ascii="Arial" w:eastAsia="Times New Roman" w:hAnsi="Arial" w:cs="Arial"/>
                <w:b/>
                <w:bCs/>
                <w:sz w:val="24"/>
                <w:szCs w:val="24"/>
                <w:highlight w:val="yellow"/>
                <w:lang w:eastAsia="en-GB"/>
              </w:rPr>
            </w:pPr>
          </w:p>
        </w:tc>
        <w:tc>
          <w:tcPr>
            <w:tcW w:w="1277" w:type="dxa"/>
            <w:tcBorders>
              <w:top w:val="single" w:sz="4" w:space="0" w:color="auto"/>
              <w:left w:val="nil"/>
              <w:bottom w:val="nil"/>
              <w:right w:val="nil"/>
            </w:tcBorders>
            <w:vAlign w:val="center"/>
          </w:tcPr>
          <w:p w14:paraId="3239F30F" w14:textId="77777777" w:rsidR="004A671F" w:rsidRPr="00C808D7" w:rsidRDefault="004A671F" w:rsidP="004A671F">
            <w:pPr>
              <w:spacing w:after="0"/>
              <w:jc w:val="right"/>
              <w:rPr>
                <w:rFonts w:ascii="Arial" w:eastAsia="Times New Roman" w:hAnsi="Arial" w:cs="Arial"/>
                <w:b/>
                <w:bCs/>
                <w:sz w:val="24"/>
                <w:szCs w:val="24"/>
                <w:highlight w:val="yellow"/>
                <w:lang w:eastAsia="en-GB"/>
              </w:rPr>
            </w:pPr>
          </w:p>
        </w:tc>
        <w:tc>
          <w:tcPr>
            <w:tcW w:w="1277" w:type="dxa"/>
            <w:tcBorders>
              <w:top w:val="single" w:sz="4" w:space="0" w:color="auto"/>
              <w:left w:val="nil"/>
              <w:bottom w:val="nil"/>
              <w:right w:val="nil"/>
            </w:tcBorders>
            <w:vAlign w:val="center"/>
          </w:tcPr>
          <w:p w14:paraId="742E6049" w14:textId="77777777" w:rsidR="004A671F" w:rsidRPr="00C808D7" w:rsidRDefault="004A671F" w:rsidP="004A671F">
            <w:pPr>
              <w:spacing w:after="0"/>
              <w:jc w:val="right"/>
              <w:rPr>
                <w:rFonts w:ascii="Arial" w:eastAsia="Times New Roman" w:hAnsi="Arial" w:cs="Arial"/>
                <w:b/>
                <w:bCs/>
                <w:sz w:val="24"/>
                <w:szCs w:val="24"/>
                <w:highlight w:val="yellow"/>
                <w:lang w:eastAsia="en-GB"/>
              </w:rPr>
            </w:pPr>
          </w:p>
        </w:tc>
        <w:tc>
          <w:tcPr>
            <w:tcW w:w="1277" w:type="dxa"/>
            <w:tcBorders>
              <w:top w:val="single" w:sz="4" w:space="0" w:color="auto"/>
              <w:left w:val="nil"/>
              <w:bottom w:val="nil"/>
              <w:right w:val="nil"/>
            </w:tcBorders>
            <w:vAlign w:val="center"/>
          </w:tcPr>
          <w:p w14:paraId="3230C88E" w14:textId="77777777" w:rsidR="004A671F" w:rsidRPr="00C808D7" w:rsidRDefault="004A671F" w:rsidP="004A671F">
            <w:pPr>
              <w:spacing w:after="0"/>
              <w:jc w:val="right"/>
              <w:rPr>
                <w:rFonts w:ascii="Arial" w:eastAsia="Times New Roman" w:hAnsi="Arial" w:cs="Arial"/>
                <w:b/>
                <w:bCs/>
                <w:sz w:val="24"/>
                <w:szCs w:val="24"/>
                <w:highlight w:val="yellow"/>
                <w:lang w:eastAsia="en-GB"/>
              </w:rPr>
            </w:pPr>
          </w:p>
        </w:tc>
        <w:tc>
          <w:tcPr>
            <w:tcW w:w="1276" w:type="dxa"/>
            <w:tcBorders>
              <w:top w:val="single" w:sz="4" w:space="0" w:color="auto"/>
              <w:left w:val="nil"/>
              <w:bottom w:val="nil"/>
              <w:right w:val="nil"/>
            </w:tcBorders>
            <w:vAlign w:val="center"/>
          </w:tcPr>
          <w:p w14:paraId="148AC921" w14:textId="77777777" w:rsidR="004A671F" w:rsidRPr="00C808D7" w:rsidRDefault="004A671F" w:rsidP="004A671F">
            <w:pPr>
              <w:spacing w:after="0"/>
              <w:jc w:val="right"/>
              <w:rPr>
                <w:rFonts w:ascii="Arial" w:eastAsia="Times New Roman" w:hAnsi="Arial" w:cs="Arial"/>
                <w:b/>
                <w:bCs/>
                <w:sz w:val="24"/>
                <w:szCs w:val="24"/>
                <w:highlight w:val="yellow"/>
                <w:lang w:eastAsia="en-GB"/>
              </w:rPr>
            </w:pPr>
          </w:p>
        </w:tc>
      </w:tr>
    </w:tbl>
    <w:p w14:paraId="1DBB84E5" w14:textId="77777777" w:rsidR="004A671F" w:rsidRDefault="004A671F" w:rsidP="004A671F">
      <w:pPr>
        <w:pStyle w:val="ListParagraph"/>
        <w:spacing w:after="240" w:line="240" w:lineRule="auto"/>
        <w:rPr>
          <w:rFonts w:ascii="Arial" w:hAnsi="Arial" w:cs="Arial"/>
          <w:sz w:val="24"/>
          <w:szCs w:val="24"/>
        </w:rPr>
      </w:pPr>
      <w:r w:rsidRPr="00B92A79">
        <w:rPr>
          <w:rFonts w:ascii="Arial" w:hAnsi="Arial" w:cs="Arial"/>
          <w:sz w:val="24"/>
          <w:szCs w:val="24"/>
        </w:rPr>
        <w:t xml:space="preserve">*ACRO is a service hosted by the OPCC; its funds are </w:t>
      </w:r>
      <w:proofErr w:type="gramStart"/>
      <w:r w:rsidRPr="00B92A79">
        <w:rPr>
          <w:rFonts w:ascii="Arial" w:hAnsi="Arial" w:cs="Arial"/>
          <w:sz w:val="24"/>
          <w:szCs w:val="24"/>
        </w:rPr>
        <w:t>ring-fenced</w:t>
      </w:r>
      <w:proofErr w:type="gramEnd"/>
      <w:r w:rsidRPr="00B92A79">
        <w:rPr>
          <w:rFonts w:ascii="Arial" w:hAnsi="Arial" w:cs="Arial"/>
          <w:sz w:val="24"/>
          <w:szCs w:val="24"/>
        </w:rPr>
        <w:t xml:space="preserve"> and it receives interest on the balances it holds.</w:t>
      </w:r>
    </w:p>
    <w:p w14:paraId="3DE611EB" w14:textId="77777777" w:rsidR="004A671F" w:rsidRDefault="004A671F" w:rsidP="004A671F">
      <w:pPr>
        <w:pStyle w:val="ListParagraph"/>
        <w:spacing w:after="240" w:line="240" w:lineRule="auto"/>
        <w:rPr>
          <w:rFonts w:ascii="Arial" w:hAnsi="Arial" w:cs="Arial"/>
          <w:sz w:val="24"/>
          <w:szCs w:val="24"/>
        </w:rPr>
      </w:pPr>
    </w:p>
    <w:p w14:paraId="3E4A3E36" w14:textId="77777777" w:rsidR="004A671F" w:rsidRDefault="004A671F" w:rsidP="004A671F">
      <w:pPr>
        <w:pStyle w:val="ListParagraph"/>
        <w:numPr>
          <w:ilvl w:val="1"/>
          <w:numId w:val="48"/>
        </w:numPr>
        <w:spacing w:after="240" w:line="240" w:lineRule="auto"/>
        <w:ind w:left="720" w:hanging="720"/>
        <w:rPr>
          <w:rFonts w:ascii="Arial" w:hAnsi="Arial" w:cs="Arial"/>
          <w:sz w:val="24"/>
          <w:szCs w:val="24"/>
        </w:rPr>
      </w:pPr>
      <w:r>
        <w:rPr>
          <w:rFonts w:ascii="Arial" w:hAnsi="Arial" w:cs="Arial"/>
          <w:sz w:val="24"/>
          <w:szCs w:val="24"/>
        </w:rPr>
        <w:t xml:space="preserve">The underlying need to borrow for capital purposes is measured by the Capital Financing Requirement (CFR), while usable reserves and working capital are the underlying resources available for investment.  The OPCC’s current strategy is to maintain borrowing and investments below their underlying levels, sometimes known as internal borrowing. </w:t>
      </w:r>
    </w:p>
    <w:p w14:paraId="41416F4A" w14:textId="77777777" w:rsidR="004A671F" w:rsidRDefault="004A671F" w:rsidP="004A671F">
      <w:pPr>
        <w:pStyle w:val="ListParagraph"/>
        <w:spacing w:after="240" w:line="240" w:lineRule="auto"/>
        <w:rPr>
          <w:rFonts w:ascii="Arial" w:hAnsi="Arial" w:cs="Arial"/>
          <w:sz w:val="24"/>
          <w:szCs w:val="24"/>
        </w:rPr>
      </w:pPr>
    </w:p>
    <w:p w14:paraId="29228EDD" w14:textId="77777777" w:rsidR="0040472C" w:rsidRDefault="004A671F" w:rsidP="004A671F">
      <w:pPr>
        <w:pStyle w:val="ListParagraph"/>
        <w:numPr>
          <w:ilvl w:val="1"/>
          <w:numId w:val="48"/>
        </w:numPr>
        <w:spacing w:after="240" w:line="240" w:lineRule="auto"/>
        <w:ind w:left="720" w:hanging="720"/>
        <w:rPr>
          <w:rFonts w:ascii="Arial" w:hAnsi="Arial" w:cs="Arial"/>
          <w:sz w:val="24"/>
          <w:szCs w:val="24"/>
        </w:rPr>
      </w:pPr>
      <w:r>
        <w:rPr>
          <w:rFonts w:ascii="Arial" w:hAnsi="Arial" w:cs="Arial"/>
          <w:sz w:val="24"/>
          <w:szCs w:val="24"/>
        </w:rPr>
        <w:t>The usable reserves are expected to reduce significantly over the medium-term as these are used to finance the capital programme and to support the additional</w:t>
      </w:r>
      <w:r w:rsidR="00FF6959">
        <w:rPr>
          <w:rFonts w:ascii="Arial" w:hAnsi="Arial" w:cs="Arial"/>
          <w:sz w:val="24"/>
          <w:szCs w:val="24"/>
        </w:rPr>
        <w:t xml:space="preserve"> </w:t>
      </w:r>
      <w:r>
        <w:rPr>
          <w:rFonts w:ascii="Arial" w:hAnsi="Arial" w:cs="Arial"/>
          <w:sz w:val="24"/>
          <w:szCs w:val="24"/>
        </w:rPr>
        <w:t xml:space="preserve">revenue costs of implementing the transformation programme.  </w:t>
      </w:r>
    </w:p>
    <w:p w14:paraId="2DCF855C" w14:textId="77777777" w:rsidR="0040472C" w:rsidRDefault="0040472C" w:rsidP="0040472C">
      <w:pPr>
        <w:pStyle w:val="ListParagraph"/>
        <w:rPr>
          <w:rFonts w:ascii="Arial" w:hAnsi="Arial" w:cs="Arial"/>
          <w:sz w:val="24"/>
          <w:szCs w:val="24"/>
        </w:rPr>
      </w:pPr>
    </w:p>
    <w:p w14:paraId="06574347" w14:textId="53A001DE" w:rsidR="004A671F" w:rsidRDefault="0040472C" w:rsidP="004A671F">
      <w:pPr>
        <w:pStyle w:val="ListParagraph"/>
        <w:numPr>
          <w:ilvl w:val="1"/>
          <w:numId w:val="48"/>
        </w:numPr>
        <w:spacing w:after="240" w:line="240" w:lineRule="auto"/>
        <w:ind w:left="720" w:hanging="720"/>
        <w:rPr>
          <w:rFonts w:ascii="Arial" w:hAnsi="Arial" w:cs="Arial"/>
          <w:sz w:val="24"/>
          <w:szCs w:val="24"/>
        </w:rPr>
      </w:pPr>
      <w:r>
        <w:rPr>
          <w:rFonts w:ascii="Arial" w:hAnsi="Arial" w:cs="Arial"/>
          <w:sz w:val="24"/>
          <w:szCs w:val="24"/>
        </w:rPr>
        <w:t>This</w:t>
      </w:r>
      <w:r w:rsidR="004A671F">
        <w:rPr>
          <w:rFonts w:ascii="Arial" w:hAnsi="Arial" w:cs="Arial"/>
          <w:sz w:val="24"/>
          <w:szCs w:val="24"/>
        </w:rPr>
        <w:t xml:space="preserve"> use of reserves is</w:t>
      </w:r>
      <w:r w:rsidR="003B3C23">
        <w:rPr>
          <w:rFonts w:ascii="Arial" w:hAnsi="Arial" w:cs="Arial"/>
          <w:sz w:val="24"/>
          <w:szCs w:val="24"/>
        </w:rPr>
        <w:t xml:space="preserve"> </w:t>
      </w:r>
      <w:r w:rsidR="004A671F">
        <w:rPr>
          <w:rFonts w:ascii="Arial" w:hAnsi="Arial" w:cs="Arial"/>
          <w:sz w:val="24"/>
          <w:szCs w:val="24"/>
        </w:rPr>
        <w:t xml:space="preserve">predicated on decisions being made </w:t>
      </w:r>
      <w:proofErr w:type="gramStart"/>
      <w:r w:rsidR="004A671F">
        <w:rPr>
          <w:rFonts w:ascii="Arial" w:hAnsi="Arial" w:cs="Arial"/>
          <w:sz w:val="24"/>
          <w:szCs w:val="24"/>
        </w:rPr>
        <w:t>on the basis of</w:t>
      </w:r>
      <w:proofErr w:type="gramEnd"/>
      <w:r w:rsidR="004A671F">
        <w:rPr>
          <w:rFonts w:ascii="Arial" w:hAnsi="Arial" w:cs="Arial"/>
          <w:sz w:val="24"/>
          <w:szCs w:val="24"/>
        </w:rPr>
        <w:t xml:space="preserve"> business cases that have not yet been submitted and</w:t>
      </w:r>
      <w:r w:rsidR="005C53BA">
        <w:rPr>
          <w:rFonts w:ascii="Arial" w:hAnsi="Arial" w:cs="Arial"/>
          <w:sz w:val="24"/>
          <w:szCs w:val="24"/>
        </w:rPr>
        <w:t xml:space="preserve"> on</w:t>
      </w:r>
      <w:r w:rsidR="004A671F">
        <w:rPr>
          <w:rFonts w:ascii="Arial" w:hAnsi="Arial" w:cs="Arial"/>
          <w:sz w:val="24"/>
          <w:szCs w:val="24"/>
        </w:rPr>
        <w:t xml:space="preserve"> any resultant </w:t>
      </w:r>
      <w:r>
        <w:rPr>
          <w:rFonts w:ascii="Arial" w:hAnsi="Arial" w:cs="Arial"/>
          <w:sz w:val="24"/>
          <w:szCs w:val="24"/>
        </w:rPr>
        <w:t>expenditure</w:t>
      </w:r>
      <w:r w:rsidR="004A671F">
        <w:rPr>
          <w:rFonts w:ascii="Arial" w:hAnsi="Arial" w:cs="Arial"/>
          <w:sz w:val="24"/>
          <w:szCs w:val="24"/>
        </w:rPr>
        <w:t xml:space="preserve"> being in line with the current capital programme and revenue projections.  Consequently, this is a best estimate</w:t>
      </w:r>
      <w:r>
        <w:rPr>
          <w:rFonts w:ascii="Arial" w:hAnsi="Arial" w:cs="Arial"/>
          <w:sz w:val="24"/>
          <w:szCs w:val="24"/>
        </w:rPr>
        <w:t xml:space="preserve"> and </w:t>
      </w:r>
      <w:r w:rsidR="004A671F">
        <w:rPr>
          <w:rFonts w:ascii="Arial" w:hAnsi="Arial" w:cs="Arial"/>
          <w:sz w:val="24"/>
          <w:szCs w:val="24"/>
        </w:rPr>
        <w:t xml:space="preserve">it is </w:t>
      </w:r>
      <w:r w:rsidR="0010725D">
        <w:rPr>
          <w:rFonts w:ascii="Arial" w:hAnsi="Arial" w:cs="Arial"/>
          <w:sz w:val="24"/>
          <w:szCs w:val="24"/>
        </w:rPr>
        <w:t>likely</w:t>
      </w:r>
      <w:r w:rsidR="004A671F">
        <w:rPr>
          <w:rFonts w:ascii="Arial" w:hAnsi="Arial" w:cs="Arial"/>
          <w:sz w:val="24"/>
          <w:szCs w:val="24"/>
        </w:rPr>
        <w:t xml:space="preserve"> that the</w:t>
      </w:r>
      <w:r w:rsidR="0010725D">
        <w:rPr>
          <w:rFonts w:ascii="Arial" w:hAnsi="Arial" w:cs="Arial"/>
          <w:sz w:val="24"/>
          <w:szCs w:val="24"/>
        </w:rPr>
        <w:t xml:space="preserve"> actual</w:t>
      </w:r>
      <w:r w:rsidR="004A671F">
        <w:rPr>
          <w:rFonts w:ascii="Arial" w:hAnsi="Arial" w:cs="Arial"/>
          <w:sz w:val="24"/>
          <w:szCs w:val="24"/>
        </w:rPr>
        <w:t xml:space="preserve"> spending profile will be different to that assumed and this will have an impact upon the level of reserves shown in Table 1.</w:t>
      </w:r>
    </w:p>
    <w:p w14:paraId="5CBCA2A7" w14:textId="77777777" w:rsidR="004A671F" w:rsidRDefault="004A671F" w:rsidP="004A671F">
      <w:pPr>
        <w:pStyle w:val="ListParagraph"/>
        <w:spacing w:after="240" w:line="240" w:lineRule="auto"/>
        <w:rPr>
          <w:rFonts w:ascii="Arial" w:hAnsi="Arial" w:cs="Arial"/>
          <w:sz w:val="24"/>
          <w:szCs w:val="24"/>
        </w:rPr>
      </w:pPr>
    </w:p>
    <w:p w14:paraId="4BB8D2C9" w14:textId="3A5C662D" w:rsidR="004A671F" w:rsidRDefault="004A671F" w:rsidP="004A671F">
      <w:pPr>
        <w:pStyle w:val="ListParagraph"/>
        <w:numPr>
          <w:ilvl w:val="1"/>
          <w:numId w:val="48"/>
        </w:numPr>
        <w:spacing w:after="240" w:line="240" w:lineRule="auto"/>
        <w:ind w:left="720" w:hanging="720"/>
        <w:rPr>
          <w:rFonts w:ascii="Arial" w:hAnsi="Arial" w:cs="Arial"/>
          <w:sz w:val="24"/>
          <w:szCs w:val="24"/>
        </w:rPr>
      </w:pPr>
      <w:r>
        <w:rPr>
          <w:rFonts w:ascii="Arial" w:hAnsi="Arial" w:cs="Arial"/>
          <w:sz w:val="24"/>
          <w:szCs w:val="24"/>
        </w:rPr>
        <w:t>CIPFA’s Prudential Code for Capital Finance in Local Authorities recommends that the OPCC’s total debt should be lower than its highest forecast CFR over the next three years.  Table 1 shows that the OPCC expects to comply with this recommendation during 20</w:t>
      </w:r>
      <w:r w:rsidR="002855C0">
        <w:rPr>
          <w:rFonts w:ascii="Arial" w:hAnsi="Arial" w:cs="Arial"/>
          <w:sz w:val="24"/>
          <w:szCs w:val="24"/>
        </w:rPr>
        <w:t>20</w:t>
      </w:r>
      <w:r>
        <w:rPr>
          <w:rFonts w:ascii="Arial" w:hAnsi="Arial" w:cs="Arial"/>
          <w:sz w:val="24"/>
          <w:szCs w:val="24"/>
        </w:rPr>
        <w:t>/2</w:t>
      </w:r>
      <w:r w:rsidR="002855C0">
        <w:rPr>
          <w:rFonts w:ascii="Arial" w:hAnsi="Arial" w:cs="Arial"/>
          <w:sz w:val="24"/>
          <w:szCs w:val="24"/>
        </w:rPr>
        <w:t>1</w:t>
      </w:r>
      <w:r>
        <w:rPr>
          <w:rFonts w:ascii="Arial" w:hAnsi="Arial" w:cs="Arial"/>
          <w:sz w:val="24"/>
          <w:szCs w:val="24"/>
        </w:rPr>
        <w:t xml:space="preserve">.  </w:t>
      </w:r>
      <w:bookmarkEnd w:id="8"/>
      <w:bookmarkEnd w:id="9"/>
    </w:p>
    <w:p w14:paraId="0C7B3500" w14:textId="77777777" w:rsidR="004A671F" w:rsidRDefault="004A671F" w:rsidP="004A671F">
      <w:pPr>
        <w:pStyle w:val="ListParagraph"/>
        <w:spacing w:after="240" w:line="240" w:lineRule="auto"/>
        <w:rPr>
          <w:rFonts w:ascii="Arial" w:hAnsi="Arial" w:cs="Arial"/>
          <w:sz w:val="24"/>
          <w:szCs w:val="24"/>
        </w:rPr>
      </w:pPr>
    </w:p>
    <w:p w14:paraId="6DACFB84" w14:textId="77777777" w:rsidR="00405053" w:rsidRPr="00F22CB2" w:rsidRDefault="007C5471" w:rsidP="00CA200E">
      <w:pPr>
        <w:pStyle w:val="ListParagraph"/>
        <w:keepNext/>
        <w:numPr>
          <w:ilvl w:val="0"/>
          <w:numId w:val="27"/>
        </w:numPr>
        <w:tabs>
          <w:tab w:val="num" w:pos="720"/>
        </w:tabs>
        <w:spacing w:after="240" w:line="240" w:lineRule="auto"/>
        <w:ind w:left="431" w:hanging="431"/>
        <w:contextualSpacing w:val="0"/>
        <w:outlineLvl w:val="0"/>
        <w:rPr>
          <w:rFonts w:ascii="Arial" w:hAnsi="Arial" w:cs="Arial"/>
          <w:b/>
          <w:sz w:val="24"/>
        </w:rPr>
      </w:pPr>
      <w:r w:rsidRPr="00F22CB2">
        <w:rPr>
          <w:rFonts w:ascii="Arial" w:hAnsi="Arial" w:cs="Arial"/>
          <w:b/>
          <w:sz w:val="24"/>
        </w:rPr>
        <w:t>Borrowing Strategy</w:t>
      </w:r>
    </w:p>
    <w:p w14:paraId="2039F1D6" w14:textId="5BDD1489" w:rsidR="0041798A" w:rsidRDefault="0041798A" w:rsidP="00DB2D78">
      <w:pPr>
        <w:pStyle w:val="ListParagraph"/>
        <w:numPr>
          <w:ilvl w:val="1"/>
          <w:numId w:val="27"/>
        </w:numPr>
        <w:spacing w:after="240" w:line="240" w:lineRule="auto"/>
        <w:ind w:left="720" w:hanging="720"/>
        <w:contextualSpacing w:val="0"/>
        <w:rPr>
          <w:rFonts w:ascii="Arial" w:hAnsi="Arial" w:cs="Arial"/>
          <w:sz w:val="24"/>
          <w:szCs w:val="24"/>
        </w:rPr>
      </w:pPr>
      <w:r w:rsidRPr="004B31F4">
        <w:rPr>
          <w:rFonts w:ascii="Arial" w:hAnsi="Arial" w:cs="Arial"/>
          <w:sz w:val="24"/>
          <w:szCs w:val="24"/>
        </w:rPr>
        <w:t xml:space="preserve">The </w:t>
      </w:r>
      <w:r w:rsidR="00CA200E" w:rsidRPr="004B31F4">
        <w:rPr>
          <w:rFonts w:ascii="Arial" w:hAnsi="Arial" w:cs="Arial"/>
          <w:sz w:val="24"/>
          <w:szCs w:val="24"/>
        </w:rPr>
        <w:t>OPCC</w:t>
      </w:r>
      <w:r w:rsidRPr="004B31F4">
        <w:rPr>
          <w:rFonts w:ascii="Arial" w:hAnsi="Arial" w:cs="Arial"/>
          <w:sz w:val="24"/>
          <w:szCs w:val="24"/>
        </w:rPr>
        <w:t xml:space="preserve"> currently </w:t>
      </w:r>
      <w:r w:rsidRPr="00B76B5F">
        <w:rPr>
          <w:rFonts w:ascii="Arial" w:hAnsi="Arial" w:cs="Arial"/>
          <w:sz w:val="24"/>
          <w:szCs w:val="24"/>
        </w:rPr>
        <w:t xml:space="preserve">holds </w:t>
      </w:r>
      <w:r w:rsidR="00243E06" w:rsidRPr="00B76B5F">
        <w:rPr>
          <w:rFonts w:ascii="Arial" w:hAnsi="Arial" w:cs="Arial"/>
          <w:sz w:val="24"/>
          <w:szCs w:val="24"/>
        </w:rPr>
        <w:t>£</w:t>
      </w:r>
      <w:r w:rsidR="009E011B" w:rsidRPr="00B76B5F">
        <w:rPr>
          <w:rFonts w:ascii="Arial" w:hAnsi="Arial" w:cs="Arial"/>
          <w:sz w:val="24"/>
          <w:szCs w:val="24"/>
        </w:rPr>
        <w:t>3</w:t>
      </w:r>
      <w:r w:rsidR="00B76B5F" w:rsidRPr="00B76B5F">
        <w:rPr>
          <w:rFonts w:ascii="Arial" w:hAnsi="Arial" w:cs="Arial"/>
          <w:sz w:val="24"/>
          <w:szCs w:val="24"/>
        </w:rPr>
        <w:t>0.7</w:t>
      </w:r>
      <w:r w:rsidR="00F22CB2" w:rsidRPr="00B76B5F">
        <w:rPr>
          <w:rFonts w:ascii="Arial" w:hAnsi="Arial" w:cs="Arial"/>
          <w:sz w:val="24"/>
          <w:szCs w:val="24"/>
        </w:rPr>
        <w:t>m</w:t>
      </w:r>
      <w:r w:rsidRPr="00B76B5F">
        <w:rPr>
          <w:rFonts w:ascii="Arial" w:hAnsi="Arial" w:cs="Arial"/>
          <w:sz w:val="24"/>
          <w:szCs w:val="24"/>
        </w:rPr>
        <w:t xml:space="preserve"> of loans, a </w:t>
      </w:r>
      <w:r w:rsidR="009C1F3C" w:rsidRPr="00B76B5F">
        <w:rPr>
          <w:rFonts w:ascii="Arial" w:hAnsi="Arial" w:cs="Arial"/>
          <w:sz w:val="24"/>
          <w:szCs w:val="24"/>
        </w:rPr>
        <w:t>decrease</w:t>
      </w:r>
      <w:r w:rsidRPr="00B76B5F">
        <w:rPr>
          <w:rFonts w:ascii="Arial" w:hAnsi="Arial" w:cs="Arial"/>
          <w:sz w:val="24"/>
          <w:szCs w:val="24"/>
        </w:rPr>
        <w:t xml:space="preserve"> of </w:t>
      </w:r>
      <w:r w:rsidR="00243E06" w:rsidRPr="00B76B5F">
        <w:rPr>
          <w:rFonts w:ascii="Arial" w:hAnsi="Arial" w:cs="Arial"/>
          <w:sz w:val="24"/>
          <w:szCs w:val="24"/>
        </w:rPr>
        <w:t>£</w:t>
      </w:r>
      <w:r w:rsidR="00B76B5F" w:rsidRPr="00B76B5F">
        <w:rPr>
          <w:rFonts w:ascii="Arial" w:hAnsi="Arial" w:cs="Arial"/>
          <w:sz w:val="24"/>
          <w:szCs w:val="24"/>
        </w:rPr>
        <w:t>0.5</w:t>
      </w:r>
      <w:r w:rsidRPr="00B76B5F">
        <w:rPr>
          <w:rFonts w:ascii="Arial" w:hAnsi="Arial" w:cs="Arial"/>
          <w:sz w:val="24"/>
          <w:szCs w:val="24"/>
        </w:rPr>
        <w:t>m</w:t>
      </w:r>
      <w:r w:rsidRPr="004B31F4">
        <w:rPr>
          <w:rFonts w:ascii="Arial" w:hAnsi="Arial" w:cs="Arial"/>
          <w:sz w:val="24"/>
          <w:szCs w:val="24"/>
        </w:rPr>
        <w:t xml:space="preserve"> on the previous year, as part of its strategy for funding previ</w:t>
      </w:r>
      <w:r w:rsidR="002A6A8D" w:rsidRPr="004B31F4">
        <w:rPr>
          <w:rFonts w:ascii="Arial" w:hAnsi="Arial" w:cs="Arial"/>
          <w:sz w:val="24"/>
          <w:szCs w:val="24"/>
        </w:rPr>
        <w:t xml:space="preserve">ous years’ capital programmes.  </w:t>
      </w:r>
      <w:r w:rsidR="004B31F4" w:rsidRPr="004B31F4">
        <w:rPr>
          <w:rFonts w:ascii="Arial" w:hAnsi="Arial" w:cs="Arial"/>
          <w:sz w:val="24"/>
          <w:szCs w:val="24"/>
        </w:rPr>
        <w:t>Although t</w:t>
      </w:r>
      <w:r w:rsidR="002A6A8D" w:rsidRPr="004B31F4">
        <w:rPr>
          <w:rFonts w:ascii="Arial" w:hAnsi="Arial" w:cs="Arial"/>
          <w:sz w:val="24"/>
          <w:szCs w:val="24"/>
        </w:rPr>
        <w:t xml:space="preserve">he balance sheet forecast in </w:t>
      </w:r>
      <w:r w:rsidR="00CA200E" w:rsidRPr="004B31F4">
        <w:rPr>
          <w:rFonts w:ascii="Arial" w:hAnsi="Arial" w:cs="Arial"/>
          <w:sz w:val="24"/>
          <w:szCs w:val="24"/>
        </w:rPr>
        <w:t>T</w:t>
      </w:r>
      <w:r w:rsidR="002A6A8D" w:rsidRPr="004B31F4">
        <w:rPr>
          <w:rFonts w:ascii="Arial" w:hAnsi="Arial" w:cs="Arial"/>
          <w:sz w:val="24"/>
          <w:szCs w:val="24"/>
        </w:rPr>
        <w:t xml:space="preserve">able 1 shows that the </w:t>
      </w:r>
      <w:r w:rsidR="00CA200E" w:rsidRPr="004B31F4">
        <w:rPr>
          <w:rFonts w:ascii="Arial" w:hAnsi="Arial" w:cs="Arial"/>
          <w:sz w:val="24"/>
          <w:szCs w:val="24"/>
        </w:rPr>
        <w:t>OPCC</w:t>
      </w:r>
      <w:r w:rsidR="002A6A8D" w:rsidRPr="004B31F4">
        <w:rPr>
          <w:rFonts w:ascii="Arial" w:hAnsi="Arial" w:cs="Arial"/>
          <w:sz w:val="24"/>
          <w:szCs w:val="24"/>
        </w:rPr>
        <w:t xml:space="preserve"> </w:t>
      </w:r>
      <w:r w:rsidR="004B31F4" w:rsidRPr="004B31F4">
        <w:rPr>
          <w:rFonts w:ascii="Arial" w:hAnsi="Arial" w:cs="Arial"/>
          <w:sz w:val="24"/>
          <w:szCs w:val="24"/>
        </w:rPr>
        <w:t>will maintain a ne</w:t>
      </w:r>
      <w:r w:rsidR="005C34B3">
        <w:rPr>
          <w:rFonts w:ascii="Arial" w:hAnsi="Arial" w:cs="Arial"/>
          <w:sz w:val="24"/>
          <w:szCs w:val="24"/>
        </w:rPr>
        <w:t>t</w:t>
      </w:r>
      <w:r w:rsidR="004B31F4" w:rsidRPr="004B31F4">
        <w:rPr>
          <w:rFonts w:ascii="Arial" w:hAnsi="Arial" w:cs="Arial"/>
          <w:sz w:val="24"/>
          <w:szCs w:val="24"/>
        </w:rPr>
        <w:t xml:space="preserve"> investment position, it may need to borrow to fund capital expenditure to maintain its long-term and minimum level of investments</w:t>
      </w:r>
      <w:r w:rsidR="002A6A8D" w:rsidRPr="004B31F4">
        <w:rPr>
          <w:rFonts w:ascii="Arial" w:hAnsi="Arial" w:cs="Arial"/>
          <w:sz w:val="24"/>
          <w:szCs w:val="24"/>
        </w:rPr>
        <w:t>.</w:t>
      </w:r>
      <w:r w:rsidR="00BD72CD" w:rsidRPr="004B31F4">
        <w:rPr>
          <w:rFonts w:ascii="Arial" w:hAnsi="Arial" w:cs="Arial"/>
          <w:sz w:val="24"/>
          <w:szCs w:val="24"/>
        </w:rPr>
        <w:t xml:space="preserve">  </w:t>
      </w:r>
      <w:r w:rsidR="00FA5BB4" w:rsidRPr="004B31F4">
        <w:rPr>
          <w:rFonts w:ascii="Arial" w:hAnsi="Arial" w:cs="Arial"/>
          <w:sz w:val="24"/>
          <w:szCs w:val="24"/>
        </w:rPr>
        <w:t>T</w:t>
      </w:r>
      <w:r w:rsidR="00BD72CD" w:rsidRPr="004B31F4">
        <w:rPr>
          <w:rFonts w:ascii="Arial" w:hAnsi="Arial" w:cs="Arial"/>
          <w:sz w:val="24"/>
          <w:szCs w:val="24"/>
        </w:rPr>
        <w:t xml:space="preserve">he </w:t>
      </w:r>
      <w:r w:rsidR="00CA200E" w:rsidRPr="004B31F4">
        <w:rPr>
          <w:rFonts w:ascii="Arial" w:hAnsi="Arial" w:cs="Arial"/>
          <w:sz w:val="24"/>
          <w:szCs w:val="24"/>
        </w:rPr>
        <w:t>OPCC</w:t>
      </w:r>
      <w:r w:rsidR="00BD72CD" w:rsidRPr="004B31F4">
        <w:rPr>
          <w:rFonts w:ascii="Arial" w:hAnsi="Arial" w:cs="Arial"/>
          <w:sz w:val="24"/>
          <w:szCs w:val="24"/>
        </w:rPr>
        <w:t xml:space="preserve"> may</w:t>
      </w:r>
      <w:r w:rsidR="0017508D" w:rsidRPr="004B31F4">
        <w:rPr>
          <w:rFonts w:ascii="Arial" w:hAnsi="Arial" w:cs="Arial"/>
          <w:sz w:val="24"/>
          <w:szCs w:val="24"/>
        </w:rPr>
        <w:t xml:space="preserve"> </w:t>
      </w:r>
      <w:r w:rsidR="00B2110E" w:rsidRPr="004B31F4">
        <w:rPr>
          <w:rFonts w:ascii="Arial" w:hAnsi="Arial" w:cs="Arial"/>
          <w:sz w:val="24"/>
          <w:szCs w:val="24"/>
        </w:rPr>
        <w:t>borrow</w:t>
      </w:r>
      <w:r w:rsidR="00BD72CD" w:rsidRPr="004B31F4">
        <w:rPr>
          <w:rFonts w:ascii="Arial" w:hAnsi="Arial" w:cs="Arial"/>
          <w:sz w:val="24"/>
          <w:szCs w:val="24"/>
        </w:rPr>
        <w:t xml:space="preserve"> to pre-fund future years’ requirements</w:t>
      </w:r>
      <w:r w:rsidR="00FA5BB4" w:rsidRPr="004B31F4">
        <w:rPr>
          <w:rFonts w:ascii="Arial" w:hAnsi="Arial" w:cs="Arial"/>
          <w:sz w:val="24"/>
          <w:szCs w:val="24"/>
        </w:rPr>
        <w:t>, providing this does not exceed</w:t>
      </w:r>
      <w:r w:rsidR="00BD72CD" w:rsidRPr="004B31F4">
        <w:rPr>
          <w:rFonts w:ascii="Arial" w:hAnsi="Arial" w:cs="Arial"/>
          <w:sz w:val="24"/>
          <w:szCs w:val="24"/>
        </w:rPr>
        <w:t xml:space="preserve"> the </w:t>
      </w:r>
      <w:r w:rsidR="0017508D" w:rsidRPr="004B31F4">
        <w:rPr>
          <w:rFonts w:ascii="Arial" w:hAnsi="Arial" w:cs="Arial"/>
          <w:sz w:val="24"/>
          <w:szCs w:val="24"/>
        </w:rPr>
        <w:t>a</w:t>
      </w:r>
      <w:r w:rsidR="00BD72CD" w:rsidRPr="004B31F4">
        <w:rPr>
          <w:rFonts w:ascii="Arial" w:hAnsi="Arial" w:cs="Arial"/>
          <w:sz w:val="24"/>
          <w:szCs w:val="24"/>
        </w:rPr>
        <w:t xml:space="preserve">uthorised </w:t>
      </w:r>
      <w:r w:rsidR="0017508D" w:rsidRPr="004B31F4">
        <w:rPr>
          <w:rFonts w:ascii="Arial" w:hAnsi="Arial" w:cs="Arial"/>
          <w:sz w:val="24"/>
          <w:szCs w:val="24"/>
        </w:rPr>
        <w:t>l</w:t>
      </w:r>
      <w:r w:rsidR="00BD72CD" w:rsidRPr="004B31F4">
        <w:rPr>
          <w:rFonts w:ascii="Arial" w:hAnsi="Arial" w:cs="Arial"/>
          <w:sz w:val="24"/>
          <w:szCs w:val="24"/>
        </w:rPr>
        <w:t xml:space="preserve">imit </w:t>
      </w:r>
      <w:r w:rsidR="0017508D" w:rsidRPr="004B31F4">
        <w:rPr>
          <w:rFonts w:ascii="Arial" w:hAnsi="Arial" w:cs="Arial"/>
          <w:sz w:val="24"/>
          <w:szCs w:val="24"/>
        </w:rPr>
        <w:t xml:space="preserve">for borrowing </w:t>
      </w:r>
      <w:r w:rsidR="00BD72CD" w:rsidRPr="004B31F4">
        <w:rPr>
          <w:rFonts w:ascii="Arial" w:hAnsi="Arial" w:cs="Arial"/>
          <w:sz w:val="24"/>
          <w:szCs w:val="24"/>
        </w:rPr>
        <w:t xml:space="preserve">of </w:t>
      </w:r>
      <w:r w:rsidR="00BD72CD" w:rsidRPr="009F2708">
        <w:rPr>
          <w:rFonts w:ascii="Arial" w:hAnsi="Arial" w:cs="Arial"/>
          <w:sz w:val="24"/>
          <w:szCs w:val="24"/>
        </w:rPr>
        <w:t>£</w:t>
      </w:r>
      <w:r w:rsidR="00170DBE" w:rsidRPr="009F2708">
        <w:rPr>
          <w:rFonts w:ascii="Arial" w:hAnsi="Arial" w:cs="Arial"/>
          <w:sz w:val="24"/>
          <w:szCs w:val="24"/>
        </w:rPr>
        <w:t>8</w:t>
      </w:r>
      <w:r w:rsidR="009F2708" w:rsidRPr="009F2708">
        <w:rPr>
          <w:rFonts w:ascii="Arial" w:hAnsi="Arial" w:cs="Arial"/>
          <w:sz w:val="24"/>
          <w:szCs w:val="24"/>
        </w:rPr>
        <w:t>1.5</w:t>
      </w:r>
      <w:r w:rsidR="00BD72CD" w:rsidRPr="009F2708">
        <w:rPr>
          <w:rFonts w:ascii="Arial" w:hAnsi="Arial" w:cs="Arial"/>
          <w:sz w:val="24"/>
          <w:szCs w:val="24"/>
        </w:rPr>
        <w:t>m</w:t>
      </w:r>
      <w:r w:rsidR="00FA5BB4" w:rsidRPr="009F2708">
        <w:rPr>
          <w:rFonts w:ascii="Arial" w:hAnsi="Arial" w:cs="Arial"/>
          <w:sz w:val="24"/>
          <w:szCs w:val="24"/>
        </w:rPr>
        <w:t>.</w:t>
      </w:r>
    </w:p>
    <w:p w14:paraId="4F77FD7F" w14:textId="2A683F76" w:rsidR="007723E0" w:rsidRPr="001F736A" w:rsidRDefault="00B6334A" w:rsidP="00DB2D78">
      <w:pPr>
        <w:pStyle w:val="ListParagraph"/>
        <w:numPr>
          <w:ilvl w:val="1"/>
          <w:numId w:val="27"/>
        </w:numPr>
        <w:spacing w:after="240" w:line="240" w:lineRule="auto"/>
        <w:ind w:left="720" w:hanging="720"/>
        <w:contextualSpacing w:val="0"/>
        <w:rPr>
          <w:rFonts w:ascii="Arial" w:hAnsi="Arial" w:cs="Arial"/>
          <w:sz w:val="24"/>
          <w:szCs w:val="24"/>
        </w:rPr>
      </w:pPr>
      <w:r w:rsidRPr="001F736A">
        <w:rPr>
          <w:rFonts w:ascii="Arial" w:hAnsi="Arial" w:cs="Arial"/>
          <w:sz w:val="24"/>
          <w:szCs w:val="24"/>
        </w:rPr>
        <w:t xml:space="preserve">In addition to the </w:t>
      </w:r>
      <w:r w:rsidR="0088243B" w:rsidRPr="001F736A">
        <w:rPr>
          <w:rFonts w:ascii="Arial" w:hAnsi="Arial" w:cs="Arial"/>
          <w:sz w:val="24"/>
          <w:szCs w:val="24"/>
        </w:rPr>
        <w:t xml:space="preserve">capital programme set out, </w:t>
      </w:r>
      <w:proofErr w:type="gramStart"/>
      <w:r w:rsidR="00A43919" w:rsidRPr="001F736A">
        <w:rPr>
          <w:rFonts w:ascii="Arial" w:hAnsi="Arial" w:cs="Arial"/>
          <w:sz w:val="24"/>
          <w:szCs w:val="24"/>
        </w:rPr>
        <w:t>a number of</w:t>
      </w:r>
      <w:proofErr w:type="gramEnd"/>
      <w:r w:rsidR="00A43919" w:rsidRPr="001F736A">
        <w:rPr>
          <w:rFonts w:ascii="Arial" w:hAnsi="Arial" w:cs="Arial"/>
          <w:sz w:val="24"/>
          <w:szCs w:val="24"/>
        </w:rPr>
        <w:t xml:space="preserve"> </w:t>
      </w:r>
      <w:r w:rsidR="00150CF8" w:rsidRPr="001F736A">
        <w:rPr>
          <w:rFonts w:ascii="Arial" w:hAnsi="Arial" w:cs="Arial"/>
          <w:sz w:val="24"/>
          <w:szCs w:val="24"/>
        </w:rPr>
        <w:t xml:space="preserve">further </w:t>
      </w:r>
      <w:r w:rsidR="00A43919" w:rsidRPr="001F736A">
        <w:rPr>
          <w:rFonts w:ascii="Arial" w:hAnsi="Arial" w:cs="Arial"/>
          <w:sz w:val="24"/>
          <w:szCs w:val="24"/>
        </w:rPr>
        <w:t xml:space="preserve">initiatives are </w:t>
      </w:r>
      <w:r w:rsidR="00150CF8" w:rsidRPr="001F736A">
        <w:rPr>
          <w:rFonts w:ascii="Arial" w:hAnsi="Arial" w:cs="Arial"/>
          <w:sz w:val="24"/>
          <w:szCs w:val="24"/>
        </w:rPr>
        <w:t xml:space="preserve">in the process of </w:t>
      </w:r>
      <w:r w:rsidR="00A43919" w:rsidRPr="001F736A">
        <w:rPr>
          <w:rFonts w:ascii="Arial" w:hAnsi="Arial" w:cs="Arial"/>
          <w:sz w:val="24"/>
          <w:szCs w:val="24"/>
        </w:rPr>
        <w:t>being drawn up</w:t>
      </w:r>
      <w:r w:rsidR="00854101" w:rsidRPr="001F736A">
        <w:rPr>
          <w:rFonts w:ascii="Arial" w:hAnsi="Arial" w:cs="Arial"/>
          <w:sz w:val="24"/>
          <w:szCs w:val="24"/>
        </w:rPr>
        <w:t xml:space="preserve"> </w:t>
      </w:r>
      <w:r w:rsidR="003E3C6D" w:rsidRPr="001F736A">
        <w:rPr>
          <w:rFonts w:ascii="Arial" w:hAnsi="Arial" w:cs="Arial"/>
          <w:sz w:val="24"/>
          <w:szCs w:val="24"/>
        </w:rPr>
        <w:t xml:space="preserve">which may require </w:t>
      </w:r>
      <w:r w:rsidR="00854101" w:rsidRPr="001F736A">
        <w:rPr>
          <w:rFonts w:ascii="Arial" w:hAnsi="Arial" w:cs="Arial"/>
          <w:sz w:val="24"/>
          <w:szCs w:val="24"/>
        </w:rPr>
        <w:t xml:space="preserve">new </w:t>
      </w:r>
      <w:r w:rsidR="003E3C6D" w:rsidRPr="001F736A">
        <w:rPr>
          <w:rFonts w:ascii="Arial" w:hAnsi="Arial" w:cs="Arial"/>
          <w:sz w:val="24"/>
          <w:szCs w:val="24"/>
        </w:rPr>
        <w:t>borrowing</w:t>
      </w:r>
      <w:r w:rsidR="00854101" w:rsidRPr="001F736A">
        <w:rPr>
          <w:rFonts w:ascii="Arial" w:hAnsi="Arial" w:cs="Arial"/>
          <w:sz w:val="24"/>
          <w:szCs w:val="24"/>
        </w:rPr>
        <w:t xml:space="preserve">. </w:t>
      </w:r>
      <w:r w:rsidR="00150CF8" w:rsidRPr="001F736A">
        <w:rPr>
          <w:rFonts w:ascii="Arial" w:hAnsi="Arial" w:cs="Arial"/>
          <w:sz w:val="24"/>
          <w:szCs w:val="24"/>
        </w:rPr>
        <w:t xml:space="preserve">To ensure the future affordability of </w:t>
      </w:r>
      <w:r w:rsidR="00935B3F" w:rsidRPr="001F736A">
        <w:rPr>
          <w:rFonts w:ascii="Arial" w:hAnsi="Arial" w:cs="Arial"/>
          <w:sz w:val="24"/>
          <w:szCs w:val="24"/>
        </w:rPr>
        <w:t>the</w:t>
      </w:r>
      <w:r w:rsidR="00CE6023" w:rsidRPr="001F736A">
        <w:rPr>
          <w:rFonts w:ascii="Arial" w:hAnsi="Arial" w:cs="Arial"/>
          <w:sz w:val="24"/>
          <w:szCs w:val="24"/>
        </w:rPr>
        <w:t xml:space="preserve"> Minimum Revenue Provision (MRP) costs associated with </w:t>
      </w:r>
      <w:r w:rsidR="00A701BE" w:rsidRPr="001F736A">
        <w:rPr>
          <w:rFonts w:ascii="Arial" w:hAnsi="Arial" w:cs="Arial"/>
          <w:sz w:val="24"/>
          <w:szCs w:val="24"/>
        </w:rPr>
        <w:t xml:space="preserve">this </w:t>
      </w:r>
      <w:r w:rsidR="00854101" w:rsidRPr="001F736A">
        <w:rPr>
          <w:rFonts w:ascii="Arial" w:hAnsi="Arial" w:cs="Arial"/>
          <w:sz w:val="24"/>
          <w:szCs w:val="24"/>
        </w:rPr>
        <w:t>potential borrowing</w:t>
      </w:r>
      <w:r w:rsidR="00A701BE" w:rsidRPr="001F736A">
        <w:rPr>
          <w:rFonts w:ascii="Arial" w:hAnsi="Arial" w:cs="Arial"/>
          <w:sz w:val="24"/>
          <w:szCs w:val="24"/>
        </w:rPr>
        <w:t>, the OPCC is proposing t</w:t>
      </w:r>
      <w:r w:rsidR="00C24BA2" w:rsidRPr="001F736A">
        <w:rPr>
          <w:rFonts w:ascii="Arial" w:hAnsi="Arial" w:cs="Arial"/>
          <w:sz w:val="24"/>
          <w:szCs w:val="24"/>
        </w:rPr>
        <w:t>o add £1m to its</w:t>
      </w:r>
      <w:r w:rsidR="00A701BE" w:rsidRPr="001F736A">
        <w:rPr>
          <w:rFonts w:ascii="Arial" w:hAnsi="Arial" w:cs="Arial"/>
          <w:sz w:val="24"/>
          <w:szCs w:val="24"/>
        </w:rPr>
        <w:t xml:space="preserve"> MRP</w:t>
      </w:r>
      <w:r w:rsidR="00C24BA2" w:rsidRPr="001F736A">
        <w:rPr>
          <w:rFonts w:ascii="Arial" w:hAnsi="Arial" w:cs="Arial"/>
          <w:sz w:val="24"/>
          <w:szCs w:val="24"/>
        </w:rPr>
        <w:t xml:space="preserve"> revenue budget from </w:t>
      </w:r>
      <w:r w:rsidR="00A701BE" w:rsidRPr="001F736A">
        <w:rPr>
          <w:rFonts w:ascii="Arial" w:hAnsi="Arial" w:cs="Arial"/>
          <w:sz w:val="24"/>
          <w:szCs w:val="24"/>
        </w:rPr>
        <w:t>20</w:t>
      </w:r>
      <w:r w:rsidR="00C24BA2" w:rsidRPr="001F736A">
        <w:rPr>
          <w:rFonts w:ascii="Arial" w:hAnsi="Arial" w:cs="Arial"/>
          <w:sz w:val="24"/>
          <w:szCs w:val="24"/>
        </w:rPr>
        <w:t>20/21</w:t>
      </w:r>
      <w:r w:rsidR="00574E42" w:rsidRPr="001F736A">
        <w:rPr>
          <w:rFonts w:ascii="Arial" w:hAnsi="Arial" w:cs="Arial"/>
          <w:sz w:val="24"/>
          <w:szCs w:val="24"/>
        </w:rPr>
        <w:t xml:space="preserve"> (which </w:t>
      </w:r>
      <w:r w:rsidR="00AB270D" w:rsidRPr="001F736A">
        <w:rPr>
          <w:rFonts w:ascii="Arial" w:hAnsi="Arial" w:cs="Arial"/>
          <w:sz w:val="24"/>
          <w:szCs w:val="24"/>
        </w:rPr>
        <w:t>translates</w:t>
      </w:r>
      <w:r w:rsidR="00574E42" w:rsidRPr="001F736A">
        <w:rPr>
          <w:rFonts w:ascii="Arial" w:hAnsi="Arial" w:cs="Arial"/>
          <w:sz w:val="24"/>
          <w:szCs w:val="24"/>
        </w:rPr>
        <w:t xml:space="preserve"> to approximately £18m of additional borrowing)</w:t>
      </w:r>
      <w:r w:rsidR="00AB270D" w:rsidRPr="001F736A">
        <w:rPr>
          <w:rFonts w:ascii="Arial" w:hAnsi="Arial" w:cs="Arial"/>
          <w:sz w:val="24"/>
          <w:szCs w:val="24"/>
        </w:rPr>
        <w:t>.</w:t>
      </w:r>
      <w:r w:rsidR="00C24BA2" w:rsidRPr="001F736A">
        <w:rPr>
          <w:rFonts w:ascii="Arial" w:hAnsi="Arial" w:cs="Arial"/>
          <w:sz w:val="24"/>
          <w:szCs w:val="24"/>
        </w:rPr>
        <w:t xml:space="preserve"> </w:t>
      </w:r>
      <w:r w:rsidR="003F06DE" w:rsidRPr="001F736A">
        <w:rPr>
          <w:rFonts w:ascii="Arial" w:hAnsi="Arial" w:cs="Arial"/>
          <w:sz w:val="24"/>
          <w:szCs w:val="24"/>
        </w:rPr>
        <w:t xml:space="preserve">Once </w:t>
      </w:r>
      <w:r w:rsidR="003D47DE" w:rsidRPr="001F736A">
        <w:rPr>
          <w:rFonts w:ascii="Arial" w:hAnsi="Arial" w:cs="Arial"/>
          <w:sz w:val="24"/>
          <w:szCs w:val="24"/>
        </w:rPr>
        <w:t xml:space="preserve">the timing and details are confirmed, future </w:t>
      </w:r>
      <w:r w:rsidR="00882096" w:rsidRPr="001F736A">
        <w:rPr>
          <w:rFonts w:ascii="Arial" w:hAnsi="Arial" w:cs="Arial"/>
          <w:sz w:val="24"/>
          <w:szCs w:val="24"/>
        </w:rPr>
        <w:t xml:space="preserve">strategies will be </w:t>
      </w:r>
      <w:r w:rsidR="00AC503F" w:rsidRPr="001F736A">
        <w:rPr>
          <w:rFonts w:ascii="Arial" w:hAnsi="Arial" w:cs="Arial"/>
          <w:sz w:val="24"/>
          <w:szCs w:val="24"/>
        </w:rPr>
        <w:t>adjusted accordingly.</w:t>
      </w:r>
    </w:p>
    <w:p w14:paraId="69FF7462" w14:textId="77777777" w:rsidR="00CA200E" w:rsidRPr="00F22CB2" w:rsidRDefault="00CA200E" w:rsidP="00CA200E">
      <w:pPr>
        <w:pStyle w:val="ListParagraph"/>
        <w:spacing w:after="240" w:line="240" w:lineRule="auto"/>
        <w:contextualSpacing w:val="0"/>
        <w:rPr>
          <w:rFonts w:ascii="Arial" w:hAnsi="Arial" w:cs="Arial"/>
          <w:b/>
          <w:sz w:val="24"/>
          <w:szCs w:val="24"/>
        </w:rPr>
      </w:pPr>
      <w:r w:rsidRPr="00F22CB2">
        <w:rPr>
          <w:rFonts w:ascii="Arial" w:hAnsi="Arial" w:cs="Arial"/>
          <w:b/>
          <w:sz w:val="24"/>
          <w:szCs w:val="24"/>
        </w:rPr>
        <w:t>Objectives</w:t>
      </w:r>
    </w:p>
    <w:p w14:paraId="0820C50C" w14:textId="77777777" w:rsidR="00132091" w:rsidRPr="00F22CB2" w:rsidRDefault="00CA200E" w:rsidP="00DB2D78">
      <w:pPr>
        <w:pStyle w:val="ListParagraph"/>
        <w:numPr>
          <w:ilvl w:val="1"/>
          <w:numId w:val="27"/>
        </w:numPr>
        <w:spacing w:after="240" w:line="240" w:lineRule="auto"/>
        <w:ind w:left="720" w:hanging="720"/>
        <w:contextualSpacing w:val="0"/>
        <w:rPr>
          <w:rFonts w:ascii="Arial" w:hAnsi="Arial" w:cs="Arial"/>
          <w:sz w:val="24"/>
          <w:szCs w:val="24"/>
        </w:rPr>
      </w:pPr>
      <w:r w:rsidRPr="00F22CB2">
        <w:rPr>
          <w:rFonts w:ascii="Arial" w:hAnsi="Arial" w:cs="Arial"/>
          <w:sz w:val="24"/>
          <w:szCs w:val="24"/>
        </w:rPr>
        <w:t>The OPCC</w:t>
      </w:r>
      <w:r w:rsidR="00272A76" w:rsidRPr="00F22CB2">
        <w:rPr>
          <w:rFonts w:ascii="Arial" w:hAnsi="Arial" w:cs="Arial"/>
          <w:sz w:val="24"/>
          <w:szCs w:val="24"/>
        </w:rPr>
        <w:t xml:space="preserve">’s </w:t>
      </w:r>
      <w:r w:rsidR="00202E2E" w:rsidRPr="00F22CB2">
        <w:rPr>
          <w:rFonts w:ascii="Arial" w:hAnsi="Arial" w:cs="Arial"/>
          <w:sz w:val="24"/>
          <w:szCs w:val="24"/>
        </w:rPr>
        <w:t xml:space="preserve">chief </w:t>
      </w:r>
      <w:r w:rsidR="00272A76" w:rsidRPr="00F22CB2">
        <w:rPr>
          <w:rFonts w:ascii="Arial" w:hAnsi="Arial" w:cs="Arial"/>
          <w:sz w:val="24"/>
          <w:szCs w:val="24"/>
        </w:rPr>
        <w:t>objective</w:t>
      </w:r>
      <w:r w:rsidR="00132091" w:rsidRPr="00F22CB2">
        <w:rPr>
          <w:rFonts w:ascii="Arial" w:hAnsi="Arial" w:cs="Arial"/>
          <w:sz w:val="24"/>
          <w:szCs w:val="24"/>
        </w:rPr>
        <w:t xml:space="preserve"> </w:t>
      </w:r>
      <w:r w:rsidR="00272A76" w:rsidRPr="00F22CB2">
        <w:rPr>
          <w:rFonts w:ascii="Arial" w:hAnsi="Arial" w:cs="Arial"/>
          <w:sz w:val="24"/>
          <w:szCs w:val="24"/>
        </w:rPr>
        <w:t>when borrowing money is to strike an appropriately low risk balance between securing low interest cost</w:t>
      </w:r>
      <w:r w:rsidR="008135E6" w:rsidRPr="00F22CB2">
        <w:rPr>
          <w:rFonts w:ascii="Arial" w:hAnsi="Arial" w:cs="Arial"/>
          <w:sz w:val="24"/>
          <w:szCs w:val="24"/>
        </w:rPr>
        <w:t>s</w:t>
      </w:r>
      <w:r w:rsidR="00272A76" w:rsidRPr="00F22CB2">
        <w:rPr>
          <w:rFonts w:ascii="Arial" w:hAnsi="Arial" w:cs="Arial"/>
          <w:sz w:val="24"/>
          <w:szCs w:val="24"/>
        </w:rPr>
        <w:t xml:space="preserve"> and </w:t>
      </w:r>
      <w:r w:rsidR="008135E6" w:rsidRPr="00F22CB2">
        <w:rPr>
          <w:rFonts w:ascii="Arial" w:hAnsi="Arial" w:cs="Arial"/>
          <w:sz w:val="24"/>
          <w:szCs w:val="24"/>
        </w:rPr>
        <w:t>achieving certainty</w:t>
      </w:r>
      <w:r w:rsidR="00272A76" w:rsidRPr="00F22CB2">
        <w:rPr>
          <w:rFonts w:ascii="Arial" w:hAnsi="Arial" w:cs="Arial"/>
          <w:sz w:val="24"/>
          <w:szCs w:val="24"/>
        </w:rPr>
        <w:t xml:space="preserve"> </w:t>
      </w:r>
      <w:r w:rsidR="002E3175" w:rsidRPr="00F22CB2">
        <w:rPr>
          <w:rFonts w:ascii="Arial" w:hAnsi="Arial" w:cs="Arial"/>
          <w:sz w:val="24"/>
          <w:szCs w:val="24"/>
        </w:rPr>
        <w:t xml:space="preserve">of those costs </w:t>
      </w:r>
      <w:r w:rsidR="00272A76" w:rsidRPr="00F22CB2">
        <w:rPr>
          <w:rFonts w:ascii="Arial" w:hAnsi="Arial" w:cs="Arial"/>
          <w:sz w:val="24"/>
          <w:szCs w:val="24"/>
        </w:rPr>
        <w:t xml:space="preserve">over the period for which funds are required.  </w:t>
      </w:r>
      <w:r w:rsidR="00202E2E" w:rsidRPr="00F22CB2">
        <w:rPr>
          <w:rFonts w:ascii="Arial" w:hAnsi="Arial" w:cs="Arial"/>
          <w:sz w:val="24"/>
          <w:szCs w:val="24"/>
        </w:rPr>
        <w:t>The f</w:t>
      </w:r>
      <w:r w:rsidR="00272A76" w:rsidRPr="00F22CB2">
        <w:rPr>
          <w:rFonts w:ascii="Arial" w:hAnsi="Arial" w:cs="Arial"/>
          <w:sz w:val="24"/>
          <w:szCs w:val="24"/>
        </w:rPr>
        <w:t>lexibility</w:t>
      </w:r>
      <w:r w:rsidR="00202E2E" w:rsidRPr="00F22CB2">
        <w:rPr>
          <w:rFonts w:ascii="Arial" w:hAnsi="Arial" w:cs="Arial"/>
          <w:sz w:val="24"/>
          <w:szCs w:val="24"/>
        </w:rPr>
        <w:t xml:space="preserve"> to renegotiate loans should the </w:t>
      </w:r>
      <w:r w:rsidRPr="00F22CB2">
        <w:rPr>
          <w:rFonts w:ascii="Arial" w:hAnsi="Arial" w:cs="Arial"/>
          <w:sz w:val="24"/>
          <w:szCs w:val="24"/>
        </w:rPr>
        <w:t>OPCC</w:t>
      </w:r>
      <w:r w:rsidR="00202E2E" w:rsidRPr="00F22CB2">
        <w:rPr>
          <w:rFonts w:ascii="Arial" w:hAnsi="Arial" w:cs="Arial"/>
          <w:sz w:val="24"/>
          <w:szCs w:val="24"/>
        </w:rPr>
        <w:t>’s long-term plans change is a secondary objective.</w:t>
      </w:r>
    </w:p>
    <w:p w14:paraId="6C3410FC" w14:textId="77777777" w:rsidR="00CA200E" w:rsidRPr="00F22CB2" w:rsidRDefault="00CA200E" w:rsidP="00CA200E">
      <w:pPr>
        <w:pStyle w:val="ListParagraph"/>
        <w:spacing w:after="240" w:line="240" w:lineRule="auto"/>
        <w:contextualSpacing w:val="0"/>
        <w:rPr>
          <w:rFonts w:ascii="Arial" w:hAnsi="Arial" w:cs="Arial"/>
          <w:b/>
          <w:sz w:val="24"/>
          <w:szCs w:val="24"/>
        </w:rPr>
      </w:pPr>
      <w:r w:rsidRPr="00F22CB2">
        <w:rPr>
          <w:rFonts w:ascii="Arial" w:hAnsi="Arial" w:cs="Arial"/>
          <w:b/>
          <w:sz w:val="24"/>
          <w:szCs w:val="24"/>
        </w:rPr>
        <w:t>Strategy</w:t>
      </w:r>
    </w:p>
    <w:p w14:paraId="247C7328" w14:textId="77777777" w:rsidR="00F22CB2" w:rsidRPr="00F22CB2" w:rsidRDefault="00F22CB2" w:rsidP="00F22CB2">
      <w:pPr>
        <w:pStyle w:val="ListParagraph"/>
        <w:numPr>
          <w:ilvl w:val="1"/>
          <w:numId w:val="27"/>
        </w:numPr>
        <w:spacing w:after="240" w:line="240" w:lineRule="auto"/>
        <w:ind w:left="720" w:hanging="720"/>
        <w:contextualSpacing w:val="0"/>
        <w:rPr>
          <w:rFonts w:ascii="Arial" w:hAnsi="Arial" w:cs="Arial"/>
          <w:sz w:val="24"/>
          <w:szCs w:val="24"/>
        </w:rPr>
      </w:pPr>
      <w:r w:rsidRPr="00F22CB2">
        <w:rPr>
          <w:rFonts w:ascii="Arial" w:hAnsi="Arial" w:cs="Arial"/>
          <w:sz w:val="24"/>
          <w:szCs w:val="24"/>
        </w:rPr>
        <w:t xml:space="preserve">Given the significant cuts to public expenditure and </w:t>
      </w:r>
      <w:proofErr w:type="gramStart"/>
      <w:r w:rsidRPr="00F22CB2">
        <w:rPr>
          <w:rFonts w:ascii="Arial" w:hAnsi="Arial" w:cs="Arial"/>
          <w:sz w:val="24"/>
          <w:szCs w:val="24"/>
        </w:rPr>
        <w:t>in particular to</w:t>
      </w:r>
      <w:proofErr w:type="gramEnd"/>
      <w:r w:rsidRPr="00F22CB2">
        <w:rPr>
          <w:rFonts w:ascii="Arial" w:hAnsi="Arial" w:cs="Arial"/>
          <w:sz w:val="24"/>
          <w:szCs w:val="24"/>
        </w:rPr>
        <w:t xml:space="preserve"> local government funding, the </w:t>
      </w:r>
      <w:r>
        <w:rPr>
          <w:rFonts w:ascii="Arial" w:hAnsi="Arial" w:cs="Arial"/>
          <w:sz w:val="24"/>
          <w:szCs w:val="24"/>
        </w:rPr>
        <w:t>OPCC</w:t>
      </w:r>
      <w:r w:rsidRPr="00F22CB2">
        <w:rPr>
          <w:rFonts w:ascii="Arial" w:hAnsi="Arial" w:cs="Arial"/>
          <w:sz w:val="24"/>
          <w:szCs w:val="24"/>
        </w:rPr>
        <w:t xml:space="preserve">’s borrowing strategy continues to address the key issue of affordability without compromising the longer-term stability of the debt portfolio.  With short-term interest rates currently much lower than long-term rates, if the </w:t>
      </w:r>
      <w:r>
        <w:rPr>
          <w:rFonts w:ascii="Arial" w:hAnsi="Arial" w:cs="Arial"/>
          <w:sz w:val="24"/>
          <w:szCs w:val="24"/>
        </w:rPr>
        <w:t>OPCC</w:t>
      </w:r>
      <w:r w:rsidRPr="00F22CB2">
        <w:rPr>
          <w:rFonts w:ascii="Arial" w:hAnsi="Arial" w:cs="Arial"/>
          <w:sz w:val="24"/>
          <w:szCs w:val="24"/>
        </w:rPr>
        <w:t xml:space="preserve"> does need to borrow, it is likely to be more cost effective in the short-term to either use internal resources, or to borrow short-term loans instead.  </w:t>
      </w:r>
    </w:p>
    <w:p w14:paraId="555A96AD" w14:textId="466D5576" w:rsidR="00F22CB2" w:rsidRDefault="00F22CB2" w:rsidP="00F22CB2">
      <w:pPr>
        <w:pStyle w:val="ListParagraph"/>
        <w:numPr>
          <w:ilvl w:val="1"/>
          <w:numId w:val="27"/>
        </w:numPr>
        <w:spacing w:after="240" w:line="240" w:lineRule="auto"/>
        <w:ind w:left="720" w:hanging="720"/>
        <w:contextualSpacing w:val="0"/>
        <w:rPr>
          <w:rFonts w:ascii="Arial" w:hAnsi="Arial" w:cs="Arial"/>
          <w:sz w:val="24"/>
          <w:szCs w:val="24"/>
        </w:rPr>
      </w:pPr>
      <w:r w:rsidRPr="00F22CB2">
        <w:rPr>
          <w:rFonts w:ascii="Arial" w:hAnsi="Arial" w:cs="Arial"/>
          <w:sz w:val="24"/>
          <w:szCs w:val="24"/>
        </w:rPr>
        <w:t xml:space="preserve">By internally borrowing, the </w:t>
      </w:r>
      <w:r>
        <w:rPr>
          <w:rFonts w:ascii="Arial" w:hAnsi="Arial" w:cs="Arial"/>
          <w:sz w:val="24"/>
          <w:szCs w:val="24"/>
        </w:rPr>
        <w:t>OPCC</w:t>
      </w:r>
      <w:r w:rsidRPr="00F22CB2">
        <w:rPr>
          <w:rFonts w:ascii="Arial" w:hAnsi="Arial" w:cs="Arial"/>
          <w:sz w:val="24"/>
          <w:szCs w:val="24"/>
        </w:rPr>
        <w:t xml:space="preserve"> </w:t>
      </w:r>
      <w:proofErr w:type="gramStart"/>
      <w:r w:rsidRPr="00F22CB2">
        <w:rPr>
          <w:rFonts w:ascii="Arial" w:hAnsi="Arial" w:cs="Arial"/>
          <w:sz w:val="24"/>
          <w:szCs w:val="24"/>
        </w:rPr>
        <w:t>is able to</w:t>
      </w:r>
      <w:proofErr w:type="gramEnd"/>
      <w:r w:rsidRPr="00F22CB2">
        <w:rPr>
          <w:rFonts w:ascii="Arial" w:hAnsi="Arial" w:cs="Arial"/>
          <w:sz w:val="24"/>
          <w:szCs w:val="24"/>
        </w:rPr>
        <w:t xml:space="preserve"> reduce net borrowing costs (despite foregone investment income) and reduce overall treasury risk.  If borrowing is required, the benefits of internal and short-term borrowing will be monitored regularly against the potential for incurring additional costs by deferring borrowing into future years when long-term borrowing rates are forecast to rise modestly.  </w:t>
      </w:r>
      <w:proofErr w:type="spellStart"/>
      <w:r w:rsidRPr="00F22CB2">
        <w:rPr>
          <w:rFonts w:ascii="Arial" w:hAnsi="Arial" w:cs="Arial"/>
          <w:sz w:val="24"/>
          <w:szCs w:val="24"/>
        </w:rPr>
        <w:t>Arlingclose</w:t>
      </w:r>
      <w:proofErr w:type="spellEnd"/>
      <w:r w:rsidRPr="00F22CB2">
        <w:rPr>
          <w:rFonts w:ascii="Arial" w:hAnsi="Arial" w:cs="Arial"/>
          <w:sz w:val="24"/>
          <w:szCs w:val="24"/>
        </w:rPr>
        <w:t xml:space="preserve"> will assist the </w:t>
      </w:r>
      <w:r>
        <w:rPr>
          <w:rFonts w:ascii="Arial" w:hAnsi="Arial" w:cs="Arial"/>
          <w:sz w:val="24"/>
          <w:szCs w:val="24"/>
        </w:rPr>
        <w:t>OPCC</w:t>
      </w:r>
      <w:r w:rsidRPr="00F22CB2">
        <w:rPr>
          <w:rFonts w:ascii="Arial" w:hAnsi="Arial" w:cs="Arial"/>
          <w:sz w:val="24"/>
          <w:szCs w:val="24"/>
        </w:rPr>
        <w:t xml:space="preserve"> with this ‘cost of carry’ and breakeven analysis.</w:t>
      </w:r>
    </w:p>
    <w:p w14:paraId="6B7476F7" w14:textId="1A21D08D" w:rsidR="002F7AED" w:rsidRPr="004F04F1" w:rsidRDefault="00321FD1" w:rsidP="00F22CB2">
      <w:pPr>
        <w:pStyle w:val="ListParagraph"/>
        <w:numPr>
          <w:ilvl w:val="1"/>
          <w:numId w:val="27"/>
        </w:numPr>
        <w:spacing w:after="240" w:line="240" w:lineRule="auto"/>
        <w:ind w:left="720" w:hanging="720"/>
        <w:contextualSpacing w:val="0"/>
        <w:rPr>
          <w:rFonts w:ascii="Arial" w:hAnsi="Arial" w:cs="Arial"/>
          <w:sz w:val="24"/>
          <w:szCs w:val="24"/>
        </w:rPr>
      </w:pPr>
      <w:r w:rsidRPr="004F04F1">
        <w:rPr>
          <w:rFonts w:ascii="Arial" w:hAnsi="Arial" w:cs="Arial"/>
          <w:sz w:val="24"/>
          <w:szCs w:val="24"/>
        </w:rPr>
        <w:t xml:space="preserve">The </w:t>
      </w:r>
      <w:r w:rsidR="00CA648E" w:rsidRPr="004F04F1">
        <w:rPr>
          <w:rFonts w:ascii="Arial" w:hAnsi="Arial" w:cs="Arial"/>
          <w:sz w:val="24"/>
          <w:szCs w:val="24"/>
        </w:rPr>
        <w:t>OPCC</w:t>
      </w:r>
      <w:r w:rsidRPr="004F04F1">
        <w:rPr>
          <w:rFonts w:ascii="Arial" w:hAnsi="Arial" w:cs="Arial"/>
          <w:sz w:val="24"/>
          <w:szCs w:val="24"/>
        </w:rPr>
        <w:t xml:space="preserve"> has previously raised </w:t>
      </w:r>
      <w:proofErr w:type="gramStart"/>
      <w:r w:rsidRPr="004F04F1">
        <w:rPr>
          <w:rFonts w:ascii="Arial" w:hAnsi="Arial" w:cs="Arial"/>
          <w:sz w:val="24"/>
          <w:szCs w:val="24"/>
        </w:rPr>
        <w:t>the majority of</w:t>
      </w:r>
      <w:proofErr w:type="gramEnd"/>
      <w:r w:rsidRPr="004F04F1">
        <w:rPr>
          <w:rFonts w:ascii="Arial" w:hAnsi="Arial" w:cs="Arial"/>
          <w:sz w:val="24"/>
          <w:szCs w:val="24"/>
        </w:rPr>
        <w:t xml:space="preserve"> its long-term borrowing from the Public Works Loan Board (PWLB) but the government increased the margin on PWLB rates by 100 basis points (1%) in October 2019 making it a relatively expensive way to meet borrowing needs.</w:t>
      </w:r>
    </w:p>
    <w:p w14:paraId="575151C9" w14:textId="215A98D0" w:rsidR="00CA648E" w:rsidRPr="00F22CB2" w:rsidRDefault="00CA648E" w:rsidP="00F22CB2">
      <w:pPr>
        <w:pStyle w:val="ListParagraph"/>
        <w:numPr>
          <w:ilvl w:val="1"/>
          <w:numId w:val="27"/>
        </w:numPr>
        <w:spacing w:after="240" w:line="240" w:lineRule="auto"/>
        <w:ind w:left="720" w:hanging="720"/>
        <w:contextualSpacing w:val="0"/>
        <w:rPr>
          <w:rFonts w:ascii="Arial" w:hAnsi="Arial" w:cs="Arial"/>
          <w:sz w:val="24"/>
          <w:szCs w:val="24"/>
        </w:rPr>
      </w:pPr>
      <w:r w:rsidRPr="00CA648E">
        <w:rPr>
          <w:rFonts w:ascii="Arial" w:hAnsi="Arial" w:cs="Arial"/>
          <w:sz w:val="24"/>
          <w:szCs w:val="24"/>
        </w:rPr>
        <w:t xml:space="preserve">Alternative options should the </w:t>
      </w:r>
      <w:r>
        <w:rPr>
          <w:rFonts w:ascii="Arial" w:hAnsi="Arial" w:cs="Arial"/>
          <w:sz w:val="24"/>
          <w:szCs w:val="24"/>
        </w:rPr>
        <w:t>OPCC</w:t>
      </w:r>
      <w:r w:rsidRPr="00CA648E">
        <w:rPr>
          <w:rFonts w:ascii="Arial" w:hAnsi="Arial" w:cs="Arial"/>
          <w:sz w:val="24"/>
          <w:szCs w:val="24"/>
        </w:rPr>
        <w:t xml:space="preserve"> need to borrow any long-term amounts include banks, pension funds and local authorities as well as the potential to issue bonds and similar instruments, in order to lower interest costs and reduce over-reliance on one source of funding in line with the CIPFA Code</w:t>
      </w:r>
      <w:r w:rsidR="004B2DA4">
        <w:rPr>
          <w:rFonts w:ascii="Arial" w:hAnsi="Arial" w:cs="Arial"/>
          <w:sz w:val="24"/>
          <w:szCs w:val="24"/>
        </w:rPr>
        <w:t>.</w:t>
      </w:r>
    </w:p>
    <w:p w14:paraId="0F536030" w14:textId="4D0CC551" w:rsidR="00F22CB2" w:rsidRPr="00F22CB2" w:rsidRDefault="00F22CB2" w:rsidP="00F22CB2">
      <w:pPr>
        <w:pStyle w:val="ListParagraph"/>
        <w:numPr>
          <w:ilvl w:val="1"/>
          <w:numId w:val="27"/>
        </w:numPr>
        <w:spacing w:after="240" w:line="240" w:lineRule="auto"/>
        <w:ind w:left="720" w:hanging="720"/>
        <w:contextualSpacing w:val="0"/>
        <w:rPr>
          <w:rFonts w:ascii="Arial" w:hAnsi="Arial" w:cs="Arial"/>
          <w:sz w:val="24"/>
          <w:szCs w:val="24"/>
        </w:rPr>
      </w:pPr>
      <w:r w:rsidRPr="00F22CB2">
        <w:rPr>
          <w:rFonts w:ascii="Arial" w:hAnsi="Arial" w:cs="Arial"/>
          <w:sz w:val="24"/>
          <w:szCs w:val="24"/>
        </w:rPr>
        <w:t xml:space="preserve">Alternatively, the </w:t>
      </w:r>
      <w:r>
        <w:rPr>
          <w:rFonts w:ascii="Arial" w:hAnsi="Arial" w:cs="Arial"/>
          <w:sz w:val="24"/>
          <w:szCs w:val="24"/>
        </w:rPr>
        <w:t>OPCC</w:t>
      </w:r>
      <w:r w:rsidRPr="00F22CB2">
        <w:rPr>
          <w:rFonts w:ascii="Arial" w:hAnsi="Arial" w:cs="Arial"/>
          <w:sz w:val="24"/>
          <w:szCs w:val="24"/>
        </w:rPr>
        <w:t xml:space="preserve"> may arrange forward starting loans during 20</w:t>
      </w:r>
      <w:r w:rsidR="002855C0">
        <w:rPr>
          <w:rFonts w:ascii="Arial" w:hAnsi="Arial" w:cs="Arial"/>
          <w:sz w:val="24"/>
          <w:szCs w:val="24"/>
        </w:rPr>
        <w:t>20</w:t>
      </w:r>
      <w:r w:rsidRPr="00F22CB2">
        <w:rPr>
          <w:rFonts w:ascii="Arial" w:hAnsi="Arial" w:cs="Arial"/>
          <w:sz w:val="24"/>
          <w:szCs w:val="24"/>
        </w:rPr>
        <w:t>/2</w:t>
      </w:r>
      <w:r w:rsidR="002855C0">
        <w:rPr>
          <w:rFonts w:ascii="Arial" w:hAnsi="Arial" w:cs="Arial"/>
          <w:sz w:val="24"/>
          <w:szCs w:val="24"/>
        </w:rPr>
        <w:t>1</w:t>
      </w:r>
      <w:r w:rsidRPr="00F22CB2">
        <w:rPr>
          <w:rFonts w:ascii="Arial" w:hAnsi="Arial" w:cs="Arial"/>
          <w:sz w:val="24"/>
          <w:szCs w:val="24"/>
        </w:rPr>
        <w:t>, where the interest rate is fixed in advance, but the cash is received in later years.  This would enable certainty of cost to be achieved without suffering a cost of carry in the intervening period.</w:t>
      </w:r>
    </w:p>
    <w:p w14:paraId="0C9DD626" w14:textId="77777777" w:rsidR="00F22CB2" w:rsidRPr="00F22CB2" w:rsidRDefault="00F22CB2" w:rsidP="00F22CB2">
      <w:pPr>
        <w:pStyle w:val="ListParagraph"/>
        <w:numPr>
          <w:ilvl w:val="1"/>
          <w:numId w:val="27"/>
        </w:numPr>
        <w:spacing w:after="240" w:line="240" w:lineRule="auto"/>
        <w:ind w:left="720" w:hanging="720"/>
        <w:contextualSpacing w:val="0"/>
        <w:rPr>
          <w:rFonts w:ascii="Arial" w:hAnsi="Arial" w:cs="Arial"/>
          <w:sz w:val="24"/>
          <w:szCs w:val="24"/>
        </w:rPr>
      </w:pPr>
      <w:r w:rsidRPr="00F22CB2">
        <w:rPr>
          <w:rFonts w:ascii="Arial" w:hAnsi="Arial" w:cs="Arial"/>
          <w:sz w:val="24"/>
          <w:szCs w:val="24"/>
        </w:rPr>
        <w:t xml:space="preserve">In addition, the </w:t>
      </w:r>
      <w:r>
        <w:rPr>
          <w:rFonts w:ascii="Arial" w:hAnsi="Arial" w:cs="Arial"/>
          <w:sz w:val="24"/>
          <w:szCs w:val="24"/>
        </w:rPr>
        <w:t>OPCC</w:t>
      </w:r>
      <w:r w:rsidRPr="00F22CB2">
        <w:rPr>
          <w:rFonts w:ascii="Arial" w:hAnsi="Arial" w:cs="Arial"/>
          <w:sz w:val="24"/>
          <w:szCs w:val="24"/>
        </w:rPr>
        <w:t xml:space="preserve"> may borrow short-term loans (normally for up to one month) to cover unplanned cash flow shortages.</w:t>
      </w:r>
    </w:p>
    <w:p w14:paraId="1E2D38F0" w14:textId="77777777" w:rsidR="00B94A68" w:rsidRPr="00F22CB2" w:rsidRDefault="00B94A68" w:rsidP="00E45674">
      <w:pPr>
        <w:pStyle w:val="ListParagraph"/>
        <w:keepNext/>
        <w:spacing w:after="240" w:line="240" w:lineRule="auto"/>
        <w:contextualSpacing w:val="0"/>
        <w:rPr>
          <w:rFonts w:ascii="Arial" w:hAnsi="Arial" w:cs="Arial"/>
          <w:b/>
          <w:sz w:val="24"/>
          <w:szCs w:val="24"/>
        </w:rPr>
      </w:pPr>
      <w:r w:rsidRPr="00F22CB2">
        <w:rPr>
          <w:rFonts w:ascii="Arial" w:hAnsi="Arial" w:cs="Arial"/>
          <w:b/>
          <w:sz w:val="24"/>
          <w:szCs w:val="24"/>
        </w:rPr>
        <w:t>Sources</w:t>
      </w:r>
    </w:p>
    <w:p w14:paraId="47EE0D74" w14:textId="77777777" w:rsidR="0041798A" w:rsidRPr="00F22CB2" w:rsidRDefault="0041798A" w:rsidP="003D3CFF">
      <w:pPr>
        <w:pStyle w:val="ListParagraph"/>
        <w:numPr>
          <w:ilvl w:val="1"/>
          <w:numId w:val="27"/>
        </w:numPr>
        <w:spacing w:after="240" w:line="240" w:lineRule="auto"/>
        <w:ind w:left="720" w:hanging="720"/>
        <w:contextualSpacing w:val="0"/>
        <w:rPr>
          <w:rFonts w:ascii="Arial" w:hAnsi="Arial" w:cs="Arial"/>
          <w:sz w:val="24"/>
          <w:szCs w:val="24"/>
        </w:rPr>
      </w:pPr>
      <w:r w:rsidRPr="00F22CB2">
        <w:rPr>
          <w:rFonts w:ascii="Arial" w:hAnsi="Arial" w:cs="Arial"/>
          <w:sz w:val="24"/>
          <w:szCs w:val="24"/>
        </w:rPr>
        <w:t xml:space="preserve">The approved sources of long-term and short-term borrowing </w:t>
      </w:r>
      <w:r w:rsidR="00354898" w:rsidRPr="00F22CB2">
        <w:rPr>
          <w:rFonts w:ascii="Arial" w:hAnsi="Arial" w:cs="Arial"/>
          <w:sz w:val="24"/>
          <w:szCs w:val="24"/>
        </w:rPr>
        <w:t>are</w:t>
      </w:r>
      <w:r w:rsidRPr="00F22CB2">
        <w:rPr>
          <w:rFonts w:ascii="Arial" w:hAnsi="Arial" w:cs="Arial"/>
          <w:sz w:val="24"/>
          <w:szCs w:val="24"/>
        </w:rPr>
        <w:t>:</w:t>
      </w:r>
    </w:p>
    <w:p w14:paraId="1286F2CF" w14:textId="77777777" w:rsidR="0041798A" w:rsidRPr="00F22CB2" w:rsidRDefault="0041798A" w:rsidP="00557C9C">
      <w:pPr>
        <w:pStyle w:val="ListParagraph"/>
        <w:numPr>
          <w:ilvl w:val="0"/>
          <w:numId w:val="31"/>
        </w:numPr>
        <w:spacing w:after="240" w:line="240" w:lineRule="auto"/>
        <w:contextualSpacing w:val="0"/>
        <w:rPr>
          <w:rFonts w:ascii="Arial" w:hAnsi="Arial" w:cs="Arial"/>
          <w:sz w:val="24"/>
          <w:szCs w:val="24"/>
        </w:rPr>
      </w:pPr>
      <w:r w:rsidRPr="00F22CB2">
        <w:rPr>
          <w:rFonts w:ascii="Arial" w:hAnsi="Arial" w:cs="Arial"/>
          <w:sz w:val="24"/>
          <w:szCs w:val="24"/>
        </w:rPr>
        <w:t>Public Works Loan Board</w:t>
      </w:r>
      <w:r w:rsidR="007F12B1" w:rsidRPr="00F22CB2">
        <w:rPr>
          <w:rFonts w:ascii="Arial" w:hAnsi="Arial" w:cs="Arial"/>
          <w:sz w:val="24"/>
          <w:szCs w:val="24"/>
        </w:rPr>
        <w:t xml:space="preserve"> (PWLB)</w:t>
      </w:r>
      <w:r w:rsidR="00FD746B" w:rsidRPr="00F22CB2">
        <w:rPr>
          <w:rFonts w:ascii="Arial" w:hAnsi="Arial" w:cs="Arial"/>
          <w:sz w:val="24"/>
          <w:szCs w:val="24"/>
        </w:rPr>
        <w:t xml:space="preserve"> </w:t>
      </w:r>
      <w:r w:rsidR="008B7BA1" w:rsidRPr="00F22CB2">
        <w:rPr>
          <w:rFonts w:ascii="Arial" w:hAnsi="Arial" w:cs="Arial"/>
          <w:sz w:val="24"/>
          <w:szCs w:val="24"/>
        </w:rPr>
        <w:t>and</w:t>
      </w:r>
      <w:r w:rsidR="00FD746B" w:rsidRPr="00F22CB2">
        <w:rPr>
          <w:rFonts w:ascii="Arial" w:hAnsi="Arial" w:cs="Arial"/>
          <w:sz w:val="24"/>
          <w:szCs w:val="24"/>
        </w:rPr>
        <w:t xml:space="preserve"> </w:t>
      </w:r>
      <w:r w:rsidR="0028735D" w:rsidRPr="00F22CB2">
        <w:rPr>
          <w:rFonts w:ascii="Arial" w:hAnsi="Arial" w:cs="Arial"/>
          <w:sz w:val="24"/>
          <w:szCs w:val="24"/>
        </w:rPr>
        <w:t>any</w:t>
      </w:r>
      <w:r w:rsidR="00FD746B" w:rsidRPr="00F22CB2">
        <w:rPr>
          <w:rFonts w:ascii="Arial" w:hAnsi="Arial" w:cs="Arial"/>
          <w:sz w:val="24"/>
          <w:szCs w:val="24"/>
        </w:rPr>
        <w:t xml:space="preserve"> successor body</w:t>
      </w:r>
    </w:p>
    <w:p w14:paraId="5E1DB69B" w14:textId="77777777" w:rsidR="00F22CB2" w:rsidRPr="00F22CB2" w:rsidRDefault="00F22CB2" w:rsidP="00F22CB2">
      <w:pPr>
        <w:numPr>
          <w:ilvl w:val="0"/>
          <w:numId w:val="31"/>
        </w:numPr>
        <w:rPr>
          <w:rFonts w:ascii="Arial" w:hAnsi="Arial" w:cs="Arial"/>
          <w:sz w:val="24"/>
          <w:szCs w:val="24"/>
        </w:rPr>
      </w:pPr>
      <w:r w:rsidRPr="00F22CB2">
        <w:rPr>
          <w:rFonts w:ascii="Arial" w:hAnsi="Arial" w:cs="Arial"/>
          <w:sz w:val="24"/>
          <w:szCs w:val="24"/>
        </w:rPr>
        <w:t>any institution approved for investments (see below)</w:t>
      </w:r>
    </w:p>
    <w:p w14:paraId="34F3361F" w14:textId="77777777" w:rsidR="0041798A" w:rsidRPr="00F22CB2" w:rsidRDefault="0041798A" w:rsidP="00557C9C">
      <w:pPr>
        <w:pStyle w:val="ListParagraph"/>
        <w:numPr>
          <w:ilvl w:val="0"/>
          <w:numId w:val="31"/>
        </w:numPr>
        <w:spacing w:after="240" w:line="240" w:lineRule="auto"/>
        <w:contextualSpacing w:val="0"/>
        <w:rPr>
          <w:rFonts w:ascii="Arial" w:hAnsi="Arial" w:cs="Arial"/>
          <w:sz w:val="24"/>
          <w:szCs w:val="24"/>
        </w:rPr>
      </w:pPr>
      <w:r w:rsidRPr="00F22CB2">
        <w:rPr>
          <w:rFonts w:ascii="Arial" w:hAnsi="Arial" w:cs="Arial"/>
          <w:sz w:val="24"/>
          <w:szCs w:val="24"/>
        </w:rPr>
        <w:t>any other bank or building society a</w:t>
      </w:r>
      <w:r w:rsidR="00354898" w:rsidRPr="00F22CB2">
        <w:rPr>
          <w:rFonts w:ascii="Arial" w:hAnsi="Arial" w:cs="Arial"/>
          <w:sz w:val="24"/>
          <w:szCs w:val="24"/>
        </w:rPr>
        <w:t>uthorised</w:t>
      </w:r>
      <w:r w:rsidRPr="00F22CB2">
        <w:rPr>
          <w:rFonts w:ascii="Arial" w:hAnsi="Arial" w:cs="Arial"/>
          <w:sz w:val="24"/>
          <w:szCs w:val="24"/>
        </w:rPr>
        <w:t xml:space="preserve"> </w:t>
      </w:r>
      <w:r w:rsidR="00354898" w:rsidRPr="00F22CB2">
        <w:rPr>
          <w:rFonts w:ascii="Arial" w:hAnsi="Arial" w:cs="Arial"/>
          <w:sz w:val="24"/>
          <w:szCs w:val="24"/>
        </w:rPr>
        <w:t>to operate in the UK</w:t>
      </w:r>
    </w:p>
    <w:p w14:paraId="7170069F" w14:textId="77777777" w:rsidR="00F22CB2" w:rsidRPr="00F22CB2" w:rsidRDefault="00F22CB2" w:rsidP="00557C9C">
      <w:pPr>
        <w:pStyle w:val="ListParagraph"/>
        <w:numPr>
          <w:ilvl w:val="0"/>
          <w:numId w:val="31"/>
        </w:numPr>
        <w:spacing w:after="240" w:line="240" w:lineRule="auto"/>
        <w:contextualSpacing w:val="0"/>
        <w:rPr>
          <w:rFonts w:ascii="Arial" w:hAnsi="Arial" w:cs="Arial"/>
          <w:sz w:val="24"/>
          <w:szCs w:val="24"/>
        </w:rPr>
      </w:pPr>
      <w:r w:rsidRPr="00F22CB2">
        <w:rPr>
          <w:rFonts w:ascii="Arial" w:hAnsi="Arial" w:cs="Arial"/>
          <w:sz w:val="24"/>
          <w:szCs w:val="24"/>
        </w:rPr>
        <w:t>any other UK public sector body</w:t>
      </w:r>
    </w:p>
    <w:p w14:paraId="71BAE6EA" w14:textId="77777777" w:rsidR="00354898" w:rsidRPr="00F22CB2" w:rsidRDefault="00132091" w:rsidP="00557C9C">
      <w:pPr>
        <w:pStyle w:val="ListParagraph"/>
        <w:numPr>
          <w:ilvl w:val="0"/>
          <w:numId w:val="31"/>
        </w:numPr>
        <w:spacing w:after="240" w:line="240" w:lineRule="auto"/>
        <w:contextualSpacing w:val="0"/>
        <w:rPr>
          <w:rFonts w:ascii="Arial" w:hAnsi="Arial" w:cs="Arial"/>
          <w:sz w:val="24"/>
          <w:szCs w:val="24"/>
        </w:rPr>
      </w:pPr>
      <w:r w:rsidRPr="00F22CB2">
        <w:rPr>
          <w:rFonts w:ascii="Arial" w:hAnsi="Arial" w:cs="Arial"/>
          <w:sz w:val="24"/>
          <w:szCs w:val="24"/>
        </w:rPr>
        <w:t xml:space="preserve">UK </w:t>
      </w:r>
      <w:r w:rsidR="00E54078" w:rsidRPr="00F22CB2">
        <w:rPr>
          <w:rFonts w:ascii="Arial" w:hAnsi="Arial" w:cs="Arial"/>
          <w:sz w:val="24"/>
          <w:szCs w:val="24"/>
        </w:rPr>
        <w:t>public and private sector</w:t>
      </w:r>
      <w:r w:rsidRPr="00F22CB2">
        <w:rPr>
          <w:rFonts w:ascii="Arial" w:hAnsi="Arial" w:cs="Arial"/>
          <w:sz w:val="24"/>
          <w:szCs w:val="24"/>
        </w:rPr>
        <w:t xml:space="preserve"> </w:t>
      </w:r>
      <w:r w:rsidR="00354898" w:rsidRPr="00F22CB2">
        <w:rPr>
          <w:rFonts w:ascii="Arial" w:hAnsi="Arial" w:cs="Arial"/>
          <w:sz w:val="24"/>
          <w:szCs w:val="24"/>
        </w:rPr>
        <w:t>pension funds</w:t>
      </w:r>
      <w:r w:rsidRPr="00F22CB2">
        <w:rPr>
          <w:rFonts w:ascii="Arial" w:hAnsi="Arial" w:cs="Arial"/>
          <w:sz w:val="24"/>
          <w:szCs w:val="24"/>
        </w:rPr>
        <w:t xml:space="preserve"> (except </w:t>
      </w:r>
      <w:r w:rsidR="00B94A68" w:rsidRPr="00F22CB2">
        <w:rPr>
          <w:rFonts w:ascii="Arial" w:hAnsi="Arial" w:cs="Arial"/>
          <w:sz w:val="24"/>
          <w:szCs w:val="24"/>
        </w:rPr>
        <w:t>Hampshire</w:t>
      </w:r>
      <w:r w:rsidRPr="00F22CB2">
        <w:rPr>
          <w:rFonts w:ascii="Arial" w:hAnsi="Arial" w:cs="Arial"/>
          <w:sz w:val="24"/>
          <w:szCs w:val="24"/>
        </w:rPr>
        <w:t xml:space="preserve"> </w:t>
      </w:r>
      <w:r w:rsidR="00202E2E" w:rsidRPr="00F22CB2">
        <w:rPr>
          <w:rFonts w:ascii="Arial" w:hAnsi="Arial" w:cs="Arial"/>
          <w:sz w:val="24"/>
          <w:szCs w:val="24"/>
        </w:rPr>
        <w:t>P</w:t>
      </w:r>
      <w:r w:rsidRPr="00F22CB2">
        <w:rPr>
          <w:rFonts w:ascii="Arial" w:hAnsi="Arial" w:cs="Arial"/>
          <w:sz w:val="24"/>
          <w:szCs w:val="24"/>
        </w:rPr>
        <w:t xml:space="preserve">ension </w:t>
      </w:r>
      <w:r w:rsidR="00202E2E" w:rsidRPr="00F22CB2">
        <w:rPr>
          <w:rFonts w:ascii="Arial" w:hAnsi="Arial" w:cs="Arial"/>
          <w:sz w:val="24"/>
          <w:szCs w:val="24"/>
        </w:rPr>
        <w:t>F</w:t>
      </w:r>
      <w:r w:rsidRPr="00F22CB2">
        <w:rPr>
          <w:rFonts w:ascii="Arial" w:hAnsi="Arial" w:cs="Arial"/>
          <w:sz w:val="24"/>
          <w:szCs w:val="24"/>
        </w:rPr>
        <w:t>und)</w:t>
      </w:r>
    </w:p>
    <w:p w14:paraId="2A39813E" w14:textId="77777777" w:rsidR="00522B8B" w:rsidRPr="00F22CB2" w:rsidRDefault="00522B8B" w:rsidP="00557C9C">
      <w:pPr>
        <w:pStyle w:val="ListParagraph"/>
        <w:numPr>
          <w:ilvl w:val="0"/>
          <w:numId w:val="31"/>
        </w:numPr>
        <w:spacing w:after="240" w:line="240" w:lineRule="auto"/>
        <w:contextualSpacing w:val="0"/>
        <w:rPr>
          <w:rFonts w:ascii="Arial" w:hAnsi="Arial" w:cs="Arial"/>
          <w:sz w:val="24"/>
          <w:szCs w:val="24"/>
        </w:rPr>
      </w:pPr>
      <w:r w:rsidRPr="00F22CB2">
        <w:rPr>
          <w:rFonts w:ascii="Arial" w:hAnsi="Arial" w:cs="Arial"/>
          <w:sz w:val="24"/>
          <w:szCs w:val="24"/>
        </w:rPr>
        <w:t>capital market bond investors</w:t>
      </w:r>
    </w:p>
    <w:p w14:paraId="7B1FE017" w14:textId="77777777" w:rsidR="00522B8B" w:rsidRPr="00F22CB2" w:rsidRDefault="00522B8B" w:rsidP="00557C9C">
      <w:pPr>
        <w:pStyle w:val="ListParagraph"/>
        <w:numPr>
          <w:ilvl w:val="0"/>
          <w:numId w:val="31"/>
        </w:numPr>
        <w:spacing w:after="240" w:line="240" w:lineRule="auto"/>
        <w:contextualSpacing w:val="0"/>
        <w:rPr>
          <w:rFonts w:ascii="Arial" w:hAnsi="Arial" w:cs="Arial"/>
          <w:sz w:val="24"/>
          <w:szCs w:val="24"/>
        </w:rPr>
      </w:pPr>
      <w:r w:rsidRPr="00F22CB2">
        <w:rPr>
          <w:rFonts w:ascii="Arial" w:hAnsi="Arial" w:cs="Arial"/>
          <w:sz w:val="24"/>
          <w:szCs w:val="24"/>
        </w:rPr>
        <w:t>special purpose companies created to enable local authority bond issues</w:t>
      </w:r>
    </w:p>
    <w:p w14:paraId="7DA6726F" w14:textId="77777777" w:rsidR="00085666" w:rsidRDefault="00085666" w:rsidP="00E45674">
      <w:pPr>
        <w:pStyle w:val="ListParagraph"/>
        <w:spacing w:after="240" w:line="240" w:lineRule="auto"/>
        <w:contextualSpacing w:val="0"/>
        <w:rPr>
          <w:rFonts w:ascii="Arial" w:hAnsi="Arial" w:cs="Arial"/>
          <w:b/>
          <w:sz w:val="24"/>
          <w:szCs w:val="24"/>
        </w:rPr>
      </w:pPr>
    </w:p>
    <w:p w14:paraId="74CA11C4" w14:textId="77777777" w:rsidR="00085666" w:rsidRDefault="00085666" w:rsidP="00E45674">
      <w:pPr>
        <w:pStyle w:val="ListParagraph"/>
        <w:spacing w:after="240" w:line="240" w:lineRule="auto"/>
        <w:contextualSpacing w:val="0"/>
        <w:rPr>
          <w:rFonts w:ascii="Arial" w:hAnsi="Arial" w:cs="Arial"/>
          <w:b/>
          <w:sz w:val="24"/>
          <w:szCs w:val="24"/>
        </w:rPr>
      </w:pPr>
    </w:p>
    <w:p w14:paraId="10E4D7E2" w14:textId="758119DC" w:rsidR="00E45674" w:rsidRPr="00F22CB2" w:rsidRDefault="00E45674" w:rsidP="00E45674">
      <w:pPr>
        <w:pStyle w:val="ListParagraph"/>
        <w:spacing w:after="240" w:line="240" w:lineRule="auto"/>
        <w:contextualSpacing w:val="0"/>
        <w:rPr>
          <w:rFonts w:ascii="Arial" w:hAnsi="Arial" w:cs="Arial"/>
          <w:b/>
          <w:sz w:val="24"/>
          <w:szCs w:val="24"/>
        </w:rPr>
      </w:pPr>
      <w:r w:rsidRPr="00F22CB2">
        <w:rPr>
          <w:rFonts w:ascii="Arial" w:hAnsi="Arial" w:cs="Arial"/>
          <w:b/>
          <w:sz w:val="24"/>
          <w:szCs w:val="24"/>
        </w:rPr>
        <w:t>Other sources of debt finance</w:t>
      </w:r>
    </w:p>
    <w:p w14:paraId="363AA097" w14:textId="77777777" w:rsidR="004E047F" w:rsidRPr="00F22CB2" w:rsidRDefault="004E047F" w:rsidP="00DB2D78">
      <w:pPr>
        <w:pStyle w:val="ListParagraph"/>
        <w:numPr>
          <w:ilvl w:val="1"/>
          <w:numId w:val="27"/>
        </w:numPr>
        <w:spacing w:after="240" w:line="240" w:lineRule="auto"/>
        <w:ind w:left="720" w:hanging="720"/>
        <w:contextualSpacing w:val="0"/>
        <w:rPr>
          <w:rFonts w:ascii="Arial" w:hAnsi="Arial" w:cs="Arial"/>
          <w:sz w:val="24"/>
          <w:szCs w:val="24"/>
        </w:rPr>
      </w:pPr>
      <w:r w:rsidRPr="00F22CB2">
        <w:rPr>
          <w:rFonts w:ascii="Arial" w:hAnsi="Arial" w:cs="Arial"/>
          <w:sz w:val="24"/>
          <w:szCs w:val="24"/>
        </w:rPr>
        <w:t>In addition, capital finance may be raised by the following methods that are not borrowing</w:t>
      </w:r>
      <w:r w:rsidR="0026017D" w:rsidRPr="00F22CB2">
        <w:rPr>
          <w:rFonts w:ascii="Arial" w:hAnsi="Arial" w:cs="Arial"/>
          <w:sz w:val="24"/>
          <w:szCs w:val="24"/>
        </w:rPr>
        <w:t>, but may be classed as other debt liabilities</w:t>
      </w:r>
      <w:r w:rsidRPr="00F22CB2">
        <w:rPr>
          <w:rFonts w:ascii="Arial" w:hAnsi="Arial" w:cs="Arial"/>
          <w:sz w:val="24"/>
          <w:szCs w:val="24"/>
        </w:rPr>
        <w:t>:</w:t>
      </w:r>
    </w:p>
    <w:p w14:paraId="022F9022" w14:textId="77777777" w:rsidR="004E047F" w:rsidRPr="00F22CB2" w:rsidRDefault="00F22CB2" w:rsidP="00557C9C">
      <w:pPr>
        <w:pStyle w:val="ListParagraph"/>
        <w:numPr>
          <w:ilvl w:val="0"/>
          <w:numId w:val="31"/>
        </w:numPr>
        <w:spacing w:after="240" w:line="240" w:lineRule="auto"/>
        <w:contextualSpacing w:val="0"/>
        <w:rPr>
          <w:rFonts w:ascii="Arial" w:hAnsi="Arial" w:cs="Arial"/>
          <w:sz w:val="24"/>
          <w:szCs w:val="24"/>
        </w:rPr>
      </w:pPr>
      <w:r w:rsidRPr="00F22CB2">
        <w:rPr>
          <w:rFonts w:ascii="Arial" w:hAnsi="Arial" w:cs="Arial"/>
          <w:sz w:val="24"/>
          <w:szCs w:val="24"/>
        </w:rPr>
        <w:t>leasing</w:t>
      </w:r>
    </w:p>
    <w:p w14:paraId="75B92291" w14:textId="77777777" w:rsidR="0026017D" w:rsidRPr="00F22CB2" w:rsidRDefault="0026017D" w:rsidP="00557C9C">
      <w:pPr>
        <w:pStyle w:val="ListParagraph"/>
        <w:numPr>
          <w:ilvl w:val="0"/>
          <w:numId w:val="31"/>
        </w:numPr>
        <w:spacing w:after="240" w:line="240" w:lineRule="auto"/>
        <w:contextualSpacing w:val="0"/>
        <w:rPr>
          <w:rFonts w:ascii="Arial" w:hAnsi="Arial" w:cs="Arial"/>
          <w:sz w:val="24"/>
          <w:szCs w:val="24"/>
        </w:rPr>
      </w:pPr>
      <w:r w:rsidRPr="00F22CB2">
        <w:rPr>
          <w:rFonts w:ascii="Arial" w:hAnsi="Arial" w:cs="Arial"/>
          <w:sz w:val="24"/>
          <w:szCs w:val="24"/>
        </w:rPr>
        <w:t>hire purchase</w:t>
      </w:r>
    </w:p>
    <w:p w14:paraId="5A701A0D" w14:textId="77777777" w:rsidR="004E047F" w:rsidRPr="00F22CB2" w:rsidRDefault="004E047F" w:rsidP="00557C9C">
      <w:pPr>
        <w:pStyle w:val="ListParagraph"/>
        <w:numPr>
          <w:ilvl w:val="0"/>
          <w:numId w:val="31"/>
        </w:numPr>
        <w:spacing w:after="240" w:line="240" w:lineRule="auto"/>
        <w:contextualSpacing w:val="0"/>
        <w:rPr>
          <w:rFonts w:ascii="Arial" w:hAnsi="Arial" w:cs="Arial"/>
          <w:sz w:val="24"/>
          <w:szCs w:val="24"/>
        </w:rPr>
      </w:pPr>
      <w:r w:rsidRPr="00F22CB2">
        <w:rPr>
          <w:rFonts w:ascii="Arial" w:hAnsi="Arial" w:cs="Arial"/>
          <w:sz w:val="24"/>
          <w:szCs w:val="24"/>
        </w:rPr>
        <w:t xml:space="preserve">Private Finance Initiative </w:t>
      </w:r>
    </w:p>
    <w:p w14:paraId="19A43B91" w14:textId="77777777" w:rsidR="004E047F" w:rsidRPr="00F22CB2" w:rsidRDefault="0026017D" w:rsidP="00557C9C">
      <w:pPr>
        <w:pStyle w:val="ListParagraph"/>
        <w:numPr>
          <w:ilvl w:val="0"/>
          <w:numId w:val="31"/>
        </w:numPr>
        <w:spacing w:after="240" w:line="240" w:lineRule="auto"/>
        <w:contextualSpacing w:val="0"/>
        <w:rPr>
          <w:rFonts w:ascii="Arial" w:hAnsi="Arial" w:cs="Arial"/>
          <w:sz w:val="24"/>
          <w:szCs w:val="24"/>
        </w:rPr>
      </w:pPr>
      <w:r w:rsidRPr="00F22CB2">
        <w:rPr>
          <w:rFonts w:ascii="Arial" w:hAnsi="Arial" w:cs="Arial"/>
          <w:sz w:val="24"/>
          <w:szCs w:val="24"/>
        </w:rPr>
        <w:t>sale and leaseback</w:t>
      </w:r>
    </w:p>
    <w:p w14:paraId="4C8DF128" w14:textId="77777777" w:rsidR="0041798A" w:rsidRPr="00F22CB2" w:rsidRDefault="0041798A" w:rsidP="00DB2D78">
      <w:pPr>
        <w:pStyle w:val="ListParagraph"/>
        <w:numPr>
          <w:ilvl w:val="1"/>
          <w:numId w:val="27"/>
        </w:numPr>
        <w:spacing w:after="240" w:line="240" w:lineRule="auto"/>
        <w:ind w:left="720" w:hanging="720"/>
        <w:contextualSpacing w:val="0"/>
        <w:rPr>
          <w:rFonts w:ascii="Arial" w:hAnsi="Arial" w:cs="Arial"/>
          <w:sz w:val="24"/>
          <w:szCs w:val="24"/>
        </w:rPr>
      </w:pPr>
      <w:r w:rsidRPr="00F22CB2">
        <w:rPr>
          <w:rFonts w:ascii="Arial" w:hAnsi="Arial" w:cs="Arial"/>
          <w:sz w:val="24"/>
          <w:szCs w:val="24"/>
        </w:rPr>
        <w:t xml:space="preserve">The </w:t>
      </w:r>
      <w:r w:rsidR="00B94A68" w:rsidRPr="00F22CB2">
        <w:rPr>
          <w:rFonts w:ascii="Arial" w:hAnsi="Arial" w:cs="Arial"/>
          <w:sz w:val="24"/>
          <w:szCs w:val="24"/>
        </w:rPr>
        <w:t>OPCC</w:t>
      </w:r>
      <w:r w:rsidRPr="00F22CB2">
        <w:rPr>
          <w:rFonts w:ascii="Arial" w:hAnsi="Arial" w:cs="Arial"/>
          <w:sz w:val="24"/>
          <w:szCs w:val="24"/>
        </w:rPr>
        <w:t xml:space="preserve"> has previously raised </w:t>
      </w:r>
      <w:proofErr w:type="gramStart"/>
      <w:r w:rsidR="004B4462" w:rsidRPr="00F22CB2">
        <w:rPr>
          <w:rFonts w:ascii="Arial" w:hAnsi="Arial" w:cs="Arial"/>
          <w:sz w:val="24"/>
          <w:szCs w:val="24"/>
        </w:rPr>
        <w:t>all</w:t>
      </w:r>
      <w:r w:rsidRPr="00F22CB2">
        <w:rPr>
          <w:rFonts w:ascii="Arial" w:hAnsi="Arial" w:cs="Arial"/>
          <w:sz w:val="24"/>
          <w:szCs w:val="24"/>
        </w:rPr>
        <w:t xml:space="preserve"> of</w:t>
      </w:r>
      <w:proofErr w:type="gramEnd"/>
      <w:r w:rsidRPr="00F22CB2">
        <w:rPr>
          <w:rFonts w:ascii="Arial" w:hAnsi="Arial" w:cs="Arial"/>
          <w:sz w:val="24"/>
          <w:szCs w:val="24"/>
        </w:rPr>
        <w:t xml:space="preserve"> its long-term borrowing from the </w:t>
      </w:r>
      <w:r w:rsidR="007F12B1" w:rsidRPr="00F22CB2">
        <w:rPr>
          <w:rFonts w:ascii="Arial" w:hAnsi="Arial" w:cs="Arial"/>
          <w:sz w:val="24"/>
          <w:szCs w:val="24"/>
        </w:rPr>
        <w:t>PWLB</w:t>
      </w:r>
      <w:r w:rsidRPr="00F22CB2">
        <w:rPr>
          <w:rFonts w:ascii="Arial" w:hAnsi="Arial" w:cs="Arial"/>
          <w:sz w:val="24"/>
          <w:szCs w:val="24"/>
        </w:rPr>
        <w:t xml:space="preserve"> but it continues to investigate other sources of finance, such as </w:t>
      </w:r>
      <w:r w:rsidR="008135E6" w:rsidRPr="00F22CB2">
        <w:rPr>
          <w:rFonts w:ascii="Arial" w:hAnsi="Arial" w:cs="Arial"/>
          <w:sz w:val="24"/>
          <w:szCs w:val="24"/>
        </w:rPr>
        <w:t>local authority loans</w:t>
      </w:r>
      <w:r w:rsidRPr="00F22CB2">
        <w:rPr>
          <w:rFonts w:ascii="Arial" w:hAnsi="Arial" w:cs="Arial"/>
          <w:sz w:val="24"/>
          <w:szCs w:val="24"/>
        </w:rPr>
        <w:t xml:space="preserve"> and bank </w:t>
      </w:r>
      <w:r w:rsidR="00B94A68" w:rsidRPr="00F22CB2">
        <w:rPr>
          <w:rFonts w:ascii="Arial" w:hAnsi="Arial" w:cs="Arial"/>
          <w:sz w:val="24"/>
          <w:szCs w:val="24"/>
        </w:rPr>
        <w:t>loans, which</w:t>
      </w:r>
      <w:r w:rsidRPr="00F22CB2">
        <w:rPr>
          <w:rFonts w:ascii="Arial" w:hAnsi="Arial" w:cs="Arial"/>
          <w:sz w:val="24"/>
          <w:szCs w:val="24"/>
        </w:rPr>
        <w:t xml:space="preserve"> may be available at more favourable rates.</w:t>
      </w:r>
    </w:p>
    <w:p w14:paraId="7C69704E" w14:textId="457EDE3A" w:rsidR="00B94A68" w:rsidRPr="00F22CB2" w:rsidRDefault="007D7B42" w:rsidP="00E45674">
      <w:pPr>
        <w:pStyle w:val="ListParagraph"/>
        <w:spacing w:after="240" w:line="240" w:lineRule="auto"/>
        <w:contextualSpacing w:val="0"/>
        <w:rPr>
          <w:rFonts w:ascii="Arial" w:hAnsi="Arial" w:cs="Arial"/>
          <w:b/>
          <w:sz w:val="24"/>
          <w:szCs w:val="24"/>
        </w:rPr>
      </w:pPr>
      <w:r w:rsidRPr="00F22CB2">
        <w:rPr>
          <w:rFonts w:ascii="Arial" w:hAnsi="Arial" w:cs="Arial"/>
          <w:b/>
          <w:sz w:val="24"/>
          <w:szCs w:val="24"/>
        </w:rPr>
        <w:t xml:space="preserve">Short-term and </w:t>
      </w:r>
      <w:r w:rsidR="003F1F75" w:rsidRPr="00F22CB2">
        <w:rPr>
          <w:rFonts w:ascii="Arial" w:hAnsi="Arial" w:cs="Arial"/>
          <w:b/>
          <w:sz w:val="24"/>
          <w:szCs w:val="24"/>
        </w:rPr>
        <w:t>V</w:t>
      </w:r>
      <w:r w:rsidR="0041798A" w:rsidRPr="00F22CB2">
        <w:rPr>
          <w:rFonts w:ascii="Arial" w:hAnsi="Arial" w:cs="Arial"/>
          <w:b/>
          <w:sz w:val="24"/>
          <w:szCs w:val="24"/>
        </w:rPr>
        <w:t xml:space="preserve">ariable </w:t>
      </w:r>
      <w:r w:rsidR="003F1F75" w:rsidRPr="00F22CB2">
        <w:rPr>
          <w:rFonts w:ascii="Arial" w:hAnsi="Arial" w:cs="Arial"/>
          <w:b/>
          <w:sz w:val="24"/>
          <w:szCs w:val="24"/>
        </w:rPr>
        <w:t>R</w:t>
      </w:r>
      <w:r w:rsidR="0041798A" w:rsidRPr="00F22CB2">
        <w:rPr>
          <w:rFonts w:ascii="Arial" w:hAnsi="Arial" w:cs="Arial"/>
          <w:b/>
          <w:sz w:val="24"/>
          <w:szCs w:val="24"/>
        </w:rPr>
        <w:t>ate loans</w:t>
      </w:r>
    </w:p>
    <w:p w14:paraId="74066C4D" w14:textId="77777777" w:rsidR="0041798A" w:rsidRPr="007B2B22" w:rsidRDefault="00D43FFA" w:rsidP="00DB2D78">
      <w:pPr>
        <w:pStyle w:val="ListParagraph"/>
        <w:numPr>
          <w:ilvl w:val="1"/>
          <w:numId w:val="27"/>
        </w:numPr>
        <w:spacing w:after="240" w:line="240" w:lineRule="auto"/>
        <w:ind w:left="720" w:hanging="720"/>
        <w:contextualSpacing w:val="0"/>
        <w:rPr>
          <w:rFonts w:ascii="Arial" w:hAnsi="Arial" w:cs="Arial"/>
          <w:sz w:val="24"/>
          <w:szCs w:val="24"/>
        </w:rPr>
      </w:pPr>
      <w:r w:rsidRPr="007B2B22">
        <w:rPr>
          <w:rFonts w:ascii="Arial" w:hAnsi="Arial" w:cs="Arial"/>
          <w:sz w:val="24"/>
          <w:szCs w:val="24"/>
        </w:rPr>
        <w:t xml:space="preserve">These loans </w:t>
      </w:r>
      <w:r w:rsidR="007D7B42" w:rsidRPr="007B2B22">
        <w:rPr>
          <w:rFonts w:ascii="Arial" w:hAnsi="Arial" w:cs="Arial"/>
          <w:sz w:val="24"/>
          <w:szCs w:val="24"/>
        </w:rPr>
        <w:t xml:space="preserve">leave the </w:t>
      </w:r>
      <w:r w:rsidR="00B94A68" w:rsidRPr="007B2B22">
        <w:rPr>
          <w:rFonts w:ascii="Arial" w:hAnsi="Arial" w:cs="Arial"/>
          <w:sz w:val="24"/>
          <w:szCs w:val="24"/>
        </w:rPr>
        <w:t>OPCC</w:t>
      </w:r>
      <w:r w:rsidR="007D7B42" w:rsidRPr="007B2B22">
        <w:rPr>
          <w:rFonts w:ascii="Arial" w:hAnsi="Arial" w:cs="Arial"/>
          <w:sz w:val="24"/>
          <w:szCs w:val="24"/>
        </w:rPr>
        <w:t xml:space="preserve"> exposed to the risk of short-term interest rate rises and are therefore</w:t>
      </w:r>
      <w:r w:rsidR="0041798A" w:rsidRPr="007B2B22">
        <w:rPr>
          <w:rFonts w:ascii="Arial" w:hAnsi="Arial" w:cs="Arial"/>
          <w:sz w:val="24"/>
          <w:szCs w:val="24"/>
        </w:rPr>
        <w:t xml:space="preserve"> subject to the limit on the net exposure to variable interest rates in the treasu</w:t>
      </w:r>
      <w:r w:rsidR="00B94A68" w:rsidRPr="007B2B22">
        <w:rPr>
          <w:rFonts w:ascii="Arial" w:hAnsi="Arial" w:cs="Arial"/>
          <w:sz w:val="24"/>
          <w:szCs w:val="24"/>
        </w:rPr>
        <w:t xml:space="preserve">ry management indicators at section </w:t>
      </w:r>
      <w:r w:rsidR="007B2B22" w:rsidRPr="007B2B22">
        <w:rPr>
          <w:rFonts w:ascii="Arial" w:hAnsi="Arial" w:cs="Arial"/>
          <w:sz w:val="24"/>
          <w:szCs w:val="24"/>
        </w:rPr>
        <w:t>8</w:t>
      </w:r>
      <w:r w:rsidR="00B94A68" w:rsidRPr="007B2B22">
        <w:rPr>
          <w:rFonts w:ascii="Arial" w:hAnsi="Arial" w:cs="Arial"/>
          <w:sz w:val="24"/>
          <w:szCs w:val="24"/>
        </w:rPr>
        <w:t xml:space="preserve"> of this strategy.</w:t>
      </w:r>
    </w:p>
    <w:p w14:paraId="3575AB80" w14:textId="77777777" w:rsidR="00B94A68" w:rsidRPr="00F22CB2" w:rsidRDefault="00B94A68" w:rsidP="00F22CB2">
      <w:pPr>
        <w:pStyle w:val="ListParagraph"/>
        <w:keepNext/>
        <w:spacing w:after="240" w:line="240" w:lineRule="auto"/>
        <w:contextualSpacing w:val="0"/>
        <w:rPr>
          <w:rFonts w:ascii="Arial" w:hAnsi="Arial" w:cs="Arial"/>
          <w:b/>
          <w:sz w:val="24"/>
          <w:szCs w:val="24"/>
        </w:rPr>
      </w:pPr>
      <w:r w:rsidRPr="00F22CB2">
        <w:rPr>
          <w:rFonts w:ascii="Arial" w:hAnsi="Arial" w:cs="Arial"/>
          <w:b/>
          <w:sz w:val="24"/>
          <w:szCs w:val="24"/>
        </w:rPr>
        <w:t>Debt Rescheduling</w:t>
      </w:r>
    </w:p>
    <w:p w14:paraId="7E412C22" w14:textId="77777777" w:rsidR="00F22CB2" w:rsidRPr="00F22CB2" w:rsidRDefault="00F22CB2" w:rsidP="00F22CB2">
      <w:pPr>
        <w:pStyle w:val="ListParagraph"/>
        <w:numPr>
          <w:ilvl w:val="1"/>
          <w:numId w:val="27"/>
        </w:numPr>
        <w:spacing w:after="240" w:line="240" w:lineRule="auto"/>
        <w:ind w:left="720" w:hanging="720"/>
        <w:contextualSpacing w:val="0"/>
        <w:rPr>
          <w:rFonts w:ascii="Arial" w:hAnsi="Arial" w:cs="Arial"/>
          <w:sz w:val="24"/>
          <w:szCs w:val="24"/>
        </w:rPr>
      </w:pPr>
      <w:r w:rsidRPr="00F22CB2">
        <w:rPr>
          <w:rFonts w:ascii="Arial" w:hAnsi="Arial" w:cs="Arial"/>
          <w:sz w:val="24"/>
          <w:szCs w:val="24"/>
        </w:rPr>
        <w:t>The PWLB allows authorities to repay loans before maturity and either pay a premium or receive a discount according to a set formula based on current interest rates.  Other lenders may also be prepared to negotiate premature redemption terms.  The OPCC may take advantage of this and replace some loans with new loans, or repay loans without replacement, where this is expected to lead to an overall cost saving or a reduction in risk.</w:t>
      </w:r>
    </w:p>
    <w:p w14:paraId="2546FE01" w14:textId="77777777" w:rsidR="00ED62B3" w:rsidRPr="00F22CB2" w:rsidRDefault="00ED62B3" w:rsidP="00CA200E">
      <w:pPr>
        <w:keepNext/>
        <w:numPr>
          <w:ilvl w:val="0"/>
          <w:numId w:val="27"/>
        </w:numPr>
        <w:tabs>
          <w:tab w:val="num" w:pos="720"/>
        </w:tabs>
        <w:spacing w:after="240" w:line="240" w:lineRule="auto"/>
        <w:ind w:left="431" w:hanging="431"/>
        <w:outlineLvl w:val="0"/>
        <w:rPr>
          <w:rFonts w:ascii="Arial" w:hAnsi="Arial" w:cs="Arial"/>
          <w:b/>
          <w:sz w:val="24"/>
        </w:rPr>
      </w:pPr>
      <w:r w:rsidRPr="00F22CB2">
        <w:rPr>
          <w:rFonts w:ascii="Arial" w:hAnsi="Arial" w:cs="Arial"/>
          <w:b/>
          <w:sz w:val="24"/>
        </w:rPr>
        <w:t>Investment Strategy</w:t>
      </w:r>
    </w:p>
    <w:p w14:paraId="2F8B2456" w14:textId="274330B1" w:rsidR="00820497" w:rsidRDefault="005015C4" w:rsidP="00DB2D78">
      <w:pPr>
        <w:pStyle w:val="ListParagraph"/>
        <w:numPr>
          <w:ilvl w:val="1"/>
          <w:numId w:val="27"/>
        </w:numPr>
        <w:spacing w:after="240" w:line="240" w:lineRule="auto"/>
        <w:ind w:left="720" w:hanging="720"/>
        <w:contextualSpacing w:val="0"/>
        <w:rPr>
          <w:rFonts w:ascii="Arial" w:hAnsi="Arial" w:cs="Arial"/>
          <w:sz w:val="24"/>
          <w:szCs w:val="24"/>
        </w:rPr>
      </w:pPr>
      <w:r w:rsidRPr="004B31F4">
        <w:rPr>
          <w:rFonts w:ascii="Arial" w:hAnsi="Arial" w:cs="Arial"/>
          <w:sz w:val="24"/>
          <w:szCs w:val="24"/>
        </w:rPr>
        <w:t xml:space="preserve">The </w:t>
      </w:r>
      <w:r w:rsidR="00B94A68" w:rsidRPr="004B31F4">
        <w:rPr>
          <w:rFonts w:ascii="Arial" w:hAnsi="Arial" w:cs="Arial"/>
          <w:sz w:val="24"/>
          <w:szCs w:val="24"/>
        </w:rPr>
        <w:t>OPCC</w:t>
      </w:r>
      <w:r w:rsidRPr="004B31F4">
        <w:rPr>
          <w:rFonts w:ascii="Arial" w:hAnsi="Arial" w:cs="Arial"/>
          <w:sz w:val="24"/>
          <w:szCs w:val="24"/>
        </w:rPr>
        <w:t xml:space="preserve"> holds </w:t>
      </w:r>
      <w:r w:rsidR="00AA5358" w:rsidRPr="004B31F4">
        <w:rPr>
          <w:rFonts w:ascii="Arial" w:hAnsi="Arial" w:cs="Arial"/>
          <w:sz w:val="24"/>
          <w:szCs w:val="24"/>
        </w:rPr>
        <w:t>invested</w:t>
      </w:r>
      <w:r w:rsidRPr="004B31F4">
        <w:rPr>
          <w:rFonts w:ascii="Arial" w:hAnsi="Arial" w:cs="Arial"/>
          <w:sz w:val="24"/>
          <w:szCs w:val="24"/>
        </w:rPr>
        <w:t xml:space="preserve"> funds, representing income received in advance of expenditure plus balances and reserves held.  In the past 12 months, the </w:t>
      </w:r>
      <w:r w:rsidR="00B94A68" w:rsidRPr="004B31F4">
        <w:rPr>
          <w:rFonts w:ascii="Arial" w:hAnsi="Arial" w:cs="Arial"/>
          <w:sz w:val="24"/>
          <w:szCs w:val="24"/>
        </w:rPr>
        <w:t>OPCC</w:t>
      </w:r>
      <w:r w:rsidRPr="004B31F4">
        <w:rPr>
          <w:rFonts w:ascii="Arial" w:hAnsi="Arial" w:cs="Arial"/>
          <w:sz w:val="24"/>
          <w:szCs w:val="24"/>
        </w:rPr>
        <w:t xml:space="preserve">’s investment balance has ranged </w:t>
      </w:r>
      <w:r w:rsidRPr="00B47D64">
        <w:rPr>
          <w:rFonts w:ascii="Arial" w:hAnsi="Arial" w:cs="Arial"/>
          <w:sz w:val="24"/>
          <w:szCs w:val="24"/>
        </w:rPr>
        <w:t xml:space="preserve">between </w:t>
      </w:r>
      <w:r w:rsidR="00243E06" w:rsidRPr="00B47D64">
        <w:rPr>
          <w:rFonts w:ascii="Arial" w:hAnsi="Arial" w:cs="Arial"/>
          <w:sz w:val="24"/>
          <w:szCs w:val="24"/>
        </w:rPr>
        <w:t>£</w:t>
      </w:r>
      <w:r w:rsidR="00F22CB2" w:rsidRPr="00B47D64">
        <w:rPr>
          <w:rFonts w:ascii="Arial" w:hAnsi="Arial" w:cs="Arial"/>
          <w:sz w:val="24"/>
          <w:szCs w:val="24"/>
        </w:rPr>
        <w:t>2</w:t>
      </w:r>
      <w:r w:rsidR="00A43658" w:rsidRPr="00B47D64">
        <w:rPr>
          <w:rFonts w:ascii="Arial" w:hAnsi="Arial" w:cs="Arial"/>
          <w:sz w:val="24"/>
          <w:szCs w:val="24"/>
        </w:rPr>
        <w:t>1.0</w:t>
      </w:r>
      <w:r w:rsidR="00F22CB2" w:rsidRPr="00B47D64">
        <w:rPr>
          <w:rFonts w:ascii="Arial" w:hAnsi="Arial" w:cs="Arial"/>
          <w:sz w:val="24"/>
          <w:szCs w:val="24"/>
        </w:rPr>
        <w:t>m</w:t>
      </w:r>
      <w:r w:rsidR="00243E06" w:rsidRPr="00B47D64">
        <w:rPr>
          <w:rFonts w:ascii="Arial" w:hAnsi="Arial" w:cs="Arial"/>
          <w:sz w:val="24"/>
          <w:szCs w:val="24"/>
        </w:rPr>
        <w:t xml:space="preserve"> </w:t>
      </w:r>
      <w:r w:rsidRPr="00B47D64">
        <w:rPr>
          <w:rFonts w:ascii="Arial" w:hAnsi="Arial" w:cs="Arial"/>
          <w:sz w:val="24"/>
          <w:szCs w:val="24"/>
        </w:rPr>
        <w:t xml:space="preserve">and </w:t>
      </w:r>
      <w:r w:rsidR="00243E06" w:rsidRPr="00B47D64">
        <w:rPr>
          <w:rFonts w:ascii="Arial" w:hAnsi="Arial" w:cs="Arial"/>
          <w:sz w:val="24"/>
          <w:szCs w:val="24"/>
        </w:rPr>
        <w:t>£</w:t>
      </w:r>
      <w:r w:rsidR="00F22CB2" w:rsidRPr="00B47D64">
        <w:rPr>
          <w:rFonts w:ascii="Arial" w:hAnsi="Arial" w:cs="Arial"/>
          <w:sz w:val="24"/>
          <w:szCs w:val="24"/>
        </w:rPr>
        <w:t>9</w:t>
      </w:r>
      <w:r w:rsidR="00A43658" w:rsidRPr="00B47D64">
        <w:rPr>
          <w:rFonts w:ascii="Arial" w:hAnsi="Arial" w:cs="Arial"/>
          <w:sz w:val="24"/>
          <w:szCs w:val="24"/>
        </w:rPr>
        <w:t>0</w:t>
      </w:r>
      <w:r w:rsidR="00F22CB2" w:rsidRPr="00B47D64">
        <w:rPr>
          <w:rFonts w:ascii="Arial" w:hAnsi="Arial" w:cs="Arial"/>
          <w:sz w:val="24"/>
          <w:szCs w:val="24"/>
        </w:rPr>
        <w:t>.</w:t>
      </w:r>
      <w:r w:rsidR="00A43658" w:rsidRPr="00B47D64">
        <w:rPr>
          <w:rFonts w:ascii="Arial" w:hAnsi="Arial" w:cs="Arial"/>
          <w:sz w:val="24"/>
          <w:szCs w:val="24"/>
        </w:rPr>
        <w:t>4</w:t>
      </w:r>
      <w:r w:rsidRPr="00B47D64">
        <w:rPr>
          <w:rFonts w:ascii="Arial" w:hAnsi="Arial" w:cs="Arial"/>
          <w:sz w:val="24"/>
          <w:szCs w:val="24"/>
        </w:rPr>
        <w:t>m</w:t>
      </w:r>
      <w:r w:rsidRPr="004B31F4">
        <w:rPr>
          <w:rFonts w:ascii="Arial" w:hAnsi="Arial" w:cs="Arial"/>
          <w:sz w:val="24"/>
          <w:szCs w:val="24"/>
        </w:rPr>
        <w:t xml:space="preserve">, </w:t>
      </w:r>
      <w:r w:rsidR="00983A84" w:rsidRPr="004B31F4">
        <w:rPr>
          <w:rFonts w:ascii="Arial" w:hAnsi="Arial" w:cs="Arial"/>
          <w:sz w:val="24"/>
          <w:szCs w:val="24"/>
        </w:rPr>
        <w:t xml:space="preserve">but as shown in Table 1, investment balances are </w:t>
      </w:r>
      <w:r w:rsidR="00386078">
        <w:rPr>
          <w:rFonts w:ascii="Arial" w:hAnsi="Arial" w:cs="Arial"/>
          <w:sz w:val="24"/>
          <w:szCs w:val="24"/>
        </w:rPr>
        <w:t>expected to reduce over the forecast period</w:t>
      </w:r>
      <w:r w:rsidR="00983A84" w:rsidRPr="004B31F4">
        <w:rPr>
          <w:rFonts w:ascii="Arial" w:hAnsi="Arial" w:cs="Arial"/>
          <w:sz w:val="24"/>
          <w:szCs w:val="24"/>
        </w:rPr>
        <w:t>.</w:t>
      </w:r>
    </w:p>
    <w:p w14:paraId="07FDC506" w14:textId="77777777" w:rsidR="00B94A68" w:rsidRPr="007B2B22" w:rsidRDefault="00D43FFA" w:rsidP="00B94A68">
      <w:pPr>
        <w:pStyle w:val="ListParagraph"/>
        <w:spacing w:after="240" w:line="240" w:lineRule="auto"/>
        <w:contextualSpacing w:val="0"/>
        <w:rPr>
          <w:rFonts w:ascii="Arial" w:hAnsi="Arial" w:cs="Arial"/>
          <w:b/>
          <w:sz w:val="24"/>
          <w:szCs w:val="24"/>
        </w:rPr>
      </w:pPr>
      <w:r w:rsidRPr="007B2B22">
        <w:rPr>
          <w:rFonts w:ascii="Arial" w:hAnsi="Arial" w:cs="Arial"/>
          <w:b/>
          <w:sz w:val="24"/>
          <w:szCs w:val="24"/>
        </w:rPr>
        <w:t>Objecti</w:t>
      </w:r>
      <w:r w:rsidR="00B94A68" w:rsidRPr="007B2B22">
        <w:rPr>
          <w:rFonts w:ascii="Arial" w:hAnsi="Arial" w:cs="Arial"/>
          <w:b/>
          <w:sz w:val="24"/>
          <w:szCs w:val="24"/>
        </w:rPr>
        <w:t>ves</w:t>
      </w:r>
    </w:p>
    <w:p w14:paraId="2D7C1920" w14:textId="3A6734B6" w:rsidR="00F22CB2" w:rsidRDefault="00F22CB2" w:rsidP="00F22CB2">
      <w:pPr>
        <w:pStyle w:val="ListParagraph"/>
        <w:numPr>
          <w:ilvl w:val="1"/>
          <w:numId w:val="27"/>
        </w:numPr>
        <w:spacing w:after="240" w:line="240" w:lineRule="auto"/>
        <w:ind w:left="720" w:hanging="720"/>
        <w:contextualSpacing w:val="0"/>
        <w:rPr>
          <w:rFonts w:ascii="Arial" w:hAnsi="Arial" w:cs="Arial"/>
          <w:sz w:val="24"/>
          <w:szCs w:val="24"/>
        </w:rPr>
      </w:pPr>
      <w:r w:rsidRPr="00F22CB2">
        <w:rPr>
          <w:rFonts w:ascii="Arial" w:hAnsi="Arial" w:cs="Arial"/>
          <w:sz w:val="24"/>
          <w:szCs w:val="24"/>
        </w:rPr>
        <w:t>The CIPFA Code requires the</w:t>
      </w:r>
      <w:r>
        <w:rPr>
          <w:rFonts w:ascii="Arial" w:hAnsi="Arial" w:cs="Arial"/>
          <w:sz w:val="24"/>
          <w:szCs w:val="24"/>
        </w:rPr>
        <w:t xml:space="preserve"> OPCC</w:t>
      </w:r>
      <w:r w:rsidRPr="00F22CB2">
        <w:rPr>
          <w:rFonts w:ascii="Arial" w:hAnsi="Arial" w:cs="Arial"/>
          <w:sz w:val="24"/>
          <w:szCs w:val="24"/>
        </w:rPr>
        <w:t xml:space="preserve"> to invest its funds prudently, and to have regard to the security and liquidity of its investments before seeking the highest rate of return, or yield.  The </w:t>
      </w:r>
      <w:r>
        <w:rPr>
          <w:rFonts w:ascii="Arial" w:hAnsi="Arial" w:cs="Arial"/>
          <w:sz w:val="24"/>
          <w:szCs w:val="24"/>
        </w:rPr>
        <w:t>OPCC</w:t>
      </w:r>
      <w:r w:rsidRPr="00F22CB2">
        <w:rPr>
          <w:rFonts w:ascii="Arial" w:hAnsi="Arial" w:cs="Arial"/>
          <w:sz w:val="24"/>
          <w:szCs w:val="24"/>
        </w:rPr>
        <w:t>’s objective when investing money is to strike an appropriate balance between risk and return, minimising the risk of incurring losses from defaults and the risk of receiving unsuitably low investment income</w:t>
      </w:r>
      <w:r w:rsidR="00DC4E44">
        <w:rPr>
          <w:rFonts w:ascii="Arial" w:hAnsi="Arial" w:cs="Arial"/>
          <w:sz w:val="24"/>
          <w:szCs w:val="24"/>
        </w:rPr>
        <w:t>.</w:t>
      </w:r>
    </w:p>
    <w:p w14:paraId="0CDC9EF8" w14:textId="77777777" w:rsidR="00B94A68" w:rsidRPr="00F22CB2" w:rsidRDefault="00A00DA2" w:rsidP="00B94A68">
      <w:pPr>
        <w:pStyle w:val="ListParagraph"/>
        <w:spacing w:after="240" w:line="240" w:lineRule="auto"/>
        <w:contextualSpacing w:val="0"/>
        <w:rPr>
          <w:rFonts w:ascii="Arial" w:hAnsi="Arial" w:cs="Arial"/>
          <w:b/>
          <w:sz w:val="24"/>
          <w:szCs w:val="24"/>
        </w:rPr>
      </w:pPr>
      <w:r w:rsidRPr="00F22CB2">
        <w:rPr>
          <w:rFonts w:ascii="Arial" w:hAnsi="Arial" w:cs="Arial"/>
          <w:b/>
          <w:sz w:val="24"/>
          <w:szCs w:val="24"/>
        </w:rPr>
        <w:t>Negative Interest Rates</w:t>
      </w:r>
    </w:p>
    <w:p w14:paraId="06CB485E" w14:textId="607F6ECA" w:rsidR="00A00DA2" w:rsidRPr="00F22CB2" w:rsidRDefault="00A00DA2" w:rsidP="00DB2D78">
      <w:pPr>
        <w:pStyle w:val="ListParagraph"/>
        <w:numPr>
          <w:ilvl w:val="1"/>
          <w:numId w:val="27"/>
        </w:numPr>
        <w:spacing w:after="240" w:line="240" w:lineRule="auto"/>
        <w:ind w:left="720" w:hanging="720"/>
        <w:contextualSpacing w:val="0"/>
        <w:rPr>
          <w:rFonts w:ascii="Arial" w:hAnsi="Arial" w:cs="Arial"/>
          <w:sz w:val="24"/>
          <w:szCs w:val="24"/>
        </w:rPr>
      </w:pPr>
      <w:r w:rsidRPr="00F22CB2">
        <w:rPr>
          <w:rFonts w:ascii="Arial" w:hAnsi="Arial" w:cs="Arial"/>
          <w:sz w:val="24"/>
          <w:szCs w:val="24"/>
        </w:rPr>
        <w:t>If the UK enters into a recession in 20</w:t>
      </w:r>
      <w:r w:rsidR="002855C0">
        <w:rPr>
          <w:rFonts w:ascii="Arial" w:hAnsi="Arial" w:cs="Arial"/>
          <w:sz w:val="24"/>
          <w:szCs w:val="24"/>
        </w:rPr>
        <w:t>20</w:t>
      </w:r>
      <w:r w:rsidRPr="00F22CB2">
        <w:rPr>
          <w:rFonts w:ascii="Arial" w:hAnsi="Arial" w:cs="Arial"/>
          <w:sz w:val="24"/>
          <w:szCs w:val="24"/>
        </w:rPr>
        <w:t>/</w:t>
      </w:r>
      <w:r w:rsidR="00F22CB2" w:rsidRPr="00F22CB2">
        <w:rPr>
          <w:rFonts w:ascii="Arial" w:hAnsi="Arial" w:cs="Arial"/>
          <w:sz w:val="24"/>
          <w:szCs w:val="24"/>
        </w:rPr>
        <w:t>2</w:t>
      </w:r>
      <w:r w:rsidR="002855C0">
        <w:rPr>
          <w:rFonts w:ascii="Arial" w:hAnsi="Arial" w:cs="Arial"/>
          <w:sz w:val="24"/>
          <w:szCs w:val="24"/>
        </w:rPr>
        <w:t>1</w:t>
      </w:r>
      <w:r w:rsidRPr="00F22CB2">
        <w:rPr>
          <w:rFonts w:ascii="Arial" w:hAnsi="Arial" w:cs="Arial"/>
          <w:sz w:val="24"/>
          <w:szCs w:val="24"/>
        </w:rPr>
        <w:t xml:space="preserve">, there is a small chance that the Bank of England could set its Bank Rate at or below zero, which is likely to feed through to negative interest rates on all low risk, short-term investment options. </w:t>
      </w:r>
      <w:r w:rsidR="00B94A68" w:rsidRPr="00F22CB2">
        <w:rPr>
          <w:rFonts w:ascii="Arial" w:hAnsi="Arial" w:cs="Arial"/>
          <w:sz w:val="24"/>
          <w:szCs w:val="24"/>
        </w:rPr>
        <w:t xml:space="preserve"> </w:t>
      </w:r>
      <w:r w:rsidRPr="00F22CB2">
        <w:rPr>
          <w:rFonts w:ascii="Arial" w:hAnsi="Arial" w:cs="Arial"/>
          <w:sz w:val="24"/>
          <w:szCs w:val="24"/>
        </w:rPr>
        <w:t xml:space="preserve">This situation already exists in many other European countries. </w:t>
      </w:r>
      <w:r w:rsidR="00B94A68" w:rsidRPr="00F22CB2">
        <w:rPr>
          <w:rFonts w:ascii="Arial" w:hAnsi="Arial" w:cs="Arial"/>
          <w:sz w:val="24"/>
          <w:szCs w:val="24"/>
        </w:rPr>
        <w:t xml:space="preserve"> </w:t>
      </w:r>
      <w:r w:rsidRPr="00F22CB2">
        <w:rPr>
          <w:rFonts w:ascii="Arial" w:hAnsi="Arial" w:cs="Arial"/>
          <w:sz w:val="24"/>
          <w:szCs w:val="24"/>
        </w:rPr>
        <w:t>In this event, security will be measured as receiving the contractually agreed amount at maturity, even though this may be less than the amount originally invested.</w:t>
      </w:r>
    </w:p>
    <w:p w14:paraId="3FA4016F" w14:textId="77777777" w:rsidR="00B94A68" w:rsidRPr="00F22CB2" w:rsidRDefault="00A61872" w:rsidP="00B94A68">
      <w:pPr>
        <w:pStyle w:val="ListParagraph"/>
        <w:spacing w:after="240" w:line="240" w:lineRule="auto"/>
        <w:contextualSpacing w:val="0"/>
        <w:rPr>
          <w:rFonts w:ascii="Arial" w:hAnsi="Arial" w:cs="Arial"/>
          <w:b/>
          <w:sz w:val="24"/>
          <w:szCs w:val="24"/>
        </w:rPr>
      </w:pPr>
      <w:r w:rsidRPr="00F22CB2">
        <w:rPr>
          <w:rFonts w:ascii="Arial" w:hAnsi="Arial" w:cs="Arial"/>
          <w:b/>
          <w:sz w:val="24"/>
          <w:szCs w:val="24"/>
        </w:rPr>
        <w:t>Strategy</w:t>
      </w:r>
    </w:p>
    <w:p w14:paraId="11D7DD83" w14:textId="0A83F63B" w:rsidR="006A546E" w:rsidRPr="00F22CB2" w:rsidRDefault="0026017D" w:rsidP="00DB2D78">
      <w:pPr>
        <w:pStyle w:val="ListParagraph"/>
        <w:numPr>
          <w:ilvl w:val="1"/>
          <w:numId w:val="27"/>
        </w:numPr>
        <w:spacing w:after="240" w:line="240" w:lineRule="auto"/>
        <w:ind w:left="720" w:hanging="720"/>
        <w:contextualSpacing w:val="0"/>
        <w:rPr>
          <w:rFonts w:ascii="Arial" w:hAnsi="Arial" w:cs="Arial"/>
          <w:sz w:val="24"/>
          <w:szCs w:val="24"/>
        </w:rPr>
      </w:pPr>
      <w:r w:rsidRPr="00F22CB2">
        <w:rPr>
          <w:rFonts w:ascii="Arial" w:hAnsi="Arial" w:cs="Arial"/>
          <w:sz w:val="24"/>
          <w:szCs w:val="24"/>
        </w:rPr>
        <w:t>G</w:t>
      </w:r>
      <w:r w:rsidR="00666C22" w:rsidRPr="00F22CB2">
        <w:rPr>
          <w:rFonts w:ascii="Arial" w:hAnsi="Arial" w:cs="Arial"/>
          <w:sz w:val="24"/>
          <w:szCs w:val="24"/>
        </w:rPr>
        <w:t xml:space="preserve">iven the increasing risk and </w:t>
      </w:r>
      <w:r w:rsidR="00E45674" w:rsidRPr="00F22CB2">
        <w:rPr>
          <w:rFonts w:ascii="Arial" w:hAnsi="Arial" w:cs="Arial"/>
          <w:sz w:val="24"/>
          <w:szCs w:val="24"/>
        </w:rPr>
        <w:t>very low</w:t>
      </w:r>
      <w:r w:rsidR="00666C22" w:rsidRPr="00F22CB2">
        <w:rPr>
          <w:rFonts w:ascii="Arial" w:hAnsi="Arial" w:cs="Arial"/>
          <w:sz w:val="24"/>
          <w:szCs w:val="24"/>
        </w:rPr>
        <w:t xml:space="preserve"> returns </w:t>
      </w:r>
      <w:r w:rsidRPr="00F22CB2">
        <w:rPr>
          <w:rFonts w:ascii="Arial" w:hAnsi="Arial" w:cs="Arial"/>
          <w:sz w:val="24"/>
          <w:szCs w:val="24"/>
        </w:rPr>
        <w:t>from</w:t>
      </w:r>
      <w:r w:rsidR="00666C22" w:rsidRPr="00F22CB2">
        <w:rPr>
          <w:rFonts w:ascii="Arial" w:hAnsi="Arial" w:cs="Arial"/>
          <w:sz w:val="24"/>
          <w:szCs w:val="24"/>
        </w:rPr>
        <w:t xml:space="preserve"> </w:t>
      </w:r>
      <w:r w:rsidRPr="00F22CB2">
        <w:rPr>
          <w:rFonts w:ascii="Arial" w:hAnsi="Arial" w:cs="Arial"/>
          <w:sz w:val="24"/>
          <w:szCs w:val="24"/>
        </w:rPr>
        <w:t>short-term unsecured bank investments</w:t>
      </w:r>
      <w:r w:rsidR="00666C22" w:rsidRPr="00F22CB2">
        <w:rPr>
          <w:rFonts w:ascii="Arial" w:hAnsi="Arial" w:cs="Arial"/>
          <w:sz w:val="24"/>
          <w:szCs w:val="24"/>
        </w:rPr>
        <w:t>,</w:t>
      </w:r>
      <w:r w:rsidR="00431BA5" w:rsidRPr="00F22CB2">
        <w:rPr>
          <w:rFonts w:ascii="Arial" w:hAnsi="Arial" w:cs="Arial"/>
          <w:sz w:val="24"/>
          <w:szCs w:val="24"/>
        </w:rPr>
        <w:t xml:space="preserve"> the </w:t>
      </w:r>
      <w:r w:rsidR="00B94A68" w:rsidRPr="00F22CB2">
        <w:rPr>
          <w:rFonts w:ascii="Arial" w:hAnsi="Arial" w:cs="Arial"/>
          <w:sz w:val="24"/>
          <w:szCs w:val="24"/>
        </w:rPr>
        <w:t>OPCC</w:t>
      </w:r>
      <w:r w:rsidR="00431BA5" w:rsidRPr="00F22CB2">
        <w:rPr>
          <w:rFonts w:ascii="Arial" w:hAnsi="Arial" w:cs="Arial"/>
          <w:sz w:val="24"/>
          <w:szCs w:val="24"/>
        </w:rPr>
        <w:t xml:space="preserve"> aims to </w:t>
      </w:r>
      <w:r w:rsidR="002958F2" w:rsidRPr="00126F10">
        <w:rPr>
          <w:rFonts w:ascii="Arial" w:hAnsi="Arial" w:cs="Arial"/>
          <w:sz w:val="24"/>
          <w:szCs w:val="24"/>
        </w:rPr>
        <w:t>continue to</w:t>
      </w:r>
      <w:r w:rsidR="00431BA5" w:rsidRPr="00126F10">
        <w:rPr>
          <w:rFonts w:ascii="Arial" w:hAnsi="Arial" w:cs="Arial"/>
          <w:sz w:val="24"/>
          <w:szCs w:val="24"/>
        </w:rPr>
        <w:t xml:space="preserve"> diversify into more secure and/or higher yielding asset classes</w:t>
      </w:r>
      <w:r w:rsidR="00431BA5" w:rsidRPr="00F22CB2">
        <w:rPr>
          <w:rFonts w:ascii="Arial" w:hAnsi="Arial" w:cs="Arial"/>
          <w:sz w:val="24"/>
          <w:szCs w:val="24"/>
        </w:rPr>
        <w:t xml:space="preserve"> during 20</w:t>
      </w:r>
      <w:r w:rsidR="002855C0">
        <w:rPr>
          <w:rFonts w:ascii="Arial" w:hAnsi="Arial" w:cs="Arial"/>
          <w:sz w:val="24"/>
          <w:szCs w:val="24"/>
        </w:rPr>
        <w:t>20</w:t>
      </w:r>
      <w:r w:rsidR="00431BA5" w:rsidRPr="00F22CB2">
        <w:rPr>
          <w:rFonts w:ascii="Arial" w:hAnsi="Arial" w:cs="Arial"/>
          <w:sz w:val="24"/>
          <w:szCs w:val="24"/>
        </w:rPr>
        <w:t>/</w:t>
      </w:r>
      <w:r w:rsidR="00F22CB2" w:rsidRPr="00F22CB2">
        <w:rPr>
          <w:rFonts w:ascii="Arial" w:hAnsi="Arial" w:cs="Arial"/>
          <w:sz w:val="24"/>
          <w:szCs w:val="24"/>
        </w:rPr>
        <w:t>2</w:t>
      </w:r>
      <w:r w:rsidR="002855C0">
        <w:rPr>
          <w:rFonts w:ascii="Arial" w:hAnsi="Arial" w:cs="Arial"/>
          <w:sz w:val="24"/>
          <w:szCs w:val="24"/>
        </w:rPr>
        <w:t>1</w:t>
      </w:r>
      <w:r w:rsidR="00431BA5" w:rsidRPr="00F22CB2">
        <w:rPr>
          <w:rFonts w:ascii="Arial" w:hAnsi="Arial" w:cs="Arial"/>
          <w:sz w:val="24"/>
          <w:szCs w:val="24"/>
        </w:rPr>
        <w:t>.  This is especially</w:t>
      </w:r>
      <w:r w:rsidRPr="00F22CB2">
        <w:rPr>
          <w:rFonts w:ascii="Arial" w:hAnsi="Arial" w:cs="Arial"/>
          <w:sz w:val="24"/>
          <w:szCs w:val="24"/>
        </w:rPr>
        <w:t xml:space="preserve"> the case for the estimated</w:t>
      </w:r>
      <w:r w:rsidR="00666C22" w:rsidRPr="00F22CB2">
        <w:rPr>
          <w:rFonts w:ascii="Arial" w:hAnsi="Arial" w:cs="Arial"/>
          <w:sz w:val="24"/>
          <w:szCs w:val="24"/>
        </w:rPr>
        <w:t xml:space="preserve"> </w:t>
      </w:r>
      <w:r w:rsidR="00431BA5" w:rsidRPr="00F22CB2">
        <w:rPr>
          <w:rFonts w:ascii="Arial" w:hAnsi="Arial" w:cs="Arial"/>
          <w:sz w:val="24"/>
          <w:szCs w:val="24"/>
        </w:rPr>
        <w:t>£</w:t>
      </w:r>
      <w:r w:rsidR="00820DF1">
        <w:rPr>
          <w:rFonts w:ascii="Arial" w:hAnsi="Arial" w:cs="Arial"/>
          <w:sz w:val="24"/>
          <w:szCs w:val="24"/>
        </w:rPr>
        <w:t>1</w:t>
      </w:r>
      <w:r w:rsidR="006A69A9" w:rsidRPr="00F22CB2">
        <w:rPr>
          <w:rFonts w:ascii="Arial" w:hAnsi="Arial" w:cs="Arial"/>
          <w:sz w:val="24"/>
          <w:szCs w:val="24"/>
        </w:rPr>
        <w:t>5</w:t>
      </w:r>
      <w:r w:rsidR="00431BA5" w:rsidRPr="00F22CB2">
        <w:rPr>
          <w:rFonts w:ascii="Arial" w:hAnsi="Arial" w:cs="Arial"/>
          <w:sz w:val="24"/>
          <w:szCs w:val="24"/>
        </w:rPr>
        <w:t>m that is available for longer-term investment</w:t>
      </w:r>
      <w:r w:rsidR="00B16BD0">
        <w:rPr>
          <w:rFonts w:ascii="Arial" w:hAnsi="Arial" w:cs="Arial"/>
          <w:sz w:val="24"/>
          <w:szCs w:val="24"/>
        </w:rPr>
        <w:t xml:space="preserve"> and will represent a continuation of the strategy adopted in 2015/16.</w:t>
      </w:r>
      <w:r w:rsidRPr="00F22CB2">
        <w:rPr>
          <w:rFonts w:ascii="Arial" w:hAnsi="Arial" w:cs="Arial"/>
          <w:sz w:val="24"/>
          <w:szCs w:val="24"/>
        </w:rPr>
        <w:t xml:space="preserve"> </w:t>
      </w:r>
      <w:r w:rsidR="00B545F4" w:rsidRPr="00F22CB2">
        <w:rPr>
          <w:rFonts w:ascii="Arial" w:hAnsi="Arial" w:cs="Arial"/>
          <w:sz w:val="24"/>
          <w:szCs w:val="24"/>
        </w:rPr>
        <w:t xml:space="preserve"> </w:t>
      </w:r>
    </w:p>
    <w:p w14:paraId="2159AA6E" w14:textId="6C9C2EBB" w:rsidR="006A546E" w:rsidRDefault="00B545F4" w:rsidP="00DB2D78">
      <w:pPr>
        <w:pStyle w:val="ListParagraph"/>
        <w:numPr>
          <w:ilvl w:val="1"/>
          <w:numId w:val="27"/>
        </w:numPr>
        <w:spacing w:after="240" w:line="240" w:lineRule="auto"/>
        <w:ind w:left="720" w:hanging="720"/>
        <w:contextualSpacing w:val="0"/>
        <w:rPr>
          <w:rFonts w:ascii="Arial" w:hAnsi="Arial" w:cs="Arial"/>
          <w:sz w:val="24"/>
          <w:szCs w:val="24"/>
        </w:rPr>
      </w:pPr>
      <w:r w:rsidRPr="00F51331">
        <w:rPr>
          <w:rFonts w:ascii="Arial" w:hAnsi="Arial" w:cs="Arial"/>
          <w:sz w:val="24"/>
          <w:szCs w:val="24"/>
        </w:rPr>
        <w:t xml:space="preserve">Approximately </w:t>
      </w:r>
      <w:r w:rsidR="002958F2" w:rsidRPr="004F6C98">
        <w:rPr>
          <w:rFonts w:ascii="Arial" w:hAnsi="Arial" w:cs="Arial"/>
          <w:sz w:val="24"/>
          <w:szCs w:val="24"/>
        </w:rPr>
        <w:t>7</w:t>
      </w:r>
      <w:r w:rsidR="004F6C98" w:rsidRPr="004F6C98">
        <w:rPr>
          <w:rFonts w:ascii="Arial" w:hAnsi="Arial" w:cs="Arial"/>
          <w:sz w:val="24"/>
          <w:szCs w:val="24"/>
        </w:rPr>
        <w:t>1</w:t>
      </w:r>
      <w:r w:rsidRPr="004F6C98">
        <w:rPr>
          <w:rFonts w:ascii="Arial" w:hAnsi="Arial" w:cs="Arial"/>
          <w:sz w:val="24"/>
          <w:szCs w:val="24"/>
        </w:rPr>
        <w:t>%</w:t>
      </w:r>
      <w:r w:rsidRPr="00F51331">
        <w:rPr>
          <w:rFonts w:ascii="Arial" w:hAnsi="Arial" w:cs="Arial"/>
          <w:sz w:val="24"/>
          <w:szCs w:val="24"/>
        </w:rPr>
        <w:t xml:space="preserve"> (</w:t>
      </w:r>
      <w:r w:rsidR="004F6C98">
        <w:rPr>
          <w:rFonts w:ascii="Arial" w:hAnsi="Arial" w:cs="Arial"/>
          <w:sz w:val="24"/>
          <w:szCs w:val="24"/>
        </w:rPr>
        <w:t>de</w:t>
      </w:r>
      <w:r w:rsidRPr="00F51331">
        <w:rPr>
          <w:rFonts w:ascii="Arial" w:hAnsi="Arial" w:cs="Arial"/>
          <w:sz w:val="24"/>
          <w:szCs w:val="24"/>
        </w:rPr>
        <w:t xml:space="preserve">creased from </w:t>
      </w:r>
      <w:r w:rsidR="00F51331" w:rsidRPr="00F51331">
        <w:rPr>
          <w:rFonts w:ascii="Arial" w:hAnsi="Arial" w:cs="Arial"/>
          <w:sz w:val="24"/>
          <w:szCs w:val="24"/>
        </w:rPr>
        <w:t>7</w:t>
      </w:r>
      <w:r w:rsidR="002855C0">
        <w:rPr>
          <w:rFonts w:ascii="Arial" w:hAnsi="Arial" w:cs="Arial"/>
          <w:sz w:val="24"/>
          <w:szCs w:val="24"/>
        </w:rPr>
        <w:t>7</w:t>
      </w:r>
      <w:r w:rsidRPr="00F51331">
        <w:rPr>
          <w:rFonts w:ascii="Arial" w:hAnsi="Arial" w:cs="Arial"/>
          <w:sz w:val="24"/>
          <w:szCs w:val="24"/>
        </w:rPr>
        <w:t>% last year) of the OPCC’s surplus cash is invested so that it is not subject to bail-in risk, as it is invested in loca</w:t>
      </w:r>
      <w:r w:rsidR="00337233" w:rsidRPr="00F51331">
        <w:rPr>
          <w:rFonts w:ascii="Arial" w:hAnsi="Arial" w:cs="Arial"/>
          <w:sz w:val="24"/>
          <w:szCs w:val="24"/>
        </w:rPr>
        <w:t xml:space="preserve">l authorities, </w:t>
      </w:r>
      <w:r w:rsidRPr="00F51331">
        <w:rPr>
          <w:rFonts w:ascii="Arial" w:hAnsi="Arial" w:cs="Arial"/>
          <w:sz w:val="24"/>
          <w:szCs w:val="24"/>
        </w:rPr>
        <w:t>pooled property and equity funds,</w:t>
      </w:r>
      <w:r w:rsidR="00F51331" w:rsidRPr="00F51331">
        <w:rPr>
          <w:rFonts w:ascii="Arial" w:hAnsi="Arial" w:cs="Arial"/>
          <w:sz w:val="24"/>
          <w:szCs w:val="24"/>
        </w:rPr>
        <w:t xml:space="preserve"> corporate bonds</w:t>
      </w:r>
      <w:r w:rsidRPr="00F51331">
        <w:rPr>
          <w:rFonts w:ascii="Arial" w:hAnsi="Arial" w:cs="Arial"/>
          <w:sz w:val="24"/>
          <w:szCs w:val="24"/>
        </w:rPr>
        <w:t xml:space="preserve"> and secured bank bonds.  Whilst the remaining cash is subject to bail-in risk</w:t>
      </w:r>
      <w:r w:rsidRPr="0043335F">
        <w:rPr>
          <w:rFonts w:ascii="Arial" w:hAnsi="Arial" w:cs="Arial"/>
          <w:sz w:val="24"/>
          <w:szCs w:val="24"/>
        </w:rPr>
        <w:t xml:space="preserve">, </w:t>
      </w:r>
      <w:r w:rsidR="004F6C98" w:rsidRPr="0043335F">
        <w:rPr>
          <w:rFonts w:ascii="Arial" w:hAnsi="Arial" w:cs="Arial"/>
          <w:sz w:val="24"/>
          <w:szCs w:val="24"/>
        </w:rPr>
        <w:t>15</w:t>
      </w:r>
      <w:r w:rsidRPr="0043335F">
        <w:rPr>
          <w:rFonts w:ascii="Arial" w:hAnsi="Arial" w:cs="Arial"/>
          <w:sz w:val="24"/>
          <w:szCs w:val="24"/>
        </w:rPr>
        <w:t>%</w:t>
      </w:r>
      <w:r w:rsidRPr="00F51331">
        <w:rPr>
          <w:rFonts w:ascii="Arial" w:hAnsi="Arial" w:cs="Arial"/>
          <w:sz w:val="24"/>
          <w:szCs w:val="24"/>
        </w:rPr>
        <w:t xml:space="preserve"> of this balance is held in overnight money market funds which are subject to a reduced risk of bail-in</w:t>
      </w:r>
      <w:r w:rsidRPr="0043335F">
        <w:rPr>
          <w:rFonts w:ascii="Arial" w:hAnsi="Arial" w:cs="Arial"/>
          <w:sz w:val="24"/>
          <w:szCs w:val="24"/>
        </w:rPr>
        <w:t xml:space="preserve">, </w:t>
      </w:r>
      <w:r w:rsidR="0043335F" w:rsidRPr="0043335F">
        <w:rPr>
          <w:rFonts w:ascii="Arial" w:hAnsi="Arial" w:cs="Arial"/>
          <w:sz w:val="24"/>
          <w:szCs w:val="24"/>
        </w:rPr>
        <w:t>45</w:t>
      </w:r>
      <w:r w:rsidRPr="0043335F">
        <w:rPr>
          <w:rFonts w:ascii="Arial" w:hAnsi="Arial" w:cs="Arial"/>
          <w:sz w:val="24"/>
          <w:szCs w:val="24"/>
        </w:rPr>
        <w:t>%</w:t>
      </w:r>
      <w:r w:rsidRPr="00F51331">
        <w:rPr>
          <w:rFonts w:ascii="Arial" w:hAnsi="Arial" w:cs="Arial"/>
          <w:sz w:val="24"/>
          <w:szCs w:val="24"/>
        </w:rPr>
        <w:t xml:space="preserve"> is held in certificates of deposit which can be sold on the secondary market, and </w:t>
      </w:r>
      <w:r w:rsidR="0043335F" w:rsidRPr="0043335F">
        <w:rPr>
          <w:rFonts w:ascii="Arial" w:hAnsi="Arial" w:cs="Arial"/>
          <w:sz w:val="24"/>
          <w:szCs w:val="24"/>
        </w:rPr>
        <w:t>6</w:t>
      </w:r>
      <w:r w:rsidRPr="0043335F">
        <w:rPr>
          <w:rFonts w:ascii="Arial" w:hAnsi="Arial" w:cs="Arial"/>
          <w:sz w:val="24"/>
          <w:szCs w:val="24"/>
        </w:rPr>
        <w:t>%</w:t>
      </w:r>
      <w:r w:rsidRPr="00F51331">
        <w:rPr>
          <w:rFonts w:ascii="Arial" w:hAnsi="Arial" w:cs="Arial"/>
          <w:sz w:val="24"/>
          <w:szCs w:val="24"/>
        </w:rPr>
        <w:t xml:space="preserve"> is held in overnight call accounts with banks to allow for liquidity.  </w:t>
      </w:r>
      <w:r w:rsidR="00F51331" w:rsidRPr="0043335F">
        <w:rPr>
          <w:rFonts w:ascii="Arial" w:hAnsi="Arial" w:cs="Arial"/>
          <w:sz w:val="24"/>
          <w:szCs w:val="24"/>
        </w:rPr>
        <w:t>3</w:t>
      </w:r>
      <w:r w:rsidR="0043335F" w:rsidRPr="0043335F">
        <w:rPr>
          <w:rFonts w:ascii="Arial" w:hAnsi="Arial" w:cs="Arial"/>
          <w:sz w:val="24"/>
          <w:szCs w:val="24"/>
        </w:rPr>
        <w:t>4</w:t>
      </w:r>
      <w:r w:rsidRPr="0043335F">
        <w:rPr>
          <w:rFonts w:ascii="Arial" w:hAnsi="Arial" w:cs="Arial"/>
          <w:sz w:val="24"/>
          <w:szCs w:val="24"/>
        </w:rPr>
        <w:t>%</w:t>
      </w:r>
      <w:r w:rsidRPr="00F51331">
        <w:rPr>
          <w:rFonts w:ascii="Arial" w:hAnsi="Arial" w:cs="Arial"/>
          <w:sz w:val="24"/>
          <w:szCs w:val="24"/>
        </w:rPr>
        <w:t xml:space="preserve"> of cash subject to bail-in risk is held in short-term notice accounts which </w:t>
      </w:r>
      <w:r w:rsidR="00F51331" w:rsidRPr="00F51331">
        <w:rPr>
          <w:rFonts w:ascii="Arial" w:hAnsi="Arial" w:cs="Arial"/>
          <w:sz w:val="24"/>
          <w:szCs w:val="24"/>
        </w:rPr>
        <w:t>are due to mature before the end of the financial year.</w:t>
      </w:r>
    </w:p>
    <w:p w14:paraId="3EB99E77" w14:textId="7DEA88E2" w:rsidR="00B16BD0" w:rsidRPr="00B16BD0" w:rsidRDefault="00B16BD0" w:rsidP="00B16BD0">
      <w:pPr>
        <w:pStyle w:val="ListParagraph"/>
        <w:spacing w:after="240" w:line="240" w:lineRule="auto"/>
        <w:contextualSpacing w:val="0"/>
        <w:rPr>
          <w:rFonts w:ascii="Arial" w:hAnsi="Arial" w:cs="Arial"/>
          <w:b/>
          <w:bCs/>
          <w:sz w:val="24"/>
          <w:szCs w:val="24"/>
        </w:rPr>
      </w:pPr>
      <w:r>
        <w:rPr>
          <w:rFonts w:ascii="Arial" w:hAnsi="Arial" w:cs="Arial"/>
          <w:b/>
          <w:bCs/>
          <w:sz w:val="24"/>
          <w:szCs w:val="24"/>
        </w:rPr>
        <w:t>Business models</w:t>
      </w:r>
    </w:p>
    <w:p w14:paraId="1C5CE94C" w14:textId="38500D16" w:rsidR="00DC6603" w:rsidRPr="003A420C" w:rsidRDefault="00643FE3" w:rsidP="00DB2D78">
      <w:pPr>
        <w:pStyle w:val="ListParagraph"/>
        <w:numPr>
          <w:ilvl w:val="1"/>
          <w:numId w:val="27"/>
        </w:numPr>
        <w:spacing w:after="240" w:line="240" w:lineRule="auto"/>
        <w:ind w:left="720" w:hanging="720"/>
        <w:contextualSpacing w:val="0"/>
        <w:rPr>
          <w:rFonts w:ascii="Arial" w:hAnsi="Arial" w:cs="Arial"/>
          <w:sz w:val="24"/>
          <w:szCs w:val="24"/>
        </w:rPr>
      </w:pPr>
      <w:r w:rsidRPr="003A420C">
        <w:rPr>
          <w:rFonts w:ascii="Arial" w:hAnsi="Arial" w:cs="Arial"/>
          <w:sz w:val="24"/>
          <w:szCs w:val="24"/>
        </w:rPr>
        <w:t xml:space="preserve">Under the new IFRS 9 standard, the accounting for certain investments depends on the ‘business model’ for managing them. The </w:t>
      </w:r>
      <w:r w:rsidR="009019A4" w:rsidRPr="003A420C">
        <w:rPr>
          <w:rFonts w:ascii="Arial" w:hAnsi="Arial" w:cs="Arial"/>
          <w:sz w:val="24"/>
          <w:szCs w:val="24"/>
        </w:rPr>
        <w:t>OPCC</w:t>
      </w:r>
      <w:r w:rsidRPr="003A420C">
        <w:rPr>
          <w:rFonts w:ascii="Arial" w:hAnsi="Arial" w:cs="Arial"/>
          <w:sz w:val="24"/>
          <w:szCs w:val="24"/>
        </w:rPr>
        <w:t xml:space="preserve"> aims to achieve value from its internally managed treasury investments through a business model of collecting the contractual cash flows and therefore, where other criteria are also met, these investments will continue to be accounted for at amortised cost.</w:t>
      </w:r>
    </w:p>
    <w:p w14:paraId="541A002A" w14:textId="77777777" w:rsidR="00085666" w:rsidRDefault="00085666" w:rsidP="00F51331">
      <w:pPr>
        <w:pStyle w:val="ListParagraph"/>
        <w:spacing w:after="240" w:line="240" w:lineRule="auto"/>
        <w:contextualSpacing w:val="0"/>
        <w:rPr>
          <w:rFonts w:ascii="Arial" w:hAnsi="Arial" w:cs="Arial"/>
          <w:b/>
          <w:sz w:val="24"/>
          <w:szCs w:val="24"/>
        </w:rPr>
      </w:pPr>
    </w:p>
    <w:p w14:paraId="05F5752F" w14:textId="07188E5B" w:rsidR="00F51331" w:rsidRPr="00F51331" w:rsidRDefault="00F51331" w:rsidP="00F51331">
      <w:pPr>
        <w:pStyle w:val="ListParagraph"/>
        <w:spacing w:after="240" w:line="240" w:lineRule="auto"/>
        <w:contextualSpacing w:val="0"/>
        <w:rPr>
          <w:rFonts w:ascii="Arial" w:hAnsi="Arial" w:cs="Arial"/>
          <w:b/>
          <w:sz w:val="24"/>
          <w:szCs w:val="24"/>
        </w:rPr>
      </w:pPr>
      <w:r w:rsidRPr="00F51331">
        <w:rPr>
          <w:rFonts w:ascii="Arial" w:hAnsi="Arial" w:cs="Arial"/>
          <w:b/>
          <w:sz w:val="24"/>
          <w:szCs w:val="24"/>
        </w:rPr>
        <w:t>Investments targeting higher returns</w:t>
      </w:r>
    </w:p>
    <w:p w14:paraId="14D2B7DD" w14:textId="5EA0E506" w:rsidR="00063638" w:rsidRPr="003F78CE" w:rsidRDefault="00A57B36" w:rsidP="003F78CE">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The OPCC first invested in pooled property and equity funds in 2014 as part of </w:t>
      </w:r>
      <w:r w:rsidR="00BD3397">
        <w:rPr>
          <w:rFonts w:ascii="Arial" w:hAnsi="Arial" w:cs="Arial"/>
          <w:sz w:val="24"/>
          <w:szCs w:val="24"/>
        </w:rPr>
        <w:t>its</w:t>
      </w:r>
      <w:r w:rsidR="00EC6926">
        <w:rPr>
          <w:rFonts w:ascii="Arial" w:hAnsi="Arial" w:cs="Arial"/>
          <w:sz w:val="24"/>
          <w:szCs w:val="24"/>
        </w:rPr>
        <w:t xml:space="preserve"> </w:t>
      </w:r>
      <w:r w:rsidRPr="00A57B36">
        <w:rPr>
          <w:rFonts w:ascii="Arial" w:hAnsi="Arial" w:cs="Arial"/>
          <w:sz w:val="24"/>
          <w:szCs w:val="24"/>
        </w:rPr>
        <w:t>strategy to increase income returns and further diversify away from investments in banks</w:t>
      </w:r>
      <w:r w:rsidR="0078011E">
        <w:rPr>
          <w:rFonts w:ascii="Arial" w:hAnsi="Arial" w:cs="Arial"/>
          <w:sz w:val="24"/>
          <w:szCs w:val="24"/>
        </w:rPr>
        <w:t xml:space="preserve">, </w:t>
      </w:r>
      <w:r w:rsidR="0009366B">
        <w:rPr>
          <w:rFonts w:ascii="Arial" w:hAnsi="Arial" w:cs="Arial"/>
          <w:sz w:val="24"/>
          <w:szCs w:val="24"/>
        </w:rPr>
        <w:t>without the need to own and manage the underlying investments</w:t>
      </w:r>
      <w:r w:rsidR="00814848">
        <w:rPr>
          <w:rFonts w:ascii="Arial" w:hAnsi="Arial" w:cs="Arial"/>
          <w:sz w:val="24"/>
          <w:szCs w:val="24"/>
        </w:rPr>
        <w:t>.</w:t>
      </w:r>
    </w:p>
    <w:p w14:paraId="626FFFD0" w14:textId="7C8B12CD" w:rsidR="00C974EA" w:rsidRPr="003A04EB" w:rsidRDefault="003A04EB" w:rsidP="00124A6D">
      <w:pPr>
        <w:pStyle w:val="ListParagraph"/>
        <w:numPr>
          <w:ilvl w:val="1"/>
          <w:numId w:val="27"/>
        </w:numPr>
        <w:spacing w:after="240" w:line="240" w:lineRule="auto"/>
        <w:ind w:left="720" w:hanging="720"/>
        <w:contextualSpacing w:val="0"/>
        <w:rPr>
          <w:rFonts w:ascii="Arial" w:hAnsi="Arial" w:cs="Arial"/>
          <w:sz w:val="24"/>
          <w:szCs w:val="24"/>
        </w:rPr>
      </w:pPr>
      <w:bookmarkStart w:id="10" w:name="_Hlk27400977"/>
      <w:r w:rsidRPr="003A04EB">
        <w:rPr>
          <w:rFonts w:ascii="Arial" w:hAnsi="Arial" w:cs="Arial"/>
          <w:sz w:val="24"/>
          <w:szCs w:val="24"/>
        </w:rPr>
        <w:t>Without this allocation the weighted average return of the OPCC’s cash investments based on investments held at 30 November 2019 would have been 0.84%; whereas the allocation to higher yielding investments has a weighted average return of 4.64% bringing the overall average return for the portfolio to 1.15%</w:t>
      </w:r>
      <w:r>
        <w:rPr>
          <w:rFonts w:ascii="Arial" w:hAnsi="Arial" w:cs="Arial"/>
          <w:sz w:val="24"/>
          <w:szCs w:val="24"/>
        </w:rPr>
        <w:t>.</w:t>
      </w:r>
      <w:r w:rsidR="00EE5B44" w:rsidRPr="003A04EB">
        <w:rPr>
          <w:rFonts w:ascii="Arial" w:hAnsi="Arial" w:cs="Arial"/>
          <w:sz w:val="24"/>
          <w:szCs w:val="24"/>
        </w:rPr>
        <w:t xml:space="preserve"> </w:t>
      </w:r>
    </w:p>
    <w:p w14:paraId="7656629B" w14:textId="2BA4885B" w:rsidR="00D539A8" w:rsidRPr="004967FC" w:rsidRDefault="001F6381" w:rsidP="004967FC">
      <w:pPr>
        <w:pStyle w:val="ListParagraph"/>
        <w:numPr>
          <w:ilvl w:val="1"/>
          <w:numId w:val="27"/>
        </w:numPr>
        <w:spacing w:after="240" w:line="240" w:lineRule="auto"/>
        <w:ind w:left="720" w:hanging="720"/>
        <w:contextualSpacing w:val="0"/>
        <w:rPr>
          <w:rFonts w:ascii="Arial" w:hAnsi="Arial" w:cs="Arial"/>
          <w:sz w:val="24"/>
          <w:szCs w:val="24"/>
        </w:rPr>
      </w:pPr>
      <w:r w:rsidRPr="00C974EA">
        <w:rPr>
          <w:rFonts w:ascii="Arial" w:hAnsi="Arial" w:cs="Arial"/>
          <w:sz w:val="24"/>
          <w:szCs w:val="24"/>
        </w:rPr>
        <w:t xml:space="preserve">The benefit to the revenue budget of these investments targeting higher yields is demonstrated in Table </w:t>
      </w:r>
      <w:r w:rsidR="003F78CE">
        <w:rPr>
          <w:rFonts w:ascii="Arial" w:hAnsi="Arial" w:cs="Arial"/>
          <w:sz w:val="24"/>
          <w:szCs w:val="24"/>
        </w:rPr>
        <w:t>2</w:t>
      </w:r>
      <w:r w:rsidRPr="00C974EA">
        <w:rPr>
          <w:rFonts w:ascii="Arial" w:hAnsi="Arial" w:cs="Arial"/>
          <w:sz w:val="24"/>
          <w:szCs w:val="24"/>
        </w:rPr>
        <w:t xml:space="preserve"> below, using cash balances and average returns at 30 November 2019. </w:t>
      </w:r>
      <w:bookmarkEnd w:id="10"/>
      <w:r w:rsidR="003E7F3A">
        <w:rPr>
          <w:rFonts w:ascii="Arial" w:hAnsi="Arial" w:cs="Arial"/>
          <w:sz w:val="24"/>
          <w:szCs w:val="24"/>
        </w:rPr>
        <w:t>As</w:t>
      </w:r>
      <w:r w:rsidR="004F0FF0" w:rsidRPr="004F0FF0">
        <w:rPr>
          <w:rFonts w:ascii="Arial" w:hAnsi="Arial" w:cs="Arial"/>
          <w:sz w:val="24"/>
          <w:szCs w:val="24"/>
        </w:rPr>
        <w:t xml:space="preserve"> these balances and returns do not remain constant over the course of a year the figures are indicative, and the actual returns will form part of the outturn report at the conclusion of the financial year.</w:t>
      </w:r>
    </w:p>
    <w:tbl>
      <w:tblPr>
        <w:tblW w:w="0" w:type="auto"/>
        <w:tblInd w:w="392" w:type="dxa"/>
        <w:tblLook w:val="04A0" w:firstRow="1" w:lastRow="0" w:firstColumn="1" w:lastColumn="0" w:noHBand="0" w:noVBand="1"/>
      </w:tblPr>
      <w:tblGrid>
        <w:gridCol w:w="3402"/>
        <w:gridCol w:w="1816"/>
        <w:gridCol w:w="1816"/>
        <w:gridCol w:w="1816"/>
      </w:tblGrid>
      <w:tr w:rsidR="001C68EA" w14:paraId="11B4CB67" w14:textId="77777777" w:rsidTr="002120FC">
        <w:tc>
          <w:tcPr>
            <w:tcW w:w="8850" w:type="dxa"/>
            <w:gridSpan w:val="4"/>
            <w:shd w:val="clear" w:color="auto" w:fill="auto"/>
          </w:tcPr>
          <w:p w14:paraId="157DAF25" w14:textId="02400FD2" w:rsidR="001C68EA" w:rsidRPr="00C8179E" w:rsidRDefault="001C68EA" w:rsidP="00AF2CCF">
            <w:pPr>
              <w:pStyle w:val="Heading3"/>
              <w:spacing w:before="0" w:after="120"/>
              <w:rPr>
                <w:b w:val="0"/>
              </w:rPr>
            </w:pPr>
            <w:r w:rsidRPr="00382C7D">
              <w:t xml:space="preserve">Table </w:t>
            </w:r>
            <w:r w:rsidR="00CF09AB">
              <w:t>2</w:t>
            </w:r>
            <w:r w:rsidRPr="00382C7D">
              <w:t>: Estimated annual income returns</w:t>
            </w:r>
          </w:p>
        </w:tc>
      </w:tr>
      <w:tr w:rsidR="001C68EA" w14:paraId="49E70293" w14:textId="77777777" w:rsidTr="002120FC">
        <w:tc>
          <w:tcPr>
            <w:tcW w:w="3402" w:type="dxa"/>
            <w:shd w:val="clear" w:color="auto" w:fill="auto"/>
          </w:tcPr>
          <w:p w14:paraId="5FEBE14B" w14:textId="77777777" w:rsidR="001C68EA" w:rsidRPr="00C8179E" w:rsidRDefault="001C68EA" w:rsidP="00AF2CCF">
            <w:pPr>
              <w:pStyle w:val="Heading3"/>
              <w:spacing w:before="0" w:after="120"/>
              <w:rPr>
                <w:b w:val="0"/>
              </w:rPr>
            </w:pPr>
          </w:p>
        </w:tc>
        <w:tc>
          <w:tcPr>
            <w:tcW w:w="1816" w:type="dxa"/>
            <w:shd w:val="clear" w:color="auto" w:fill="auto"/>
          </w:tcPr>
          <w:p w14:paraId="772EE0E5" w14:textId="77777777" w:rsidR="001C68EA" w:rsidRPr="00C8179E" w:rsidRDefault="001C68EA" w:rsidP="00AF2CCF">
            <w:pPr>
              <w:pStyle w:val="Heading3"/>
              <w:spacing w:before="0" w:after="120"/>
              <w:jc w:val="center"/>
              <w:rPr>
                <w:b w:val="0"/>
              </w:rPr>
            </w:pPr>
            <w:r w:rsidRPr="00C8179E">
              <w:rPr>
                <w:b w:val="0"/>
              </w:rPr>
              <w:t>Cash balance at 30/11/19</w:t>
            </w:r>
          </w:p>
        </w:tc>
        <w:tc>
          <w:tcPr>
            <w:tcW w:w="1816" w:type="dxa"/>
            <w:shd w:val="clear" w:color="auto" w:fill="auto"/>
          </w:tcPr>
          <w:p w14:paraId="5C76AB8C" w14:textId="77777777" w:rsidR="001C68EA" w:rsidRPr="00C8179E" w:rsidRDefault="001C68EA" w:rsidP="00AF2CCF">
            <w:pPr>
              <w:pStyle w:val="Heading3"/>
              <w:spacing w:before="0" w:after="120"/>
              <w:jc w:val="center"/>
              <w:rPr>
                <w:b w:val="0"/>
              </w:rPr>
            </w:pPr>
            <w:r w:rsidRPr="00C8179E">
              <w:rPr>
                <w:b w:val="0"/>
              </w:rPr>
              <w:t>Weighted average return</w:t>
            </w:r>
          </w:p>
        </w:tc>
        <w:tc>
          <w:tcPr>
            <w:tcW w:w="1816" w:type="dxa"/>
            <w:shd w:val="clear" w:color="auto" w:fill="auto"/>
          </w:tcPr>
          <w:p w14:paraId="4FA00B86" w14:textId="77777777" w:rsidR="001C68EA" w:rsidRPr="00C8179E" w:rsidRDefault="001C68EA" w:rsidP="00AF2CCF">
            <w:pPr>
              <w:pStyle w:val="Heading3"/>
              <w:spacing w:before="0" w:after="120"/>
              <w:jc w:val="center"/>
              <w:rPr>
                <w:b w:val="0"/>
              </w:rPr>
            </w:pPr>
            <w:r w:rsidRPr="00C8179E">
              <w:rPr>
                <w:b w:val="0"/>
              </w:rPr>
              <w:t>Estimated annual income return</w:t>
            </w:r>
          </w:p>
        </w:tc>
      </w:tr>
      <w:tr w:rsidR="001C68EA" w14:paraId="0C38F5D9" w14:textId="77777777" w:rsidTr="002120FC">
        <w:tc>
          <w:tcPr>
            <w:tcW w:w="3402" w:type="dxa"/>
            <w:shd w:val="clear" w:color="auto" w:fill="auto"/>
          </w:tcPr>
          <w:p w14:paraId="3E5A94A6" w14:textId="77777777" w:rsidR="001C68EA" w:rsidRPr="00C8179E" w:rsidRDefault="001C68EA" w:rsidP="00AF2CCF">
            <w:pPr>
              <w:pStyle w:val="Heading3"/>
              <w:spacing w:before="0" w:after="120"/>
              <w:rPr>
                <w:b w:val="0"/>
              </w:rPr>
            </w:pPr>
            <w:r w:rsidRPr="00C8179E">
              <w:rPr>
                <w:b w:val="0"/>
              </w:rPr>
              <w:t>Short-term and long-term cash investments</w:t>
            </w:r>
          </w:p>
        </w:tc>
        <w:tc>
          <w:tcPr>
            <w:tcW w:w="1816" w:type="dxa"/>
            <w:shd w:val="clear" w:color="auto" w:fill="auto"/>
          </w:tcPr>
          <w:p w14:paraId="34057694" w14:textId="1A3557DB" w:rsidR="001C68EA" w:rsidRPr="00031021" w:rsidRDefault="001C68EA" w:rsidP="00AF2CCF">
            <w:pPr>
              <w:pStyle w:val="Heading3"/>
              <w:spacing w:before="0" w:after="120"/>
              <w:jc w:val="right"/>
              <w:rPr>
                <w:b w:val="0"/>
                <w:highlight w:val="yellow"/>
              </w:rPr>
            </w:pPr>
            <w:r>
              <w:rPr>
                <w:b w:val="0"/>
              </w:rPr>
              <w:t>£</w:t>
            </w:r>
            <w:r w:rsidR="00BA4643">
              <w:rPr>
                <w:b w:val="0"/>
              </w:rPr>
              <w:t>56</w:t>
            </w:r>
            <w:r w:rsidRPr="007D3984">
              <w:rPr>
                <w:b w:val="0"/>
              </w:rPr>
              <w:t>.</w:t>
            </w:r>
            <w:r w:rsidR="00BA4643">
              <w:rPr>
                <w:b w:val="0"/>
              </w:rPr>
              <w:t>6</w:t>
            </w:r>
            <w:r>
              <w:rPr>
                <w:b w:val="0"/>
              </w:rPr>
              <w:t>m</w:t>
            </w:r>
          </w:p>
        </w:tc>
        <w:tc>
          <w:tcPr>
            <w:tcW w:w="1816" w:type="dxa"/>
            <w:shd w:val="clear" w:color="auto" w:fill="auto"/>
          </w:tcPr>
          <w:p w14:paraId="50A2D02D" w14:textId="2E1F189D" w:rsidR="001C68EA" w:rsidRPr="00031021" w:rsidRDefault="001C68EA" w:rsidP="00AF2CCF">
            <w:pPr>
              <w:pStyle w:val="Heading3"/>
              <w:spacing w:before="0" w:after="120"/>
              <w:jc w:val="right"/>
              <w:rPr>
                <w:b w:val="0"/>
                <w:highlight w:val="yellow"/>
              </w:rPr>
            </w:pPr>
            <w:r w:rsidRPr="007D3984">
              <w:rPr>
                <w:b w:val="0"/>
              </w:rPr>
              <w:t>0.8</w:t>
            </w:r>
            <w:r w:rsidR="00ED60A2">
              <w:rPr>
                <w:b w:val="0"/>
              </w:rPr>
              <w:t>4</w:t>
            </w:r>
            <w:r w:rsidRPr="007D3984">
              <w:rPr>
                <w:b w:val="0"/>
              </w:rPr>
              <w:t>%</w:t>
            </w:r>
          </w:p>
        </w:tc>
        <w:tc>
          <w:tcPr>
            <w:tcW w:w="1816" w:type="dxa"/>
            <w:shd w:val="clear" w:color="auto" w:fill="auto"/>
          </w:tcPr>
          <w:p w14:paraId="111921F9" w14:textId="35560E84" w:rsidR="001C68EA" w:rsidRPr="00031021" w:rsidRDefault="001C68EA" w:rsidP="00AF2CCF">
            <w:pPr>
              <w:pStyle w:val="Heading3"/>
              <w:spacing w:before="0" w:after="120"/>
              <w:jc w:val="right"/>
              <w:rPr>
                <w:b w:val="0"/>
                <w:highlight w:val="yellow"/>
              </w:rPr>
            </w:pPr>
            <w:r w:rsidRPr="007D3984">
              <w:rPr>
                <w:b w:val="0"/>
              </w:rPr>
              <w:t>£0.</w:t>
            </w:r>
            <w:r w:rsidR="004303DB">
              <w:rPr>
                <w:b w:val="0"/>
              </w:rPr>
              <w:t>48</w:t>
            </w:r>
            <w:r w:rsidRPr="007D3984">
              <w:rPr>
                <w:b w:val="0"/>
              </w:rPr>
              <w:t>m</w:t>
            </w:r>
          </w:p>
        </w:tc>
      </w:tr>
      <w:tr w:rsidR="001C68EA" w14:paraId="034C8F49" w14:textId="77777777" w:rsidTr="002120FC">
        <w:tc>
          <w:tcPr>
            <w:tcW w:w="3402" w:type="dxa"/>
            <w:shd w:val="clear" w:color="auto" w:fill="auto"/>
          </w:tcPr>
          <w:p w14:paraId="003C35A4" w14:textId="77777777" w:rsidR="001C68EA" w:rsidRPr="00C8179E" w:rsidRDefault="001C68EA" w:rsidP="00AF2CCF">
            <w:pPr>
              <w:pStyle w:val="Heading3"/>
              <w:spacing w:before="0" w:after="120"/>
              <w:rPr>
                <w:b w:val="0"/>
              </w:rPr>
            </w:pPr>
            <w:r w:rsidRPr="00C8179E">
              <w:rPr>
                <w:b w:val="0"/>
              </w:rPr>
              <w:t>Investments targeting higher yields</w:t>
            </w:r>
          </w:p>
        </w:tc>
        <w:tc>
          <w:tcPr>
            <w:tcW w:w="1816" w:type="dxa"/>
            <w:shd w:val="clear" w:color="auto" w:fill="auto"/>
          </w:tcPr>
          <w:p w14:paraId="20E283B6" w14:textId="30E9DE85" w:rsidR="001C68EA" w:rsidRPr="00031021" w:rsidRDefault="001C68EA" w:rsidP="00AF2CCF">
            <w:pPr>
              <w:pStyle w:val="Heading3"/>
              <w:spacing w:before="0" w:after="120"/>
              <w:jc w:val="right"/>
              <w:rPr>
                <w:b w:val="0"/>
                <w:highlight w:val="yellow"/>
              </w:rPr>
            </w:pPr>
            <w:r>
              <w:rPr>
                <w:b w:val="0"/>
              </w:rPr>
              <w:t>£</w:t>
            </w:r>
            <w:r w:rsidR="006D5D86">
              <w:rPr>
                <w:b w:val="0"/>
              </w:rPr>
              <w:t>5</w:t>
            </w:r>
            <w:r w:rsidRPr="007D3984">
              <w:rPr>
                <w:b w:val="0"/>
              </w:rPr>
              <w:t>.0</w:t>
            </w:r>
            <w:r>
              <w:rPr>
                <w:b w:val="0"/>
              </w:rPr>
              <w:t>m</w:t>
            </w:r>
          </w:p>
        </w:tc>
        <w:tc>
          <w:tcPr>
            <w:tcW w:w="1816" w:type="dxa"/>
            <w:shd w:val="clear" w:color="auto" w:fill="auto"/>
          </w:tcPr>
          <w:p w14:paraId="2CE39A43" w14:textId="422739EF" w:rsidR="001C68EA" w:rsidRPr="00031021" w:rsidRDefault="001C68EA" w:rsidP="00AF2CCF">
            <w:pPr>
              <w:pStyle w:val="Heading3"/>
              <w:spacing w:before="0" w:after="120"/>
              <w:jc w:val="right"/>
              <w:rPr>
                <w:b w:val="0"/>
                <w:highlight w:val="yellow"/>
              </w:rPr>
            </w:pPr>
            <w:r w:rsidRPr="007D3984">
              <w:rPr>
                <w:b w:val="0"/>
              </w:rPr>
              <w:t>4.</w:t>
            </w:r>
            <w:r w:rsidR="00A659FA">
              <w:rPr>
                <w:b w:val="0"/>
              </w:rPr>
              <w:t>64</w:t>
            </w:r>
            <w:r w:rsidRPr="007D3984">
              <w:rPr>
                <w:b w:val="0"/>
              </w:rPr>
              <w:t>%</w:t>
            </w:r>
          </w:p>
        </w:tc>
        <w:tc>
          <w:tcPr>
            <w:tcW w:w="1816" w:type="dxa"/>
            <w:shd w:val="clear" w:color="auto" w:fill="auto"/>
          </w:tcPr>
          <w:p w14:paraId="32A1C698" w14:textId="3C819BFC" w:rsidR="001C68EA" w:rsidRPr="00031021" w:rsidRDefault="001C68EA" w:rsidP="00AF2CCF">
            <w:pPr>
              <w:pStyle w:val="Heading3"/>
              <w:spacing w:before="0" w:after="120"/>
              <w:jc w:val="right"/>
              <w:rPr>
                <w:b w:val="0"/>
                <w:highlight w:val="yellow"/>
              </w:rPr>
            </w:pPr>
            <w:r w:rsidRPr="007D3984">
              <w:rPr>
                <w:b w:val="0"/>
              </w:rPr>
              <w:t>£0.</w:t>
            </w:r>
            <w:r w:rsidR="004303DB">
              <w:rPr>
                <w:b w:val="0"/>
              </w:rPr>
              <w:t>23</w:t>
            </w:r>
            <w:r w:rsidRPr="007D3984">
              <w:rPr>
                <w:b w:val="0"/>
              </w:rPr>
              <w:t>m</w:t>
            </w:r>
          </w:p>
        </w:tc>
      </w:tr>
      <w:tr w:rsidR="001C68EA" w14:paraId="47212F0B" w14:textId="77777777" w:rsidTr="002120FC">
        <w:tc>
          <w:tcPr>
            <w:tcW w:w="3402" w:type="dxa"/>
            <w:shd w:val="clear" w:color="auto" w:fill="auto"/>
          </w:tcPr>
          <w:p w14:paraId="2B21A3BC" w14:textId="77777777" w:rsidR="001C68EA" w:rsidRPr="00C8179E" w:rsidRDefault="001C68EA" w:rsidP="00AF2CCF">
            <w:pPr>
              <w:pStyle w:val="Heading3"/>
              <w:spacing w:before="0" w:after="120"/>
              <w:rPr>
                <w:b w:val="0"/>
              </w:rPr>
            </w:pPr>
            <w:r w:rsidRPr="00C8179E">
              <w:rPr>
                <w:b w:val="0"/>
              </w:rPr>
              <w:t>Total</w:t>
            </w:r>
          </w:p>
        </w:tc>
        <w:tc>
          <w:tcPr>
            <w:tcW w:w="1816" w:type="dxa"/>
            <w:shd w:val="clear" w:color="auto" w:fill="auto"/>
          </w:tcPr>
          <w:p w14:paraId="44933053" w14:textId="7778BD18" w:rsidR="001C68EA" w:rsidRPr="00031021" w:rsidRDefault="001C68EA" w:rsidP="00AF2CCF">
            <w:pPr>
              <w:pStyle w:val="Heading3"/>
              <w:spacing w:before="0" w:after="120"/>
              <w:jc w:val="right"/>
              <w:rPr>
                <w:b w:val="0"/>
                <w:highlight w:val="yellow"/>
              </w:rPr>
            </w:pPr>
            <w:r>
              <w:rPr>
                <w:b w:val="0"/>
              </w:rPr>
              <w:t>£</w:t>
            </w:r>
            <w:r w:rsidR="00992B6D">
              <w:rPr>
                <w:b w:val="0"/>
              </w:rPr>
              <w:t>61.6</w:t>
            </w:r>
            <w:r>
              <w:rPr>
                <w:b w:val="0"/>
              </w:rPr>
              <w:t>m</w:t>
            </w:r>
          </w:p>
        </w:tc>
        <w:tc>
          <w:tcPr>
            <w:tcW w:w="1816" w:type="dxa"/>
            <w:shd w:val="clear" w:color="auto" w:fill="auto"/>
          </w:tcPr>
          <w:p w14:paraId="5DB1C681" w14:textId="0B5BD3C4" w:rsidR="001C68EA" w:rsidRPr="00031021" w:rsidRDefault="001C68EA" w:rsidP="00AF2CCF">
            <w:pPr>
              <w:pStyle w:val="Heading3"/>
              <w:spacing w:before="0" w:after="120"/>
              <w:jc w:val="right"/>
              <w:rPr>
                <w:b w:val="0"/>
                <w:highlight w:val="yellow"/>
              </w:rPr>
            </w:pPr>
            <w:r w:rsidRPr="007D3984">
              <w:rPr>
                <w:b w:val="0"/>
              </w:rPr>
              <w:t>1.</w:t>
            </w:r>
            <w:r w:rsidR="00A659FA">
              <w:rPr>
                <w:b w:val="0"/>
              </w:rPr>
              <w:t>15</w:t>
            </w:r>
            <w:r w:rsidRPr="007D3984">
              <w:rPr>
                <w:b w:val="0"/>
              </w:rPr>
              <w:t>%</w:t>
            </w:r>
          </w:p>
        </w:tc>
        <w:tc>
          <w:tcPr>
            <w:tcW w:w="1816" w:type="dxa"/>
            <w:shd w:val="clear" w:color="auto" w:fill="auto"/>
          </w:tcPr>
          <w:p w14:paraId="0819215A" w14:textId="2067A086" w:rsidR="001C68EA" w:rsidRPr="00031021" w:rsidRDefault="001C68EA" w:rsidP="00AF2CCF">
            <w:pPr>
              <w:pStyle w:val="Heading3"/>
              <w:spacing w:before="0" w:after="120"/>
              <w:jc w:val="right"/>
              <w:rPr>
                <w:b w:val="0"/>
                <w:highlight w:val="yellow"/>
              </w:rPr>
            </w:pPr>
            <w:r w:rsidRPr="007D3984">
              <w:rPr>
                <w:b w:val="0"/>
              </w:rPr>
              <w:t>£0.</w:t>
            </w:r>
            <w:r w:rsidR="004303DB">
              <w:rPr>
                <w:b w:val="0"/>
              </w:rPr>
              <w:t>71</w:t>
            </w:r>
            <w:r w:rsidRPr="007D3984">
              <w:rPr>
                <w:b w:val="0"/>
              </w:rPr>
              <w:t>m</w:t>
            </w:r>
          </w:p>
        </w:tc>
      </w:tr>
    </w:tbl>
    <w:p w14:paraId="7C4B7CBB" w14:textId="77777777" w:rsidR="008B6E5D" w:rsidRDefault="008B6E5D" w:rsidP="008B6E5D">
      <w:pPr>
        <w:pStyle w:val="ListParagraph"/>
        <w:spacing w:after="240" w:line="240" w:lineRule="auto"/>
        <w:contextualSpacing w:val="0"/>
        <w:rPr>
          <w:rFonts w:ascii="Arial" w:hAnsi="Arial" w:cs="Arial"/>
          <w:sz w:val="24"/>
          <w:szCs w:val="24"/>
        </w:rPr>
      </w:pPr>
    </w:p>
    <w:p w14:paraId="0247C58B" w14:textId="38EFB826" w:rsidR="003F78CE" w:rsidRDefault="003F78CE" w:rsidP="003F78CE">
      <w:pPr>
        <w:pStyle w:val="ListParagraph"/>
        <w:numPr>
          <w:ilvl w:val="1"/>
          <w:numId w:val="27"/>
        </w:numPr>
        <w:spacing w:after="240" w:line="240" w:lineRule="auto"/>
        <w:ind w:left="720" w:hanging="720"/>
        <w:contextualSpacing w:val="0"/>
        <w:rPr>
          <w:rFonts w:ascii="Arial" w:hAnsi="Arial" w:cs="Arial"/>
          <w:sz w:val="24"/>
          <w:szCs w:val="24"/>
        </w:rPr>
      </w:pPr>
      <w:r>
        <w:rPr>
          <w:rFonts w:ascii="Arial" w:hAnsi="Arial" w:cs="Arial"/>
          <w:sz w:val="24"/>
          <w:szCs w:val="24"/>
        </w:rPr>
        <w:t>In 2019 the OPCC agreed to increase the amount of its cash balances earmarked for investments targeting higher yields to £10m and a</w:t>
      </w:r>
      <w:r w:rsidRPr="006F04C1">
        <w:rPr>
          <w:rFonts w:ascii="Arial" w:hAnsi="Arial" w:cs="Arial"/>
          <w:sz w:val="24"/>
          <w:szCs w:val="24"/>
        </w:rPr>
        <w:t xml:space="preserve">s at the end of November 2019, £5m had been invested (as shown in Table </w:t>
      </w:r>
      <w:r w:rsidR="00417847">
        <w:rPr>
          <w:rFonts w:ascii="Arial" w:hAnsi="Arial" w:cs="Arial"/>
          <w:sz w:val="24"/>
          <w:szCs w:val="24"/>
        </w:rPr>
        <w:t>3</w:t>
      </w:r>
      <w:r w:rsidRPr="006F04C1">
        <w:rPr>
          <w:rFonts w:ascii="Arial" w:hAnsi="Arial" w:cs="Arial"/>
          <w:sz w:val="24"/>
          <w:szCs w:val="24"/>
        </w:rPr>
        <w:t>)</w:t>
      </w:r>
      <w:r>
        <w:rPr>
          <w:rFonts w:ascii="Arial" w:hAnsi="Arial" w:cs="Arial"/>
          <w:sz w:val="24"/>
          <w:szCs w:val="24"/>
        </w:rPr>
        <w:t>.</w:t>
      </w:r>
    </w:p>
    <w:p w14:paraId="3A84EE96" w14:textId="15C8ADB7" w:rsidR="003F78CE" w:rsidRDefault="003F78CE" w:rsidP="003F78CE">
      <w:pPr>
        <w:pStyle w:val="ListParagraph"/>
        <w:numPr>
          <w:ilvl w:val="1"/>
          <w:numId w:val="27"/>
        </w:numPr>
        <w:spacing w:after="240" w:line="240" w:lineRule="auto"/>
        <w:ind w:left="720" w:hanging="720"/>
        <w:contextualSpacing w:val="0"/>
        <w:rPr>
          <w:rFonts w:ascii="Arial" w:hAnsi="Arial" w:cs="Arial"/>
          <w:sz w:val="24"/>
          <w:szCs w:val="24"/>
        </w:rPr>
      </w:pPr>
      <w:r>
        <w:rPr>
          <w:rFonts w:ascii="Arial" w:hAnsi="Arial" w:cs="Arial"/>
          <w:sz w:val="24"/>
          <w:szCs w:val="24"/>
        </w:rPr>
        <w:t>T</w:t>
      </w:r>
      <w:r w:rsidRPr="006F04C1">
        <w:rPr>
          <w:rFonts w:ascii="Arial" w:hAnsi="Arial" w:cs="Arial"/>
          <w:sz w:val="24"/>
          <w:szCs w:val="24"/>
        </w:rPr>
        <w:t>he CFO has agreed recommendations to invest the remaining balance of th</w:t>
      </w:r>
      <w:r>
        <w:rPr>
          <w:rFonts w:ascii="Arial" w:hAnsi="Arial" w:cs="Arial"/>
          <w:sz w:val="24"/>
          <w:szCs w:val="24"/>
        </w:rPr>
        <w:t xml:space="preserve">is </w:t>
      </w:r>
      <w:r w:rsidRPr="006F04C1">
        <w:rPr>
          <w:rFonts w:ascii="Arial" w:hAnsi="Arial" w:cs="Arial"/>
          <w:sz w:val="24"/>
          <w:szCs w:val="24"/>
        </w:rPr>
        <w:t>allocation</w:t>
      </w:r>
      <w:r w:rsidR="00742E9A">
        <w:rPr>
          <w:rFonts w:ascii="Arial" w:hAnsi="Arial" w:cs="Arial"/>
          <w:sz w:val="24"/>
          <w:szCs w:val="24"/>
        </w:rPr>
        <w:t xml:space="preserve"> and</w:t>
      </w:r>
      <w:r>
        <w:rPr>
          <w:rFonts w:ascii="Arial" w:hAnsi="Arial" w:cs="Arial"/>
          <w:sz w:val="24"/>
          <w:szCs w:val="24"/>
        </w:rPr>
        <w:t xml:space="preserve"> th</w:t>
      </w:r>
      <w:r w:rsidRPr="006F04C1">
        <w:rPr>
          <w:rFonts w:ascii="Arial" w:hAnsi="Arial" w:cs="Arial"/>
          <w:sz w:val="24"/>
          <w:szCs w:val="24"/>
        </w:rPr>
        <w:t xml:space="preserve">e investments </w:t>
      </w:r>
      <w:r w:rsidR="00742E9A">
        <w:rPr>
          <w:rFonts w:ascii="Arial" w:hAnsi="Arial" w:cs="Arial"/>
          <w:sz w:val="24"/>
          <w:szCs w:val="24"/>
        </w:rPr>
        <w:t>are being</w:t>
      </w:r>
      <w:r w:rsidRPr="006F04C1">
        <w:rPr>
          <w:rFonts w:ascii="Arial" w:hAnsi="Arial" w:cs="Arial"/>
          <w:sz w:val="24"/>
          <w:szCs w:val="24"/>
        </w:rPr>
        <w:t xml:space="preserve"> made in tranches </w:t>
      </w:r>
      <w:r>
        <w:rPr>
          <w:rFonts w:ascii="Arial" w:hAnsi="Arial" w:cs="Arial"/>
          <w:sz w:val="24"/>
          <w:szCs w:val="24"/>
        </w:rPr>
        <w:t xml:space="preserve">that </w:t>
      </w:r>
      <w:r w:rsidRPr="006F04C1">
        <w:rPr>
          <w:rFonts w:ascii="Arial" w:hAnsi="Arial" w:cs="Arial"/>
          <w:sz w:val="24"/>
          <w:szCs w:val="24"/>
        </w:rPr>
        <w:t xml:space="preserve">will be </w:t>
      </w:r>
      <w:r>
        <w:rPr>
          <w:rFonts w:ascii="Arial" w:hAnsi="Arial" w:cs="Arial"/>
          <w:sz w:val="24"/>
          <w:szCs w:val="24"/>
        </w:rPr>
        <w:t>completed</w:t>
      </w:r>
      <w:r w:rsidRPr="006F04C1">
        <w:rPr>
          <w:rFonts w:ascii="Arial" w:hAnsi="Arial" w:cs="Arial"/>
          <w:sz w:val="24"/>
          <w:szCs w:val="24"/>
        </w:rPr>
        <w:t xml:space="preserve"> by early 2020/21</w:t>
      </w:r>
    </w:p>
    <w:p w14:paraId="32681F07" w14:textId="0624CE24" w:rsidR="00157547" w:rsidRDefault="00157547" w:rsidP="00124A6D">
      <w:pPr>
        <w:pStyle w:val="ListParagraph"/>
        <w:numPr>
          <w:ilvl w:val="1"/>
          <w:numId w:val="27"/>
        </w:numPr>
        <w:spacing w:after="240" w:line="240" w:lineRule="auto"/>
        <w:ind w:left="720" w:hanging="720"/>
        <w:contextualSpacing w:val="0"/>
        <w:rPr>
          <w:rFonts w:ascii="Arial" w:hAnsi="Arial" w:cs="Arial"/>
          <w:sz w:val="24"/>
          <w:szCs w:val="24"/>
        </w:rPr>
      </w:pPr>
      <w:r>
        <w:rPr>
          <w:rFonts w:ascii="Arial" w:hAnsi="Arial" w:cs="Arial"/>
          <w:sz w:val="24"/>
          <w:szCs w:val="24"/>
        </w:rPr>
        <w:t xml:space="preserve">The OPCC’s </w:t>
      </w:r>
      <w:r w:rsidR="00EF4690" w:rsidRPr="00EF4690">
        <w:rPr>
          <w:rFonts w:ascii="Arial" w:hAnsi="Arial" w:cs="Arial"/>
          <w:sz w:val="24"/>
          <w:szCs w:val="24"/>
        </w:rPr>
        <w:t>investments in pooled property</w:t>
      </w:r>
      <w:r w:rsidR="00EF4690">
        <w:rPr>
          <w:rFonts w:ascii="Arial" w:hAnsi="Arial" w:cs="Arial"/>
          <w:sz w:val="24"/>
          <w:szCs w:val="24"/>
        </w:rPr>
        <w:t xml:space="preserve"> and</w:t>
      </w:r>
      <w:r w:rsidR="00EF4690" w:rsidRPr="00EF4690">
        <w:rPr>
          <w:rFonts w:ascii="Arial" w:hAnsi="Arial" w:cs="Arial"/>
          <w:sz w:val="24"/>
          <w:szCs w:val="24"/>
        </w:rPr>
        <w:t xml:space="preserve"> equity funds are summarised in Table 3 below</w:t>
      </w:r>
      <w:r w:rsidR="00EF4690">
        <w:rPr>
          <w:rFonts w:ascii="Arial" w:hAnsi="Arial" w:cs="Arial"/>
          <w:sz w:val="24"/>
          <w:szCs w:val="24"/>
        </w:rPr>
        <w:t>:</w:t>
      </w:r>
    </w:p>
    <w:p w14:paraId="4D04E629" w14:textId="4FFE9DBE" w:rsidR="000D643B" w:rsidRDefault="000D643B" w:rsidP="000D643B">
      <w:pPr>
        <w:pStyle w:val="ListParagraph"/>
        <w:spacing w:after="240" w:line="240" w:lineRule="auto"/>
        <w:contextualSpacing w:val="0"/>
        <w:rPr>
          <w:rFonts w:ascii="Arial" w:hAnsi="Arial" w:cs="Arial"/>
          <w:sz w:val="24"/>
          <w:szCs w:val="24"/>
        </w:rPr>
      </w:pPr>
    </w:p>
    <w:tbl>
      <w:tblPr>
        <w:tblW w:w="8930" w:type="dxa"/>
        <w:tblInd w:w="392" w:type="dxa"/>
        <w:tblLook w:val="04A0" w:firstRow="1" w:lastRow="0" w:firstColumn="1" w:lastColumn="0" w:noHBand="0" w:noVBand="1"/>
      </w:tblPr>
      <w:tblGrid>
        <w:gridCol w:w="2835"/>
        <w:gridCol w:w="2031"/>
        <w:gridCol w:w="2032"/>
        <w:gridCol w:w="2032"/>
      </w:tblGrid>
      <w:tr w:rsidR="00157547" w:rsidRPr="00F51331" w14:paraId="5D24359C" w14:textId="77777777" w:rsidTr="00A6738D">
        <w:trPr>
          <w:trHeight w:val="340"/>
        </w:trPr>
        <w:tc>
          <w:tcPr>
            <w:tcW w:w="8930" w:type="dxa"/>
            <w:gridSpan w:val="4"/>
            <w:vAlign w:val="center"/>
            <w:hideMark/>
          </w:tcPr>
          <w:p w14:paraId="1A662EF5" w14:textId="7301FF3C" w:rsidR="00157547" w:rsidRPr="00F51331" w:rsidRDefault="00157547" w:rsidP="00A6738D">
            <w:pPr>
              <w:pStyle w:val="ListParagraph"/>
              <w:spacing w:before="120" w:after="120" w:line="240" w:lineRule="auto"/>
              <w:ind w:left="0"/>
              <w:rPr>
                <w:rFonts w:ascii="Arial" w:eastAsia="Times New Roman" w:hAnsi="Arial" w:cs="Arial"/>
                <w:sz w:val="24"/>
                <w:szCs w:val="24"/>
              </w:rPr>
            </w:pPr>
            <w:r>
              <w:br w:type="page"/>
            </w:r>
            <w:r w:rsidRPr="00F51331">
              <w:rPr>
                <w:rFonts w:ascii="Arial" w:hAnsi="Arial" w:cs="Arial"/>
                <w:b/>
                <w:sz w:val="24"/>
                <w:szCs w:val="24"/>
              </w:rPr>
              <w:t xml:space="preserve">Table </w:t>
            </w:r>
            <w:r w:rsidR="00EF4690">
              <w:rPr>
                <w:rFonts w:ascii="Arial" w:hAnsi="Arial" w:cs="Arial"/>
                <w:b/>
                <w:sz w:val="24"/>
                <w:szCs w:val="24"/>
              </w:rPr>
              <w:t>3</w:t>
            </w:r>
            <w:r w:rsidRPr="00F51331">
              <w:rPr>
                <w:rFonts w:ascii="Arial" w:hAnsi="Arial" w:cs="Arial"/>
                <w:b/>
                <w:sz w:val="24"/>
                <w:szCs w:val="24"/>
              </w:rPr>
              <w:t>: High yield investments capital value</w:t>
            </w:r>
          </w:p>
        </w:tc>
      </w:tr>
      <w:tr w:rsidR="00157547" w:rsidRPr="00F51331" w14:paraId="03431CC5" w14:textId="77777777" w:rsidTr="00A6738D">
        <w:trPr>
          <w:trHeight w:val="340"/>
        </w:trPr>
        <w:tc>
          <w:tcPr>
            <w:tcW w:w="2835" w:type="dxa"/>
            <w:vAlign w:val="center"/>
          </w:tcPr>
          <w:p w14:paraId="51297BE3" w14:textId="77777777" w:rsidR="00157547" w:rsidRPr="00F51331" w:rsidRDefault="00157547" w:rsidP="00A6738D">
            <w:pPr>
              <w:pStyle w:val="ListParagraph"/>
              <w:spacing w:after="0"/>
              <w:ind w:left="0"/>
              <w:rPr>
                <w:rFonts w:ascii="Arial" w:eastAsia="Times New Roman" w:hAnsi="Arial" w:cs="Arial"/>
                <w:b/>
                <w:sz w:val="24"/>
                <w:szCs w:val="24"/>
              </w:rPr>
            </w:pPr>
          </w:p>
        </w:tc>
        <w:tc>
          <w:tcPr>
            <w:tcW w:w="2031" w:type="dxa"/>
            <w:hideMark/>
          </w:tcPr>
          <w:p w14:paraId="3F82819E" w14:textId="77777777" w:rsidR="00157547" w:rsidRPr="00471917" w:rsidRDefault="00157547" w:rsidP="00A6738D">
            <w:pPr>
              <w:pStyle w:val="ListParagraph"/>
              <w:spacing w:after="0"/>
              <w:ind w:left="0"/>
              <w:jc w:val="right"/>
              <w:rPr>
                <w:rFonts w:ascii="Arial" w:eastAsia="Times New Roman" w:hAnsi="Arial" w:cs="Arial"/>
                <w:sz w:val="24"/>
                <w:szCs w:val="24"/>
              </w:rPr>
            </w:pPr>
            <w:r w:rsidRPr="00471917">
              <w:rPr>
                <w:rFonts w:ascii="Arial" w:eastAsia="Times New Roman" w:hAnsi="Arial" w:cs="Arial"/>
                <w:sz w:val="24"/>
                <w:szCs w:val="24"/>
              </w:rPr>
              <w:t>Principal invested</w:t>
            </w:r>
          </w:p>
          <w:p w14:paraId="0CB34F30" w14:textId="77777777" w:rsidR="00157547" w:rsidRPr="00471917" w:rsidRDefault="00157547" w:rsidP="00A6738D">
            <w:pPr>
              <w:pStyle w:val="ListParagraph"/>
              <w:spacing w:after="0"/>
              <w:ind w:left="0"/>
              <w:jc w:val="right"/>
              <w:rPr>
                <w:rFonts w:ascii="Arial" w:eastAsia="Times New Roman" w:hAnsi="Arial" w:cs="Arial"/>
                <w:sz w:val="24"/>
                <w:szCs w:val="24"/>
              </w:rPr>
            </w:pPr>
            <w:r w:rsidRPr="00471917">
              <w:rPr>
                <w:rFonts w:ascii="Arial" w:eastAsia="Times New Roman" w:hAnsi="Arial" w:cs="Arial"/>
                <w:sz w:val="24"/>
                <w:szCs w:val="24"/>
              </w:rPr>
              <w:t>£m</w:t>
            </w:r>
          </w:p>
        </w:tc>
        <w:tc>
          <w:tcPr>
            <w:tcW w:w="2032" w:type="dxa"/>
            <w:hideMark/>
          </w:tcPr>
          <w:p w14:paraId="55F18E2C" w14:textId="77777777" w:rsidR="00157547" w:rsidRPr="00471917" w:rsidRDefault="00157547" w:rsidP="00A6738D">
            <w:pPr>
              <w:pStyle w:val="ListParagraph"/>
              <w:spacing w:after="0"/>
              <w:ind w:left="0"/>
              <w:jc w:val="right"/>
              <w:rPr>
                <w:rFonts w:ascii="Arial" w:eastAsia="Times New Roman" w:hAnsi="Arial" w:cs="Arial"/>
                <w:sz w:val="24"/>
                <w:szCs w:val="24"/>
              </w:rPr>
            </w:pPr>
            <w:r w:rsidRPr="00471917">
              <w:rPr>
                <w:rFonts w:ascii="Arial" w:eastAsia="Times New Roman" w:hAnsi="Arial" w:cs="Arial"/>
                <w:sz w:val="24"/>
                <w:szCs w:val="24"/>
              </w:rPr>
              <w:t>Market value 30/11/2019</w:t>
            </w:r>
          </w:p>
          <w:p w14:paraId="2EE80E7E" w14:textId="77777777" w:rsidR="00157547" w:rsidRPr="00471917" w:rsidRDefault="00157547" w:rsidP="00A6738D">
            <w:pPr>
              <w:pStyle w:val="ListParagraph"/>
              <w:spacing w:after="0"/>
              <w:ind w:left="0"/>
              <w:jc w:val="right"/>
              <w:rPr>
                <w:rFonts w:ascii="Arial" w:eastAsia="Times New Roman" w:hAnsi="Arial" w:cs="Arial"/>
                <w:sz w:val="24"/>
                <w:szCs w:val="24"/>
              </w:rPr>
            </w:pPr>
            <w:r w:rsidRPr="00471917">
              <w:rPr>
                <w:rFonts w:ascii="Arial" w:eastAsia="Times New Roman" w:hAnsi="Arial" w:cs="Arial"/>
                <w:sz w:val="24"/>
                <w:szCs w:val="24"/>
              </w:rPr>
              <w:t>£m</w:t>
            </w:r>
          </w:p>
        </w:tc>
        <w:tc>
          <w:tcPr>
            <w:tcW w:w="2032" w:type="dxa"/>
            <w:hideMark/>
          </w:tcPr>
          <w:p w14:paraId="1780CFD1" w14:textId="77777777" w:rsidR="00157547" w:rsidRPr="00471917" w:rsidRDefault="00157547" w:rsidP="00A6738D">
            <w:pPr>
              <w:pStyle w:val="ListParagraph"/>
              <w:spacing w:after="0"/>
              <w:ind w:left="0"/>
              <w:jc w:val="right"/>
              <w:rPr>
                <w:rFonts w:ascii="Arial" w:eastAsia="Times New Roman" w:hAnsi="Arial" w:cs="Arial"/>
                <w:sz w:val="24"/>
                <w:szCs w:val="24"/>
              </w:rPr>
            </w:pPr>
            <w:r w:rsidRPr="00471917">
              <w:rPr>
                <w:rFonts w:ascii="Arial" w:eastAsia="Times New Roman" w:hAnsi="Arial" w:cs="Arial"/>
                <w:sz w:val="24"/>
                <w:szCs w:val="24"/>
              </w:rPr>
              <w:t>Capital yield (per annum)</w:t>
            </w:r>
          </w:p>
          <w:p w14:paraId="43B148D0" w14:textId="77777777" w:rsidR="00157547" w:rsidRPr="00471917" w:rsidRDefault="00157547" w:rsidP="00A6738D">
            <w:pPr>
              <w:pStyle w:val="ListParagraph"/>
              <w:spacing w:after="0"/>
              <w:ind w:left="0"/>
              <w:jc w:val="right"/>
              <w:rPr>
                <w:rFonts w:ascii="Arial" w:eastAsia="Times New Roman" w:hAnsi="Arial" w:cs="Arial"/>
                <w:sz w:val="24"/>
                <w:szCs w:val="24"/>
              </w:rPr>
            </w:pPr>
            <w:r w:rsidRPr="00471917">
              <w:rPr>
                <w:rFonts w:ascii="Arial" w:eastAsia="Times New Roman" w:hAnsi="Arial" w:cs="Arial"/>
                <w:sz w:val="24"/>
                <w:szCs w:val="24"/>
              </w:rPr>
              <w:t>%</w:t>
            </w:r>
          </w:p>
        </w:tc>
      </w:tr>
      <w:tr w:rsidR="00157547" w:rsidRPr="00F51331" w14:paraId="30A99891" w14:textId="77777777" w:rsidTr="00A6738D">
        <w:trPr>
          <w:trHeight w:val="340"/>
        </w:trPr>
        <w:tc>
          <w:tcPr>
            <w:tcW w:w="2835" w:type="dxa"/>
            <w:vAlign w:val="center"/>
            <w:hideMark/>
          </w:tcPr>
          <w:p w14:paraId="40B376CD" w14:textId="77777777" w:rsidR="00157547" w:rsidRPr="00F51331" w:rsidRDefault="00157547" w:rsidP="00A6738D">
            <w:pPr>
              <w:pStyle w:val="ListParagraph"/>
              <w:spacing w:after="0"/>
              <w:ind w:left="0"/>
              <w:rPr>
                <w:rFonts w:ascii="Arial" w:eastAsia="Times New Roman" w:hAnsi="Arial" w:cs="Arial"/>
                <w:sz w:val="24"/>
                <w:szCs w:val="24"/>
              </w:rPr>
            </w:pPr>
            <w:r w:rsidRPr="00F51331">
              <w:rPr>
                <w:rFonts w:ascii="Arial" w:eastAsia="Times New Roman" w:hAnsi="Arial" w:cs="Arial"/>
                <w:sz w:val="24"/>
                <w:szCs w:val="24"/>
              </w:rPr>
              <w:t>Pooled Property Funds</w:t>
            </w:r>
          </w:p>
        </w:tc>
        <w:tc>
          <w:tcPr>
            <w:tcW w:w="2031" w:type="dxa"/>
            <w:hideMark/>
          </w:tcPr>
          <w:p w14:paraId="3FE16A05" w14:textId="77777777" w:rsidR="00157547" w:rsidRPr="00471917" w:rsidRDefault="00157547" w:rsidP="00A6738D">
            <w:pPr>
              <w:pStyle w:val="ListParagraph"/>
              <w:spacing w:after="0"/>
              <w:ind w:left="0"/>
              <w:jc w:val="right"/>
              <w:rPr>
                <w:rFonts w:ascii="Arial" w:hAnsi="Arial" w:cs="Arial"/>
                <w:sz w:val="24"/>
                <w:szCs w:val="24"/>
              </w:rPr>
            </w:pPr>
            <w:r w:rsidRPr="00471917">
              <w:rPr>
                <w:rFonts w:ascii="Arial" w:hAnsi="Arial" w:cs="Arial"/>
                <w:sz w:val="24"/>
                <w:szCs w:val="24"/>
              </w:rPr>
              <w:t>3.0</w:t>
            </w:r>
          </w:p>
        </w:tc>
        <w:tc>
          <w:tcPr>
            <w:tcW w:w="2032" w:type="dxa"/>
            <w:hideMark/>
          </w:tcPr>
          <w:p w14:paraId="45AD209A" w14:textId="77777777" w:rsidR="00157547" w:rsidRPr="00471917" w:rsidRDefault="00157547" w:rsidP="00A6738D">
            <w:pPr>
              <w:pStyle w:val="ListParagraph"/>
              <w:spacing w:after="0"/>
              <w:ind w:left="0"/>
              <w:jc w:val="right"/>
              <w:rPr>
                <w:rFonts w:ascii="Arial" w:hAnsi="Arial" w:cs="Arial"/>
                <w:sz w:val="24"/>
                <w:szCs w:val="24"/>
              </w:rPr>
            </w:pPr>
            <w:r w:rsidRPr="00471917">
              <w:rPr>
                <w:rFonts w:ascii="Arial" w:hAnsi="Arial" w:cs="Arial"/>
                <w:sz w:val="24"/>
                <w:szCs w:val="24"/>
              </w:rPr>
              <w:t>3.1</w:t>
            </w:r>
          </w:p>
        </w:tc>
        <w:tc>
          <w:tcPr>
            <w:tcW w:w="2032" w:type="dxa"/>
            <w:hideMark/>
          </w:tcPr>
          <w:p w14:paraId="1DC8852C" w14:textId="77777777" w:rsidR="00157547" w:rsidRPr="00471917" w:rsidRDefault="00157547" w:rsidP="00A6738D">
            <w:pPr>
              <w:pStyle w:val="ListParagraph"/>
              <w:spacing w:after="0"/>
              <w:ind w:left="0"/>
              <w:jc w:val="right"/>
              <w:rPr>
                <w:rFonts w:ascii="Arial" w:eastAsia="Times New Roman" w:hAnsi="Arial" w:cs="Arial"/>
                <w:sz w:val="24"/>
                <w:szCs w:val="24"/>
              </w:rPr>
            </w:pPr>
            <w:r w:rsidRPr="00471917">
              <w:rPr>
                <w:rFonts w:ascii="Arial" w:eastAsia="Times New Roman" w:hAnsi="Arial" w:cs="Arial"/>
                <w:sz w:val="24"/>
                <w:szCs w:val="24"/>
              </w:rPr>
              <w:t>0.61</w:t>
            </w:r>
          </w:p>
        </w:tc>
      </w:tr>
      <w:tr w:rsidR="00157547" w:rsidRPr="00F51331" w14:paraId="00FD4902" w14:textId="77777777" w:rsidTr="00A6738D">
        <w:trPr>
          <w:trHeight w:val="340"/>
        </w:trPr>
        <w:tc>
          <w:tcPr>
            <w:tcW w:w="2835" w:type="dxa"/>
            <w:vAlign w:val="center"/>
            <w:hideMark/>
          </w:tcPr>
          <w:p w14:paraId="754EB343" w14:textId="77777777" w:rsidR="00157547" w:rsidRPr="00F51331" w:rsidRDefault="00157547" w:rsidP="00A6738D">
            <w:pPr>
              <w:pStyle w:val="ListParagraph"/>
              <w:spacing w:after="0"/>
              <w:ind w:left="0"/>
              <w:rPr>
                <w:rFonts w:ascii="Arial" w:eastAsia="Times New Roman" w:hAnsi="Arial" w:cs="Arial"/>
                <w:sz w:val="24"/>
                <w:szCs w:val="24"/>
              </w:rPr>
            </w:pPr>
            <w:r w:rsidRPr="00F51331">
              <w:rPr>
                <w:rFonts w:ascii="Arial" w:eastAsia="Times New Roman" w:hAnsi="Arial" w:cs="Arial"/>
                <w:sz w:val="24"/>
                <w:szCs w:val="24"/>
              </w:rPr>
              <w:t>Pooled Equity Funds</w:t>
            </w:r>
          </w:p>
        </w:tc>
        <w:tc>
          <w:tcPr>
            <w:tcW w:w="2031" w:type="dxa"/>
            <w:hideMark/>
          </w:tcPr>
          <w:p w14:paraId="67400135" w14:textId="77777777" w:rsidR="00157547" w:rsidRPr="00471917" w:rsidRDefault="00157547" w:rsidP="00A6738D">
            <w:pPr>
              <w:pStyle w:val="ListParagraph"/>
              <w:spacing w:after="0"/>
              <w:ind w:left="0"/>
              <w:jc w:val="right"/>
              <w:rPr>
                <w:rFonts w:ascii="Arial" w:eastAsia="Times New Roman" w:hAnsi="Arial" w:cs="Arial"/>
                <w:sz w:val="24"/>
                <w:szCs w:val="24"/>
              </w:rPr>
            </w:pPr>
            <w:r w:rsidRPr="00471917">
              <w:rPr>
                <w:rFonts w:ascii="Arial" w:eastAsia="Times New Roman" w:hAnsi="Arial" w:cs="Arial"/>
                <w:sz w:val="24"/>
                <w:szCs w:val="24"/>
              </w:rPr>
              <w:t>2.0</w:t>
            </w:r>
          </w:p>
        </w:tc>
        <w:tc>
          <w:tcPr>
            <w:tcW w:w="2032" w:type="dxa"/>
            <w:hideMark/>
          </w:tcPr>
          <w:p w14:paraId="1D7B2F70" w14:textId="77777777" w:rsidR="00157547" w:rsidRPr="00471917" w:rsidRDefault="00157547" w:rsidP="00A6738D">
            <w:pPr>
              <w:pStyle w:val="ListParagraph"/>
              <w:spacing w:after="0"/>
              <w:ind w:left="0"/>
              <w:jc w:val="right"/>
              <w:rPr>
                <w:rFonts w:ascii="Arial" w:eastAsia="Times New Roman" w:hAnsi="Arial" w:cs="Arial"/>
                <w:sz w:val="24"/>
                <w:szCs w:val="24"/>
              </w:rPr>
            </w:pPr>
            <w:r w:rsidRPr="00471917">
              <w:rPr>
                <w:rFonts w:ascii="Arial" w:eastAsia="Times New Roman" w:hAnsi="Arial" w:cs="Arial"/>
                <w:sz w:val="24"/>
                <w:szCs w:val="24"/>
              </w:rPr>
              <w:t>2.2</w:t>
            </w:r>
          </w:p>
        </w:tc>
        <w:tc>
          <w:tcPr>
            <w:tcW w:w="2032" w:type="dxa"/>
            <w:hideMark/>
          </w:tcPr>
          <w:p w14:paraId="19D7A5B8" w14:textId="77777777" w:rsidR="00157547" w:rsidRPr="00471917" w:rsidRDefault="00157547" w:rsidP="00A6738D">
            <w:pPr>
              <w:pStyle w:val="ListParagraph"/>
              <w:spacing w:after="0"/>
              <w:ind w:left="0"/>
              <w:jc w:val="right"/>
              <w:rPr>
                <w:rFonts w:ascii="Arial" w:eastAsia="Times New Roman" w:hAnsi="Arial" w:cs="Arial"/>
                <w:sz w:val="24"/>
                <w:szCs w:val="24"/>
              </w:rPr>
            </w:pPr>
            <w:r w:rsidRPr="00471917">
              <w:rPr>
                <w:rFonts w:ascii="Arial" w:eastAsia="Times New Roman" w:hAnsi="Arial" w:cs="Arial"/>
                <w:sz w:val="24"/>
                <w:szCs w:val="24"/>
              </w:rPr>
              <w:t>2.47</w:t>
            </w:r>
          </w:p>
        </w:tc>
      </w:tr>
      <w:tr w:rsidR="00157547" w:rsidRPr="00F51331" w14:paraId="05A2900F" w14:textId="77777777" w:rsidTr="00A6738D">
        <w:trPr>
          <w:trHeight w:val="340"/>
        </w:trPr>
        <w:tc>
          <w:tcPr>
            <w:tcW w:w="2835" w:type="dxa"/>
            <w:vAlign w:val="center"/>
            <w:hideMark/>
          </w:tcPr>
          <w:p w14:paraId="0FE677F1" w14:textId="77777777" w:rsidR="00157547" w:rsidRPr="00F51331" w:rsidRDefault="00157547" w:rsidP="00A6738D">
            <w:pPr>
              <w:pStyle w:val="ListParagraph"/>
              <w:spacing w:after="0"/>
              <w:ind w:left="0"/>
              <w:rPr>
                <w:rFonts w:ascii="Arial" w:eastAsia="Times New Roman" w:hAnsi="Arial" w:cs="Arial"/>
                <w:b/>
                <w:sz w:val="24"/>
                <w:szCs w:val="24"/>
              </w:rPr>
            </w:pPr>
            <w:r w:rsidRPr="00F51331">
              <w:rPr>
                <w:rFonts w:ascii="Arial" w:eastAsia="Times New Roman" w:hAnsi="Arial" w:cs="Arial"/>
                <w:b/>
                <w:sz w:val="24"/>
                <w:szCs w:val="24"/>
              </w:rPr>
              <w:t>Total</w:t>
            </w:r>
          </w:p>
        </w:tc>
        <w:tc>
          <w:tcPr>
            <w:tcW w:w="2031" w:type="dxa"/>
            <w:hideMark/>
          </w:tcPr>
          <w:p w14:paraId="17942475" w14:textId="77777777" w:rsidR="00157547" w:rsidRPr="00471917" w:rsidRDefault="00157547" w:rsidP="00A6738D">
            <w:pPr>
              <w:pStyle w:val="ListParagraph"/>
              <w:spacing w:after="0"/>
              <w:ind w:left="0"/>
              <w:jc w:val="right"/>
              <w:rPr>
                <w:rFonts w:ascii="Arial" w:hAnsi="Arial" w:cs="Arial"/>
                <w:b/>
                <w:sz w:val="24"/>
                <w:szCs w:val="24"/>
              </w:rPr>
            </w:pPr>
            <w:r w:rsidRPr="00471917">
              <w:rPr>
                <w:rFonts w:ascii="Arial" w:hAnsi="Arial" w:cs="Arial"/>
                <w:b/>
                <w:sz w:val="24"/>
                <w:szCs w:val="24"/>
              </w:rPr>
              <w:t>5.0</w:t>
            </w:r>
          </w:p>
        </w:tc>
        <w:tc>
          <w:tcPr>
            <w:tcW w:w="2032" w:type="dxa"/>
            <w:hideMark/>
          </w:tcPr>
          <w:p w14:paraId="29475B8F" w14:textId="77777777" w:rsidR="00157547" w:rsidRPr="00471917" w:rsidRDefault="00157547" w:rsidP="00A6738D">
            <w:pPr>
              <w:pStyle w:val="ListParagraph"/>
              <w:spacing w:after="0"/>
              <w:ind w:left="0"/>
              <w:jc w:val="right"/>
              <w:rPr>
                <w:rFonts w:ascii="Arial" w:hAnsi="Arial" w:cs="Arial"/>
                <w:b/>
                <w:sz w:val="24"/>
                <w:szCs w:val="24"/>
              </w:rPr>
            </w:pPr>
            <w:r w:rsidRPr="00471917">
              <w:rPr>
                <w:rFonts w:ascii="Arial" w:hAnsi="Arial" w:cs="Arial"/>
                <w:b/>
                <w:sz w:val="24"/>
                <w:szCs w:val="24"/>
              </w:rPr>
              <w:t>5.3</w:t>
            </w:r>
          </w:p>
        </w:tc>
        <w:tc>
          <w:tcPr>
            <w:tcW w:w="2032" w:type="dxa"/>
            <w:hideMark/>
          </w:tcPr>
          <w:p w14:paraId="31903DE0" w14:textId="77777777" w:rsidR="00157547" w:rsidRPr="00471917" w:rsidRDefault="00157547" w:rsidP="00A6738D">
            <w:pPr>
              <w:pStyle w:val="ListParagraph"/>
              <w:spacing w:after="0"/>
              <w:ind w:left="0"/>
              <w:jc w:val="right"/>
              <w:rPr>
                <w:rFonts w:ascii="Arial" w:eastAsia="Times New Roman" w:hAnsi="Arial" w:cs="Arial"/>
                <w:b/>
                <w:sz w:val="24"/>
                <w:szCs w:val="24"/>
              </w:rPr>
            </w:pPr>
            <w:r w:rsidRPr="00471917">
              <w:rPr>
                <w:rFonts w:ascii="Arial" w:eastAsia="Times New Roman" w:hAnsi="Arial" w:cs="Arial"/>
                <w:b/>
                <w:sz w:val="24"/>
                <w:szCs w:val="24"/>
              </w:rPr>
              <w:t>1.36</w:t>
            </w:r>
          </w:p>
        </w:tc>
      </w:tr>
      <w:tr w:rsidR="00157547" w:rsidRPr="00F51331" w14:paraId="44CAD9AB" w14:textId="77777777" w:rsidTr="00A6738D">
        <w:trPr>
          <w:trHeight w:val="340"/>
        </w:trPr>
        <w:tc>
          <w:tcPr>
            <w:tcW w:w="2835" w:type="dxa"/>
            <w:vAlign w:val="center"/>
          </w:tcPr>
          <w:p w14:paraId="487D4AD4" w14:textId="77777777" w:rsidR="00157547" w:rsidRPr="00F51331" w:rsidRDefault="00157547" w:rsidP="00A6738D">
            <w:pPr>
              <w:pStyle w:val="ListParagraph"/>
              <w:spacing w:after="0"/>
              <w:ind w:left="0"/>
              <w:rPr>
                <w:rFonts w:ascii="Arial" w:eastAsia="Times New Roman" w:hAnsi="Arial" w:cs="Arial"/>
                <w:sz w:val="24"/>
                <w:szCs w:val="24"/>
              </w:rPr>
            </w:pPr>
          </w:p>
        </w:tc>
        <w:tc>
          <w:tcPr>
            <w:tcW w:w="2031" w:type="dxa"/>
          </w:tcPr>
          <w:p w14:paraId="09AC9221" w14:textId="77777777" w:rsidR="00157547" w:rsidRPr="00F51331" w:rsidRDefault="00157547" w:rsidP="00A6738D">
            <w:pPr>
              <w:pStyle w:val="ListParagraph"/>
              <w:spacing w:after="0"/>
              <w:ind w:left="0"/>
              <w:jc w:val="right"/>
              <w:rPr>
                <w:rFonts w:ascii="Arial" w:hAnsi="Arial" w:cs="Arial"/>
                <w:sz w:val="24"/>
                <w:szCs w:val="24"/>
              </w:rPr>
            </w:pPr>
          </w:p>
        </w:tc>
        <w:tc>
          <w:tcPr>
            <w:tcW w:w="2032" w:type="dxa"/>
          </w:tcPr>
          <w:p w14:paraId="3C6EB562" w14:textId="77777777" w:rsidR="00157547" w:rsidRPr="00F51331" w:rsidRDefault="00157547" w:rsidP="00A6738D">
            <w:pPr>
              <w:pStyle w:val="ListParagraph"/>
              <w:spacing w:after="0"/>
              <w:ind w:left="0"/>
              <w:jc w:val="right"/>
              <w:rPr>
                <w:rFonts w:ascii="Arial" w:hAnsi="Arial" w:cs="Arial"/>
                <w:sz w:val="24"/>
                <w:szCs w:val="24"/>
              </w:rPr>
            </w:pPr>
          </w:p>
        </w:tc>
        <w:tc>
          <w:tcPr>
            <w:tcW w:w="2032" w:type="dxa"/>
          </w:tcPr>
          <w:p w14:paraId="7E314FAF" w14:textId="77777777" w:rsidR="00157547" w:rsidRPr="00F51331" w:rsidRDefault="00157547" w:rsidP="00A6738D">
            <w:pPr>
              <w:pStyle w:val="ListParagraph"/>
              <w:spacing w:after="0"/>
              <w:ind w:left="0"/>
              <w:jc w:val="right"/>
              <w:rPr>
                <w:rFonts w:ascii="Arial" w:hAnsi="Arial" w:cs="Arial"/>
                <w:sz w:val="24"/>
                <w:szCs w:val="24"/>
              </w:rPr>
            </w:pPr>
          </w:p>
        </w:tc>
      </w:tr>
    </w:tbl>
    <w:p w14:paraId="25FDC938" w14:textId="7177EE84" w:rsidR="004967FC" w:rsidRDefault="00081BBC" w:rsidP="00EF4690">
      <w:pPr>
        <w:pStyle w:val="ListParagraph"/>
        <w:numPr>
          <w:ilvl w:val="1"/>
          <w:numId w:val="27"/>
        </w:numPr>
        <w:spacing w:after="240" w:line="240" w:lineRule="auto"/>
        <w:ind w:left="720" w:hanging="720"/>
        <w:contextualSpacing w:val="0"/>
        <w:rPr>
          <w:rFonts w:ascii="Arial" w:hAnsi="Arial" w:cs="Arial"/>
          <w:sz w:val="24"/>
          <w:szCs w:val="24"/>
        </w:rPr>
      </w:pPr>
      <w:r>
        <w:rPr>
          <w:rFonts w:ascii="Arial" w:hAnsi="Arial" w:cs="Arial"/>
          <w:sz w:val="24"/>
          <w:szCs w:val="24"/>
        </w:rPr>
        <w:t xml:space="preserve">In </w:t>
      </w:r>
      <w:r w:rsidRPr="00081BBC">
        <w:rPr>
          <w:rFonts w:ascii="Arial" w:hAnsi="Arial" w:cs="Arial"/>
          <w:sz w:val="24"/>
          <w:szCs w:val="24"/>
        </w:rPr>
        <w:t xml:space="preserve">addition to the capital growth shown in Table 3, the </w:t>
      </w:r>
      <w:r>
        <w:rPr>
          <w:rFonts w:ascii="Arial" w:hAnsi="Arial" w:cs="Arial"/>
          <w:sz w:val="24"/>
          <w:szCs w:val="24"/>
        </w:rPr>
        <w:t>OPCC</w:t>
      </w:r>
      <w:r w:rsidRPr="00081BBC">
        <w:rPr>
          <w:rFonts w:ascii="Arial" w:hAnsi="Arial" w:cs="Arial"/>
          <w:sz w:val="24"/>
          <w:szCs w:val="24"/>
        </w:rPr>
        <w:t xml:space="preserve"> has achieved income returns averaging 4.</w:t>
      </w:r>
      <w:r w:rsidR="00022B7E">
        <w:rPr>
          <w:rFonts w:ascii="Arial" w:hAnsi="Arial" w:cs="Arial"/>
          <w:sz w:val="24"/>
          <w:szCs w:val="24"/>
        </w:rPr>
        <w:t>71</w:t>
      </w:r>
      <w:r w:rsidRPr="00081BBC">
        <w:rPr>
          <w:rFonts w:ascii="Arial" w:hAnsi="Arial" w:cs="Arial"/>
          <w:sz w:val="24"/>
          <w:szCs w:val="24"/>
        </w:rPr>
        <w:t xml:space="preserve">% per annum from these investments in pooled funds, resulting in a total return of </w:t>
      </w:r>
      <w:r w:rsidR="00022B7E">
        <w:rPr>
          <w:rFonts w:ascii="Arial" w:hAnsi="Arial" w:cs="Arial"/>
          <w:sz w:val="24"/>
          <w:szCs w:val="24"/>
        </w:rPr>
        <w:t>6.07</w:t>
      </w:r>
      <w:r w:rsidRPr="00081BBC">
        <w:rPr>
          <w:rFonts w:ascii="Arial" w:hAnsi="Arial" w:cs="Arial"/>
          <w:sz w:val="24"/>
          <w:szCs w:val="24"/>
        </w:rPr>
        <w:t>% per</w:t>
      </w:r>
      <w:r w:rsidR="00022B7E">
        <w:rPr>
          <w:rFonts w:ascii="Arial" w:hAnsi="Arial" w:cs="Arial"/>
          <w:sz w:val="24"/>
          <w:szCs w:val="24"/>
        </w:rPr>
        <w:t xml:space="preserve"> annum</w:t>
      </w:r>
      <w:r w:rsidR="004967FC">
        <w:rPr>
          <w:rFonts w:ascii="Arial" w:hAnsi="Arial" w:cs="Arial"/>
          <w:sz w:val="24"/>
          <w:szCs w:val="24"/>
        </w:rPr>
        <w:t>.</w:t>
      </w:r>
    </w:p>
    <w:p w14:paraId="079F7574" w14:textId="77777777" w:rsidR="00090923" w:rsidRPr="00382C7D" w:rsidRDefault="00090923" w:rsidP="00090923">
      <w:pPr>
        <w:pStyle w:val="ListParagraph"/>
        <w:numPr>
          <w:ilvl w:val="1"/>
          <w:numId w:val="27"/>
        </w:numPr>
        <w:spacing w:after="240" w:line="240" w:lineRule="auto"/>
        <w:ind w:left="720" w:hanging="720"/>
        <w:contextualSpacing w:val="0"/>
        <w:rPr>
          <w:rFonts w:ascii="Arial" w:hAnsi="Arial" w:cs="Arial"/>
          <w:sz w:val="24"/>
          <w:szCs w:val="24"/>
        </w:rPr>
      </w:pPr>
      <w:r w:rsidRPr="00382C7D">
        <w:rPr>
          <w:rFonts w:ascii="Arial" w:hAnsi="Arial" w:cs="Arial"/>
          <w:sz w:val="24"/>
          <w:szCs w:val="24"/>
        </w:rPr>
        <w:t>Non-cash pooled investments must be viewed as long-term investments in order that monies are not withdrawn in the event of a fall in capital values to avoid crystallising a capital loss.</w:t>
      </w:r>
    </w:p>
    <w:p w14:paraId="0B698742" w14:textId="77777777" w:rsidR="00090923" w:rsidRPr="00382C7D" w:rsidRDefault="00090923" w:rsidP="00090923">
      <w:pPr>
        <w:pStyle w:val="ListParagraph"/>
        <w:numPr>
          <w:ilvl w:val="1"/>
          <w:numId w:val="27"/>
        </w:numPr>
        <w:spacing w:after="240" w:line="240" w:lineRule="auto"/>
        <w:ind w:left="720" w:hanging="720"/>
        <w:contextualSpacing w:val="0"/>
        <w:rPr>
          <w:rFonts w:ascii="Arial" w:hAnsi="Arial" w:cs="Arial"/>
          <w:sz w:val="24"/>
          <w:szCs w:val="24"/>
        </w:rPr>
      </w:pPr>
      <w:r w:rsidRPr="00382C7D">
        <w:rPr>
          <w:rFonts w:ascii="Arial" w:hAnsi="Arial" w:cs="Arial"/>
          <w:sz w:val="24"/>
          <w:szCs w:val="24"/>
        </w:rPr>
        <w:t>At the current time, given the medium to long term nature of the investments, it is unlikely that a capital loss would ever be realised, since the OPCC would avoid selling investments that realised a capital loss.</w:t>
      </w:r>
    </w:p>
    <w:p w14:paraId="55DB0C5F" w14:textId="17217511" w:rsidR="003D26E2" w:rsidRDefault="00090923" w:rsidP="00090923">
      <w:pPr>
        <w:pStyle w:val="ListParagraph"/>
        <w:numPr>
          <w:ilvl w:val="1"/>
          <w:numId w:val="27"/>
        </w:numPr>
        <w:spacing w:after="240" w:line="240" w:lineRule="auto"/>
        <w:ind w:left="720" w:hanging="720"/>
        <w:contextualSpacing w:val="0"/>
        <w:rPr>
          <w:rFonts w:ascii="Arial" w:hAnsi="Arial" w:cs="Arial"/>
          <w:sz w:val="24"/>
          <w:szCs w:val="24"/>
        </w:rPr>
      </w:pPr>
      <w:r w:rsidRPr="00382C7D">
        <w:rPr>
          <w:rFonts w:ascii="Arial" w:hAnsi="Arial" w:cs="Arial"/>
          <w:sz w:val="24"/>
          <w:szCs w:val="24"/>
        </w:rPr>
        <w:t>Going forward however, changes to International Financial Reporting Standards means that capital gains and losses on investments need to be reflected in the revenue account on an annual basis</w:t>
      </w:r>
      <w:r w:rsidR="003D26E2">
        <w:rPr>
          <w:rFonts w:ascii="Arial" w:hAnsi="Arial" w:cs="Arial"/>
          <w:sz w:val="24"/>
          <w:szCs w:val="24"/>
        </w:rPr>
        <w:t>, although t</w:t>
      </w:r>
      <w:r w:rsidRPr="00382C7D">
        <w:rPr>
          <w:rFonts w:ascii="Arial" w:hAnsi="Arial" w:cs="Arial"/>
          <w:sz w:val="24"/>
          <w:szCs w:val="24"/>
        </w:rPr>
        <w:t xml:space="preserve">here is currently a statutory override in place that </w:t>
      </w:r>
      <w:r w:rsidR="00E94FBF">
        <w:rPr>
          <w:rFonts w:ascii="Arial" w:hAnsi="Arial" w:cs="Arial"/>
          <w:sz w:val="24"/>
          <w:szCs w:val="24"/>
        </w:rPr>
        <w:t>means that the OPCC will not need to comply</w:t>
      </w:r>
      <w:r w:rsidRPr="00382C7D">
        <w:rPr>
          <w:rFonts w:ascii="Arial" w:hAnsi="Arial" w:cs="Arial"/>
          <w:sz w:val="24"/>
          <w:szCs w:val="24"/>
        </w:rPr>
        <w:t xml:space="preserve"> with this requirement for the next 4 years</w:t>
      </w:r>
      <w:r w:rsidR="003D26E2">
        <w:rPr>
          <w:rFonts w:ascii="Arial" w:hAnsi="Arial" w:cs="Arial"/>
          <w:sz w:val="24"/>
          <w:szCs w:val="24"/>
        </w:rPr>
        <w:t>.</w:t>
      </w:r>
    </w:p>
    <w:p w14:paraId="21063EAF" w14:textId="1083C3F5" w:rsidR="00090923" w:rsidRPr="00090923" w:rsidRDefault="00B8450F" w:rsidP="00090923">
      <w:pPr>
        <w:pStyle w:val="ListParagraph"/>
        <w:numPr>
          <w:ilvl w:val="1"/>
          <w:numId w:val="27"/>
        </w:numPr>
        <w:spacing w:after="240" w:line="240" w:lineRule="auto"/>
        <w:ind w:left="720" w:hanging="720"/>
        <w:contextualSpacing w:val="0"/>
        <w:rPr>
          <w:rFonts w:ascii="Arial" w:hAnsi="Arial" w:cs="Arial"/>
          <w:sz w:val="24"/>
          <w:szCs w:val="24"/>
        </w:rPr>
      </w:pPr>
      <w:r>
        <w:rPr>
          <w:rFonts w:ascii="Arial" w:hAnsi="Arial" w:cs="Arial"/>
          <w:sz w:val="24"/>
          <w:szCs w:val="24"/>
        </w:rPr>
        <w:t>T</w:t>
      </w:r>
      <w:r w:rsidR="00090923">
        <w:rPr>
          <w:rFonts w:ascii="Arial" w:hAnsi="Arial" w:cs="Arial"/>
          <w:sz w:val="24"/>
          <w:szCs w:val="24"/>
        </w:rPr>
        <w:t>h</w:t>
      </w:r>
      <w:r w:rsidR="00090923" w:rsidRPr="00061896">
        <w:rPr>
          <w:rFonts w:ascii="Arial" w:hAnsi="Arial" w:cs="Arial"/>
          <w:sz w:val="24"/>
          <w:szCs w:val="24"/>
        </w:rPr>
        <w:t xml:space="preserve">e ongoing suitability of the </w:t>
      </w:r>
      <w:r w:rsidR="00090923">
        <w:rPr>
          <w:rFonts w:ascii="Arial" w:hAnsi="Arial" w:cs="Arial"/>
          <w:sz w:val="24"/>
          <w:szCs w:val="24"/>
        </w:rPr>
        <w:t>OPCC’s</w:t>
      </w:r>
      <w:r w:rsidR="00090923" w:rsidRPr="00061896">
        <w:rPr>
          <w:rFonts w:ascii="Arial" w:hAnsi="Arial" w:cs="Arial"/>
          <w:sz w:val="24"/>
          <w:szCs w:val="24"/>
        </w:rPr>
        <w:t xml:space="preserve"> investments in pooled funds </w:t>
      </w:r>
      <w:r w:rsidR="00090923">
        <w:rPr>
          <w:rFonts w:ascii="Arial" w:hAnsi="Arial" w:cs="Arial"/>
          <w:sz w:val="24"/>
          <w:szCs w:val="24"/>
        </w:rPr>
        <w:t>continues to be</w:t>
      </w:r>
      <w:r w:rsidR="00090923" w:rsidRPr="00061896">
        <w:rPr>
          <w:rFonts w:ascii="Arial" w:hAnsi="Arial" w:cs="Arial"/>
          <w:sz w:val="24"/>
          <w:szCs w:val="24"/>
        </w:rPr>
        <w:t xml:space="preserve"> monitored on a regular basis and </w:t>
      </w:r>
      <w:r>
        <w:rPr>
          <w:rFonts w:ascii="Arial" w:hAnsi="Arial" w:cs="Arial"/>
          <w:sz w:val="24"/>
          <w:szCs w:val="24"/>
        </w:rPr>
        <w:t xml:space="preserve">is </w:t>
      </w:r>
      <w:r w:rsidR="00090923" w:rsidRPr="00061896">
        <w:rPr>
          <w:rFonts w:ascii="Arial" w:hAnsi="Arial" w:cs="Arial"/>
          <w:sz w:val="24"/>
          <w:szCs w:val="24"/>
        </w:rPr>
        <w:t xml:space="preserve">based on advice from </w:t>
      </w:r>
      <w:proofErr w:type="spellStart"/>
      <w:r w:rsidR="00090923" w:rsidRPr="00061896">
        <w:rPr>
          <w:rFonts w:ascii="Arial" w:hAnsi="Arial" w:cs="Arial"/>
          <w:sz w:val="24"/>
          <w:szCs w:val="24"/>
        </w:rPr>
        <w:t>Arlingclose</w:t>
      </w:r>
      <w:proofErr w:type="spellEnd"/>
      <w:r w:rsidR="00090923">
        <w:rPr>
          <w:rFonts w:ascii="Arial" w:hAnsi="Arial" w:cs="Arial"/>
          <w:sz w:val="24"/>
          <w:szCs w:val="24"/>
        </w:rPr>
        <w:t>.</w:t>
      </w:r>
    </w:p>
    <w:p w14:paraId="32C034C1" w14:textId="504D393B" w:rsidR="00557C9C" w:rsidRPr="00A57B36" w:rsidRDefault="00557C9C" w:rsidP="00A57B36">
      <w:pPr>
        <w:pStyle w:val="ListParagraph"/>
        <w:keepNext/>
        <w:spacing w:after="240" w:line="240" w:lineRule="auto"/>
        <w:contextualSpacing w:val="0"/>
        <w:rPr>
          <w:rFonts w:ascii="Arial" w:hAnsi="Arial" w:cs="Arial"/>
          <w:b/>
          <w:sz w:val="24"/>
          <w:szCs w:val="24"/>
        </w:rPr>
      </w:pPr>
      <w:r w:rsidRPr="00A57B36">
        <w:rPr>
          <w:rFonts w:ascii="Arial" w:hAnsi="Arial" w:cs="Arial"/>
          <w:b/>
          <w:sz w:val="24"/>
          <w:szCs w:val="24"/>
        </w:rPr>
        <w:t>Investment Limits</w:t>
      </w:r>
    </w:p>
    <w:p w14:paraId="12B49606" w14:textId="77777777" w:rsidR="00557C9C" w:rsidRPr="00A57B36" w:rsidRDefault="00E55D74"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T</w:t>
      </w:r>
      <w:r w:rsidR="002C0BDA" w:rsidRPr="00A57B36">
        <w:rPr>
          <w:rFonts w:ascii="Arial" w:hAnsi="Arial" w:cs="Arial"/>
          <w:sz w:val="24"/>
          <w:szCs w:val="24"/>
        </w:rPr>
        <w:t xml:space="preserve">he maximum that will be lent to any one organisation (other than the UK Government) will be </w:t>
      </w:r>
      <w:r w:rsidR="002C0BDA" w:rsidRPr="009E0D72">
        <w:rPr>
          <w:rFonts w:ascii="Arial" w:hAnsi="Arial" w:cs="Arial"/>
          <w:sz w:val="24"/>
          <w:szCs w:val="24"/>
        </w:rPr>
        <w:t>£1</w:t>
      </w:r>
      <w:r w:rsidR="00A57B36" w:rsidRPr="009E0D72">
        <w:rPr>
          <w:rFonts w:ascii="Arial" w:hAnsi="Arial" w:cs="Arial"/>
          <w:sz w:val="24"/>
          <w:szCs w:val="24"/>
        </w:rPr>
        <w:t>0</w:t>
      </w:r>
      <w:r w:rsidR="002C0BDA" w:rsidRPr="009E0D72">
        <w:rPr>
          <w:rFonts w:ascii="Arial" w:hAnsi="Arial" w:cs="Arial"/>
          <w:sz w:val="24"/>
          <w:szCs w:val="24"/>
        </w:rPr>
        <w:t>m</w:t>
      </w:r>
      <w:r w:rsidR="002C0BDA" w:rsidRPr="00A57B36">
        <w:rPr>
          <w:rFonts w:ascii="Arial" w:hAnsi="Arial" w:cs="Arial"/>
          <w:sz w:val="24"/>
          <w:szCs w:val="24"/>
        </w:rPr>
        <w:t>.  A group of banks under the same ownership will be treated as a single organisation for limit purposes.  Limits will also be placed on fund managers, and investments in pooled funds, as they would not count against a limit for any single foreign country, since the risk is diversified over many countries.</w:t>
      </w:r>
    </w:p>
    <w:tbl>
      <w:tblPr>
        <w:tblW w:w="8930" w:type="dxa"/>
        <w:tblInd w:w="392" w:type="dxa"/>
        <w:tblLook w:val="04A0" w:firstRow="1" w:lastRow="0" w:firstColumn="1" w:lastColumn="0" w:noHBand="0" w:noVBand="1"/>
      </w:tblPr>
      <w:tblGrid>
        <w:gridCol w:w="6662"/>
        <w:gridCol w:w="2268"/>
      </w:tblGrid>
      <w:tr w:rsidR="00B545F4" w:rsidRPr="00A57B36" w14:paraId="6F4BD76D" w14:textId="77777777" w:rsidTr="00B545F4">
        <w:trPr>
          <w:trHeight w:val="340"/>
        </w:trPr>
        <w:tc>
          <w:tcPr>
            <w:tcW w:w="6662" w:type="dxa"/>
            <w:shd w:val="clear" w:color="auto" w:fill="auto"/>
            <w:vAlign w:val="center"/>
          </w:tcPr>
          <w:p w14:paraId="34EC29B7" w14:textId="787EFEB6" w:rsidR="00557C9C" w:rsidRPr="00A57B36" w:rsidRDefault="00557C9C" w:rsidP="00A57B36">
            <w:pPr>
              <w:keepNext/>
              <w:spacing w:after="240" w:line="240" w:lineRule="auto"/>
              <w:outlineLvl w:val="0"/>
              <w:rPr>
                <w:rFonts w:ascii="Arial" w:hAnsi="Arial" w:cs="Arial"/>
                <w:b/>
                <w:sz w:val="24"/>
                <w:szCs w:val="24"/>
              </w:rPr>
            </w:pPr>
            <w:r w:rsidRPr="00A57B36">
              <w:rPr>
                <w:rFonts w:ascii="Arial" w:hAnsi="Arial" w:cs="Arial"/>
                <w:b/>
                <w:sz w:val="24"/>
                <w:szCs w:val="24"/>
              </w:rPr>
              <w:t xml:space="preserve">Table </w:t>
            </w:r>
            <w:r w:rsidR="00CD084A">
              <w:rPr>
                <w:rFonts w:ascii="Arial" w:hAnsi="Arial" w:cs="Arial"/>
                <w:b/>
                <w:sz w:val="24"/>
                <w:szCs w:val="24"/>
              </w:rPr>
              <w:t>4</w:t>
            </w:r>
            <w:r w:rsidRPr="00A57B36">
              <w:rPr>
                <w:rFonts w:ascii="Arial" w:hAnsi="Arial" w:cs="Arial"/>
                <w:b/>
                <w:sz w:val="24"/>
                <w:szCs w:val="24"/>
              </w:rPr>
              <w:t>: Investment Limits</w:t>
            </w:r>
          </w:p>
        </w:tc>
        <w:tc>
          <w:tcPr>
            <w:tcW w:w="2268" w:type="dxa"/>
            <w:shd w:val="clear" w:color="auto" w:fill="auto"/>
            <w:vAlign w:val="center"/>
          </w:tcPr>
          <w:p w14:paraId="63091A89" w14:textId="77777777" w:rsidR="00557C9C" w:rsidRPr="00A57B36" w:rsidRDefault="00557C9C" w:rsidP="00A57B36">
            <w:pPr>
              <w:pStyle w:val="ListParagraph"/>
              <w:keepNext/>
              <w:spacing w:after="0"/>
              <w:ind w:left="0"/>
              <w:contextualSpacing w:val="0"/>
              <w:jc w:val="center"/>
              <w:rPr>
                <w:rFonts w:ascii="Arial" w:eastAsia="Times New Roman" w:hAnsi="Arial" w:cs="Arial"/>
                <w:b/>
                <w:sz w:val="24"/>
                <w:szCs w:val="24"/>
              </w:rPr>
            </w:pPr>
          </w:p>
        </w:tc>
      </w:tr>
      <w:tr w:rsidR="00B545F4" w:rsidRPr="00A57B36" w14:paraId="21C517DC" w14:textId="77777777" w:rsidTr="00B545F4">
        <w:trPr>
          <w:trHeight w:val="340"/>
        </w:trPr>
        <w:tc>
          <w:tcPr>
            <w:tcW w:w="6662" w:type="dxa"/>
            <w:shd w:val="clear" w:color="auto" w:fill="auto"/>
            <w:vAlign w:val="center"/>
          </w:tcPr>
          <w:p w14:paraId="4B9472BF" w14:textId="77777777" w:rsidR="00557C9C" w:rsidRPr="00A57B36" w:rsidRDefault="00557C9C" w:rsidP="00A57B36">
            <w:pPr>
              <w:pStyle w:val="ListParagraph"/>
              <w:keepNext/>
              <w:spacing w:after="0"/>
              <w:ind w:left="0"/>
              <w:contextualSpacing w:val="0"/>
              <w:rPr>
                <w:rFonts w:ascii="Arial" w:eastAsia="Times New Roman" w:hAnsi="Arial" w:cs="Arial"/>
                <w:b/>
                <w:sz w:val="24"/>
                <w:szCs w:val="24"/>
              </w:rPr>
            </w:pPr>
          </w:p>
        </w:tc>
        <w:tc>
          <w:tcPr>
            <w:tcW w:w="2268" w:type="dxa"/>
            <w:shd w:val="clear" w:color="auto" w:fill="auto"/>
            <w:vAlign w:val="center"/>
          </w:tcPr>
          <w:p w14:paraId="1902F6DC" w14:textId="77777777" w:rsidR="00557C9C" w:rsidRPr="00A57B36" w:rsidRDefault="00557C9C" w:rsidP="00A57B36">
            <w:pPr>
              <w:pStyle w:val="ListParagraph"/>
              <w:keepNext/>
              <w:spacing w:after="0"/>
              <w:ind w:left="0"/>
              <w:contextualSpacing w:val="0"/>
              <w:jc w:val="center"/>
              <w:rPr>
                <w:rFonts w:ascii="Arial" w:eastAsia="Times New Roman" w:hAnsi="Arial" w:cs="Arial"/>
                <w:b/>
                <w:sz w:val="24"/>
                <w:szCs w:val="24"/>
              </w:rPr>
            </w:pPr>
            <w:r w:rsidRPr="00A57B36">
              <w:rPr>
                <w:rFonts w:ascii="Arial" w:eastAsia="Times New Roman" w:hAnsi="Arial" w:cs="Arial"/>
                <w:b/>
                <w:sz w:val="24"/>
                <w:szCs w:val="24"/>
              </w:rPr>
              <w:t>Cash limit</w:t>
            </w:r>
          </w:p>
        </w:tc>
      </w:tr>
      <w:tr w:rsidR="00B545F4" w:rsidRPr="00A57B36" w14:paraId="71F891B9" w14:textId="77777777" w:rsidTr="00B545F4">
        <w:trPr>
          <w:trHeight w:val="340"/>
        </w:trPr>
        <w:tc>
          <w:tcPr>
            <w:tcW w:w="6662" w:type="dxa"/>
            <w:shd w:val="clear" w:color="auto" w:fill="auto"/>
            <w:vAlign w:val="center"/>
          </w:tcPr>
          <w:p w14:paraId="213126C5" w14:textId="77777777" w:rsidR="00557C9C" w:rsidRPr="00A57B36" w:rsidRDefault="00557C9C" w:rsidP="00A57B36">
            <w:pPr>
              <w:pStyle w:val="ListParagraph"/>
              <w:keepNext/>
              <w:spacing w:after="0"/>
              <w:ind w:left="0"/>
              <w:contextualSpacing w:val="0"/>
              <w:rPr>
                <w:rFonts w:ascii="Arial" w:eastAsia="Times New Roman" w:hAnsi="Arial" w:cs="Arial"/>
                <w:sz w:val="24"/>
                <w:szCs w:val="24"/>
              </w:rPr>
            </w:pPr>
            <w:r w:rsidRPr="00A57B36">
              <w:rPr>
                <w:rFonts w:ascii="Arial" w:eastAsia="Times New Roman" w:hAnsi="Arial" w:cs="Arial"/>
                <w:sz w:val="24"/>
                <w:szCs w:val="24"/>
              </w:rPr>
              <w:t>Any single organisation, except the UK Central Government</w:t>
            </w:r>
          </w:p>
        </w:tc>
        <w:tc>
          <w:tcPr>
            <w:tcW w:w="2268" w:type="dxa"/>
            <w:shd w:val="clear" w:color="auto" w:fill="auto"/>
            <w:vAlign w:val="center"/>
          </w:tcPr>
          <w:p w14:paraId="75A910DB" w14:textId="77777777" w:rsidR="00557C9C" w:rsidRPr="009E0D72" w:rsidRDefault="00557C9C" w:rsidP="00A57B36">
            <w:pPr>
              <w:pStyle w:val="ListParagraph"/>
              <w:keepNext/>
              <w:spacing w:after="0"/>
              <w:ind w:left="0"/>
              <w:contextualSpacing w:val="0"/>
              <w:jc w:val="center"/>
              <w:rPr>
                <w:rFonts w:ascii="Arial" w:eastAsia="Times New Roman" w:hAnsi="Arial" w:cs="Arial"/>
                <w:sz w:val="24"/>
                <w:szCs w:val="24"/>
              </w:rPr>
            </w:pPr>
            <w:r w:rsidRPr="009E0D72">
              <w:rPr>
                <w:rFonts w:ascii="Arial" w:hAnsi="Arial" w:cs="Arial"/>
                <w:sz w:val="24"/>
                <w:szCs w:val="24"/>
              </w:rPr>
              <w:t>£</w:t>
            </w:r>
            <w:r w:rsidR="003570BE" w:rsidRPr="009E0D72">
              <w:rPr>
                <w:rFonts w:ascii="Arial" w:hAnsi="Arial" w:cs="Arial"/>
                <w:sz w:val="24"/>
                <w:szCs w:val="24"/>
              </w:rPr>
              <w:t>1</w:t>
            </w:r>
            <w:r w:rsidR="00A57B36" w:rsidRPr="009E0D72">
              <w:rPr>
                <w:rFonts w:ascii="Arial" w:hAnsi="Arial" w:cs="Arial"/>
                <w:sz w:val="24"/>
                <w:szCs w:val="24"/>
              </w:rPr>
              <w:t>0</w:t>
            </w:r>
            <w:r w:rsidRPr="009E0D72">
              <w:rPr>
                <w:rFonts w:ascii="Arial" w:hAnsi="Arial" w:cs="Arial"/>
                <w:sz w:val="24"/>
                <w:szCs w:val="24"/>
              </w:rPr>
              <w:t>m</w:t>
            </w:r>
            <w:r w:rsidRPr="009E0D72">
              <w:rPr>
                <w:rFonts w:ascii="Arial" w:eastAsia="Times New Roman" w:hAnsi="Arial" w:cs="Arial"/>
                <w:sz w:val="24"/>
                <w:szCs w:val="24"/>
              </w:rPr>
              <w:t xml:space="preserve"> each</w:t>
            </w:r>
          </w:p>
        </w:tc>
      </w:tr>
      <w:tr w:rsidR="00B545F4" w:rsidRPr="00A57B36" w14:paraId="729FFAC6" w14:textId="77777777" w:rsidTr="00B545F4">
        <w:trPr>
          <w:trHeight w:val="340"/>
        </w:trPr>
        <w:tc>
          <w:tcPr>
            <w:tcW w:w="6662" w:type="dxa"/>
            <w:shd w:val="clear" w:color="auto" w:fill="auto"/>
            <w:vAlign w:val="center"/>
          </w:tcPr>
          <w:p w14:paraId="67FB6343" w14:textId="77777777" w:rsidR="00557C9C" w:rsidRPr="00A57B36" w:rsidRDefault="00557C9C" w:rsidP="00A57B36">
            <w:pPr>
              <w:pStyle w:val="ListParagraph"/>
              <w:keepNext/>
              <w:spacing w:after="0"/>
              <w:ind w:left="0"/>
              <w:contextualSpacing w:val="0"/>
              <w:rPr>
                <w:rFonts w:ascii="Arial" w:eastAsia="Times New Roman" w:hAnsi="Arial" w:cs="Arial"/>
                <w:sz w:val="24"/>
                <w:szCs w:val="24"/>
              </w:rPr>
            </w:pPr>
            <w:r w:rsidRPr="00A57B36">
              <w:rPr>
                <w:rFonts w:ascii="Arial" w:eastAsia="Times New Roman" w:hAnsi="Arial" w:cs="Arial"/>
                <w:sz w:val="24"/>
                <w:szCs w:val="24"/>
              </w:rPr>
              <w:t>UK Central Government</w:t>
            </w:r>
          </w:p>
        </w:tc>
        <w:tc>
          <w:tcPr>
            <w:tcW w:w="2268" w:type="dxa"/>
            <w:shd w:val="clear" w:color="auto" w:fill="auto"/>
            <w:vAlign w:val="center"/>
          </w:tcPr>
          <w:p w14:paraId="321BE153" w14:textId="77777777" w:rsidR="00557C9C" w:rsidRPr="009E0D72" w:rsidRDefault="00557C9C" w:rsidP="00A57B36">
            <w:pPr>
              <w:pStyle w:val="ListParagraph"/>
              <w:keepNext/>
              <w:spacing w:after="0"/>
              <w:ind w:left="0"/>
              <w:contextualSpacing w:val="0"/>
              <w:jc w:val="center"/>
              <w:rPr>
                <w:rFonts w:ascii="Arial" w:eastAsia="Times New Roman" w:hAnsi="Arial" w:cs="Arial"/>
                <w:sz w:val="24"/>
                <w:szCs w:val="24"/>
              </w:rPr>
            </w:pPr>
            <w:r w:rsidRPr="009E0D72">
              <w:rPr>
                <w:rFonts w:ascii="Arial" w:eastAsia="Times New Roman" w:hAnsi="Arial" w:cs="Arial"/>
                <w:sz w:val="24"/>
                <w:szCs w:val="24"/>
              </w:rPr>
              <w:t>unlimited</w:t>
            </w:r>
          </w:p>
        </w:tc>
      </w:tr>
      <w:tr w:rsidR="00B545F4" w:rsidRPr="00A57B36" w14:paraId="2A899D75" w14:textId="77777777" w:rsidTr="00B545F4">
        <w:trPr>
          <w:trHeight w:val="340"/>
        </w:trPr>
        <w:tc>
          <w:tcPr>
            <w:tcW w:w="6662" w:type="dxa"/>
            <w:shd w:val="clear" w:color="auto" w:fill="auto"/>
            <w:vAlign w:val="center"/>
          </w:tcPr>
          <w:p w14:paraId="7E648506" w14:textId="77777777" w:rsidR="00557C9C" w:rsidRPr="00A57B36" w:rsidRDefault="00557C9C" w:rsidP="00A57B36">
            <w:pPr>
              <w:pStyle w:val="ListParagraph"/>
              <w:keepNext/>
              <w:spacing w:after="0"/>
              <w:ind w:left="0"/>
              <w:contextualSpacing w:val="0"/>
              <w:rPr>
                <w:rFonts w:ascii="Arial" w:eastAsia="Times New Roman" w:hAnsi="Arial" w:cs="Arial"/>
                <w:sz w:val="24"/>
                <w:szCs w:val="24"/>
              </w:rPr>
            </w:pPr>
            <w:r w:rsidRPr="00A57B36">
              <w:rPr>
                <w:rFonts w:ascii="Arial" w:eastAsia="Times New Roman" w:hAnsi="Arial" w:cs="Arial"/>
                <w:sz w:val="24"/>
                <w:szCs w:val="24"/>
              </w:rPr>
              <w:t>Any group of organisations under the same ownership</w:t>
            </w:r>
          </w:p>
        </w:tc>
        <w:tc>
          <w:tcPr>
            <w:tcW w:w="2268" w:type="dxa"/>
            <w:shd w:val="clear" w:color="auto" w:fill="auto"/>
            <w:vAlign w:val="center"/>
          </w:tcPr>
          <w:p w14:paraId="71502433" w14:textId="77777777" w:rsidR="00557C9C" w:rsidRPr="009E0D72" w:rsidRDefault="00557C9C" w:rsidP="00A57B36">
            <w:pPr>
              <w:pStyle w:val="ListParagraph"/>
              <w:keepNext/>
              <w:spacing w:after="0"/>
              <w:ind w:left="0"/>
              <w:contextualSpacing w:val="0"/>
              <w:jc w:val="center"/>
              <w:rPr>
                <w:rFonts w:ascii="Arial" w:eastAsia="Times New Roman" w:hAnsi="Arial" w:cs="Arial"/>
                <w:sz w:val="24"/>
                <w:szCs w:val="24"/>
              </w:rPr>
            </w:pPr>
            <w:r w:rsidRPr="009E0D72">
              <w:rPr>
                <w:rFonts w:ascii="Arial" w:hAnsi="Arial" w:cs="Arial"/>
                <w:sz w:val="24"/>
                <w:szCs w:val="24"/>
              </w:rPr>
              <w:t>£</w:t>
            </w:r>
            <w:r w:rsidR="003570BE" w:rsidRPr="009E0D72">
              <w:rPr>
                <w:rFonts w:ascii="Arial" w:hAnsi="Arial" w:cs="Arial"/>
                <w:sz w:val="24"/>
                <w:szCs w:val="24"/>
              </w:rPr>
              <w:t>1</w:t>
            </w:r>
            <w:r w:rsidR="00A57B36" w:rsidRPr="009E0D72">
              <w:rPr>
                <w:rFonts w:ascii="Arial" w:hAnsi="Arial" w:cs="Arial"/>
                <w:sz w:val="24"/>
                <w:szCs w:val="24"/>
              </w:rPr>
              <w:t>0</w:t>
            </w:r>
            <w:r w:rsidRPr="009E0D72">
              <w:rPr>
                <w:rFonts w:ascii="Arial" w:hAnsi="Arial" w:cs="Arial"/>
                <w:sz w:val="24"/>
                <w:szCs w:val="24"/>
              </w:rPr>
              <w:t>m</w:t>
            </w:r>
            <w:r w:rsidRPr="009E0D72">
              <w:rPr>
                <w:rFonts w:ascii="Arial" w:eastAsia="Times New Roman" w:hAnsi="Arial" w:cs="Arial"/>
                <w:sz w:val="24"/>
                <w:szCs w:val="24"/>
              </w:rPr>
              <w:t xml:space="preserve"> per group</w:t>
            </w:r>
          </w:p>
        </w:tc>
      </w:tr>
      <w:tr w:rsidR="00B545F4" w:rsidRPr="00A57B36" w14:paraId="07154F7D" w14:textId="77777777" w:rsidTr="00B545F4">
        <w:trPr>
          <w:trHeight w:val="340"/>
        </w:trPr>
        <w:tc>
          <w:tcPr>
            <w:tcW w:w="6662" w:type="dxa"/>
            <w:shd w:val="clear" w:color="auto" w:fill="auto"/>
            <w:vAlign w:val="center"/>
          </w:tcPr>
          <w:p w14:paraId="7C6A5EC0" w14:textId="77777777" w:rsidR="00557C9C" w:rsidRPr="00A57B36" w:rsidRDefault="00557C9C" w:rsidP="00A57B36">
            <w:pPr>
              <w:pStyle w:val="ListParagraph"/>
              <w:keepNext/>
              <w:spacing w:after="0"/>
              <w:ind w:left="0"/>
              <w:contextualSpacing w:val="0"/>
              <w:rPr>
                <w:rFonts w:ascii="Arial" w:eastAsia="Times New Roman" w:hAnsi="Arial" w:cs="Arial"/>
                <w:sz w:val="24"/>
                <w:szCs w:val="24"/>
              </w:rPr>
            </w:pPr>
            <w:r w:rsidRPr="00A57B36">
              <w:rPr>
                <w:rFonts w:ascii="Arial" w:eastAsia="Times New Roman" w:hAnsi="Arial" w:cs="Arial"/>
                <w:sz w:val="24"/>
                <w:szCs w:val="24"/>
              </w:rPr>
              <w:t>Any group of pooled funds under the same management</w:t>
            </w:r>
          </w:p>
        </w:tc>
        <w:tc>
          <w:tcPr>
            <w:tcW w:w="2268" w:type="dxa"/>
            <w:shd w:val="clear" w:color="auto" w:fill="auto"/>
            <w:vAlign w:val="center"/>
          </w:tcPr>
          <w:p w14:paraId="17C1F65F" w14:textId="77777777" w:rsidR="00557C9C" w:rsidRPr="009E0D72" w:rsidRDefault="00557C9C" w:rsidP="00A57B36">
            <w:pPr>
              <w:pStyle w:val="ListParagraph"/>
              <w:keepNext/>
              <w:spacing w:after="0"/>
              <w:ind w:left="0"/>
              <w:contextualSpacing w:val="0"/>
              <w:jc w:val="center"/>
              <w:rPr>
                <w:rFonts w:ascii="Arial" w:eastAsia="Times New Roman" w:hAnsi="Arial" w:cs="Arial"/>
                <w:sz w:val="24"/>
                <w:szCs w:val="24"/>
              </w:rPr>
            </w:pPr>
            <w:r w:rsidRPr="009E0D72">
              <w:rPr>
                <w:rFonts w:ascii="Arial" w:hAnsi="Arial" w:cs="Arial"/>
                <w:sz w:val="24"/>
                <w:szCs w:val="24"/>
              </w:rPr>
              <w:t>£</w:t>
            </w:r>
            <w:r w:rsidR="003570BE" w:rsidRPr="009E0D72">
              <w:rPr>
                <w:rFonts w:ascii="Arial" w:hAnsi="Arial" w:cs="Arial"/>
                <w:sz w:val="24"/>
                <w:szCs w:val="24"/>
              </w:rPr>
              <w:t>1</w:t>
            </w:r>
            <w:r w:rsidR="00A57B36" w:rsidRPr="009E0D72">
              <w:rPr>
                <w:rFonts w:ascii="Arial" w:hAnsi="Arial" w:cs="Arial"/>
                <w:sz w:val="24"/>
                <w:szCs w:val="24"/>
              </w:rPr>
              <w:t>0</w:t>
            </w:r>
            <w:r w:rsidRPr="009E0D72">
              <w:rPr>
                <w:rFonts w:ascii="Arial" w:hAnsi="Arial" w:cs="Arial"/>
                <w:sz w:val="24"/>
                <w:szCs w:val="24"/>
              </w:rPr>
              <w:t>m</w:t>
            </w:r>
            <w:r w:rsidRPr="009E0D72">
              <w:rPr>
                <w:rFonts w:ascii="Arial" w:eastAsia="Times New Roman" w:hAnsi="Arial" w:cs="Arial"/>
                <w:sz w:val="24"/>
                <w:szCs w:val="24"/>
              </w:rPr>
              <w:t xml:space="preserve"> per manager</w:t>
            </w:r>
          </w:p>
        </w:tc>
      </w:tr>
      <w:tr w:rsidR="00B545F4" w:rsidRPr="00A57B36" w14:paraId="0402AD9A" w14:textId="77777777" w:rsidTr="00B545F4">
        <w:trPr>
          <w:trHeight w:val="340"/>
        </w:trPr>
        <w:tc>
          <w:tcPr>
            <w:tcW w:w="6662" w:type="dxa"/>
            <w:shd w:val="clear" w:color="auto" w:fill="auto"/>
            <w:vAlign w:val="center"/>
          </w:tcPr>
          <w:p w14:paraId="579731FF" w14:textId="77777777" w:rsidR="00557C9C" w:rsidRPr="00A57B36" w:rsidRDefault="00557C9C" w:rsidP="00A57B36">
            <w:pPr>
              <w:pStyle w:val="ListParagraph"/>
              <w:keepNext/>
              <w:spacing w:after="0"/>
              <w:ind w:left="0"/>
              <w:contextualSpacing w:val="0"/>
              <w:rPr>
                <w:rFonts w:ascii="Arial" w:eastAsia="Times New Roman" w:hAnsi="Arial" w:cs="Arial"/>
                <w:sz w:val="24"/>
                <w:szCs w:val="24"/>
              </w:rPr>
            </w:pPr>
            <w:r w:rsidRPr="00A57B36">
              <w:rPr>
                <w:rFonts w:ascii="Arial" w:eastAsia="Times New Roman" w:hAnsi="Arial" w:cs="Arial"/>
                <w:sz w:val="24"/>
                <w:szCs w:val="24"/>
              </w:rPr>
              <w:t>Registered Providers</w:t>
            </w:r>
          </w:p>
        </w:tc>
        <w:tc>
          <w:tcPr>
            <w:tcW w:w="2268" w:type="dxa"/>
            <w:shd w:val="clear" w:color="auto" w:fill="auto"/>
            <w:vAlign w:val="center"/>
          </w:tcPr>
          <w:p w14:paraId="5E65D755" w14:textId="77777777" w:rsidR="00557C9C" w:rsidRPr="009E0D72" w:rsidRDefault="00557C9C" w:rsidP="00A57B36">
            <w:pPr>
              <w:pStyle w:val="ListParagraph"/>
              <w:keepNext/>
              <w:spacing w:after="0"/>
              <w:ind w:left="0"/>
              <w:contextualSpacing w:val="0"/>
              <w:jc w:val="center"/>
              <w:rPr>
                <w:rFonts w:ascii="Arial" w:eastAsia="Times New Roman" w:hAnsi="Arial" w:cs="Arial"/>
                <w:sz w:val="24"/>
                <w:szCs w:val="24"/>
              </w:rPr>
            </w:pPr>
            <w:r w:rsidRPr="009E0D72">
              <w:rPr>
                <w:rFonts w:ascii="Arial" w:hAnsi="Arial" w:cs="Arial"/>
                <w:sz w:val="24"/>
                <w:szCs w:val="24"/>
              </w:rPr>
              <w:t>£</w:t>
            </w:r>
            <w:r w:rsidR="003570BE" w:rsidRPr="009E0D72">
              <w:rPr>
                <w:rFonts w:ascii="Arial" w:hAnsi="Arial" w:cs="Arial"/>
                <w:sz w:val="24"/>
                <w:szCs w:val="24"/>
              </w:rPr>
              <w:t>1</w:t>
            </w:r>
            <w:r w:rsidR="00A57B36" w:rsidRPr="009E0D72">
              <w:rPr>
                <w:rFonts w:ascii="Arial" w:hAnsi="Arial" w:cs="Arial"/>
                <w:sz w:val="24"/>
                <w:szCs w:val="24"/>
              </w:rPr>
              <w:t>0</w:t>
            </w:r>
            <w:r w:rsidRPr="009E0D72">
              <w:rPr>
                <w:rFonts w:ascii="Arial" w:hAnsi="Arial" w:cs="Arial"/>
                <w:sz w:val="24"/>
                <w:szCs w:val="24"/>
              </w:rPr>
              <w:t>m</w:t>
            </w:r>
            <w:r w:rsidRPr="009E0D72">
              <w:rPr>
                <w:rFonts w:ascii="Arial" w:eastAsia="Times New Roman" w:hAnsi="Arial" w:cs="Arial"/>
                <w:sz w:val="24"/>
                <w:szCs w:val="24"/>
              </w:rPr>
              <w:t xml:space="preserve"> in total</w:t>
            </w:r>
          </w:p>
        </w:tc>
      </w:tr>
      <w:tr w:rsidR="00B545F4" w:rsidRPr="00A57B36" w14:paraId="6A553930" w14:textId="77777777" w:rsidTr="00B545F4">
        <w:trPr>
          <w:trHeight w:val="340"/>
        </w:trPr>
        <w:tc>
          <w:tcPr>
            <w:tcW w:w="6662" w:type="dxa"/>
            <w:shd w:val="clear" w:color="auto" w:fill="auto"/>
            <w:vAlign w:val="center"/>
          </w:tcPr>
          <w:p w14:paraId="75CA98A0" w14:textId="77777777" w:rsidR="00557C9C" w:rsidRPr="00A57B36" w:rsidRDefault="00557C9C" w:rsidP="00A57B36">
            <w:pPr>
              <w:pStyle w:val="ListParagraph"/>
              <w:keepNext/>
              <w:spacing w:after="0"/>
              <w:ind w:left="0"/>
              <w:contextualSpacing w:val="0"/>
              <w:rPr>
                <w:rFonts w:ascii="Arial" w:eastAsia="Times New Roman" w:hAnsi="Arial" w:cs="Arial"/>
                <w:sz w:val="24"/>
                <w:szCs w:val="24"/>
              </w:rPr>
            </w:pPr>
            <w:r w:rsidRPr="00A57B36">
              <w:rPr>
                <w:rFonts w:ascii="Arial" w:eastAsia="Times New Roman" w:hAnsi="Arial" w:cs="Arial"/>
                <w:sz w:val="24"/>
                <w:szCs w:val="24"/>
              </w:rPr>
              <w:t>Money Market Funds</w:t>
            </w:r>
          </w:p>
        </w:tc>
        <w:tc>
          <w:tcPr>
            <w:tcW w:w="2268" w:type="dxa"/>
            <w:shd w:val="clear" w:color="auto" w:fill="auto"/>
            <w:vAlign w:val="center"/>
          </w:tcPr>
          <w:p w14:paraId="784E2E5A" w14:textId="77777777" w:rsidR="00557C9C" w:rsidRPr="009E0D72" w:rsidRDefault="00557C9C" w:rsidP="00A57B36">
            <w:pPr>
              <w:pStyle w:val="ListParagraph"/>
              <w:keepNext/>
              <w:spacing w:after="0"/>
              <w:ind w:left="0"/>
              <w:contextualSpacing w:val="0"/>
              <w:jc w:val="center"/>
              <w:rPr>
                <w:rFonts w:ascii="Arial" w:eastAsia="Times New Roman" w:hAnsi="Arial" w:cs="Arial"/>
                <w:sz w:val="24"/>
                <w:szCs w:val="24"/>
              </w:rPr>
            </w:pPr>
            <w:r w:rsidRPr="009E0D72">
              <w:rPr>
                <w:rFonts w:ascii="Arial" w:hAnsi="Arial" w:cs="Arial"/>
                <w:sz w:val="24"/>
                <w:szCs w:val="24"/>
              </w:rPr>
              <w:t>50%</w:t>
            </w:r>
            <w:r w:rsidRPr="009E0D72">
              <w:rPr>
                <w:rFonts w:ascii="Arial" w:eastAsia="Times New Roman" w:hAnsi="Arial" w:cs="Arial"/>
                <w:sz w:val="24"/>
                <w:szCs w:val="24"/>
              </w:rPr>
              <w:t xml:space="preserve"> in total</w:t>
            </w:r>
          </w:p>
        </w:tc>
      </w:tr>
      <w:tr w:rsidR="00B545F4" w:rsidRPr="00A57B36" w14:paraId="387DA504" w14:textId="77777777" w:rsidTr="00B545F4">
        <w:trPr>
          <w:trHeight w:val="340"/>
        </w:trPr>
        <w:tc>
          <w:tcPr>
            <w:tcW w:w="6662" w:type="dxa"/>
            <w:shd w:val="clear" w:color="auto" w:fill="auto"/>
            <w:vAlign w:val="center"/>
          </w:tcPr>
          <w:p w14:paraId="627FE870" w14:textId="77777777" w:rsidR="00557C9C" w:rsidRPr="00A57B36" w:rsidRDefault="00557C9C" w:rsidP="00A57B36">
            <w:pPr>
              <w:pStyle w:val="ListParagraph"/>
              <w:keepNext/>
              <w:spacing w:after="0"/>
              <w:ind w:left="0"/>
              <w:contextualSpacing w:val="0"/>
              <w:rPr>
                <w:rFonts w:ascii="Arial" w:eastAsia="Times New Roman" w:hAnsi="Arial" w:cs="Arial"/>
                <w:sz w:val="24"/>
                <w:szCs w:val="24"/>
              </w:rPr>
            </w:pPr>
          </w:p>
        </w:tc>
        <w:tc>
          <w:tcPr>
            <w:tcW w:w="2268" w:type="dxa"/>
            <w:shd w:val="clear" w:color="auto" w:fill="auto"/>
            <w:vAlign w:val="center"/>
          </w:tcPr>
          <w:p w14:paraId="6004F025" w14:textId="77777777" w:rsidR="00557C9C" w:rsidRPr="00A57B36" w:rsidRDefault="00557C9C" w:rsidP="00A57B36">
            <w:pPr>
              <w:pStyle w:val="ListParagraph"/>
              <w:keepNext/>
              <w:spacing w:after="0"/>
              <w:ind w:left="0"/>
              <w:contextualSpacing w:val="0"/>
              <w:jc w:val="center"/>
              <w:rPr>
                <w:rFonts w:ascii="Arial" w:hAnsi="Arial" w:cs="Arial"/>
                <w:sz w:val="24"/>
                <w:szCs w:val="24"/>
              </w:rPr>
            </w:pPr>
          </w:p>
        </w:tc>
      </w:tr>
    </w:tbl>
    <w:p w14:paraId="473061AB" w14:textId="77777777" w:rsidR="00557C9C" w:rsidRPr="00A57B36" w:rsidRDefault="00557C9C" w:rsidP="00A57B36">
      <w:pPr>
        <w:pStyle w:val="ListParagraph"/>
        <w:spacing w:after="240" w:line="240" w:lineRule="auto"/>
        <w:contextualSpacing w:val="0"/>
        <w:rPr>
          <w:rFonts w:ascii="Arial" w:hAnsi="Arial" w:cs="Arial"/>
          <w:b/>
          <w:sz w:val="24"/>
          <w:szCs w:val="24"/>
        </w:rPr>
      </w:pPr>
      <w:r w:rsidRPr="00A57B36">
        <w:rPr>
          <w:rFonts w:ascii="Arial" w:hAnsi="Arial" w:cs="Arial"/>
          <w:b/>
          <w:sz w:val="24"/>
          <w:szCs w:val="24"/>
        </w:rPr>
        <w:t>Approved Counterparties</w:t>
      </w:r>
    </w:p>
    <w:p w14:paraId="261FC772" w14:textId="4EA56236" w:rsidR="0026017D" w:rsidRPr="00A57B36" w:rsidRDefault="005015C4"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T</w:t>
      </w:r>
      <w:r w:rsidR="00557C9C" w:rsidRPr="00A57B36">
        <w:rPr>
          <w:rFonts w:ascii="Arial" w:hAnsi="Arial" w:cs="Arial"/>
          <w:sz w:val="24"/>
          <w:szCs w:val="24"/>
        </w:rPr>
        <w:t>he OPCC</w:t>
      </w:r>
      <w:r w:rsidR="00213B39" w:rsidRPr="00A57B36">
        <w:rPr>
          <w:rFonts w:ascii="Arial" w:hAnsi="Arial" w:cs="Arial"/>
          <w:sz w:val="24"/>
          <w:szCs w:val="24"/>
        </w:rPr>
        <w:t xml:space="preserve"> </w:t>
      </w:r>
      <w:r w:rsidRPr="00A57B36">
        <w:rPr>
          <w:rFonts w:ascii="Arial" w:hAnsi="Arial" w:cs="Arial"/>
          <w:sz w:val="24"/>
          <w:szCs w:val="24"/>
        </w:rPr>
        <w:t>may invest its surplus funds with any of the counterpart</w:t>
      </w:r>
      <w:r w:rsidR="00322900" w:rsidRPr="00A57B36">
        <w:rPr>
          <w:rFonts w:ascii="Arial" w:hAnsi="Arial" w:cs="Arial"/>
          <w:sz w:val="24"/>
          <w:szCs w:val="24"/>
        </w:rPr>
        <w:t>y types</w:t>
      </w:r>
      <w:r w:rsidR="00557C9C" w:rsidRPr="00A57B36">
        <w:rPr>
          <w:rFonts w:ascii="Arial" w:hAnsi="Arial" w:cs="Arial"/>
          <w:sz w:val="24"/>
          <w:szCs w:val="24"/>
        </w:rPr>
        <w:t xml:space="preserve"> in T</w:t>
      </w:r>
      <w:r w:rsidR="008D0592" w:rsidRPr="00A57B36">
        <w:rPr>
          <w:rFonts w:ascii="Arial" w:hAnsi="Arial" w:cs="Arial"/>
          <w:sz w:val="24"/>
          <w:szCs w:val="24"/>
        </w:rPr>
        <w:t xml:space="preserve">able </w:t>
      </w:r>
      <w:r w:rsidR="00CD084A">
        <w:rPr>
          <w:rFonts w:ascii="Arial" w:hAnsi="Arial" w:cs="Arial"/>
          <w:sz w:val="24"/>
          <w:szCs w:val="24"/>
        </w:rPr>
        <w:t>5</w:t>
      </w:r>
      <w:r w:rsidR="008D0592" w:rsidRPr="00A57B36">
        <w:rPr>
          <w:rFonts w:ascii="Arial" w:hAnsi="Arial" w:cs="Arial"/>
          <w:sz w:val="24"/>
          <w:szCs w:val="24"/>
        </w:rPr>
        <w:t xml:space="preserve"> below</w:t>
      </w:r>
      <w:r w:rsidRPr="00A57B36">
        <w:rPr>
          <w:rFonts w:ascii="Arial" w:hAnsi="Arial" w:cs="Arial"/>
          <w:sz w:val="24"/>
          <w:szCs w:val="24"/>
        </w:rPr>
        <w:t xml:space="preserve">, subject to the cash </w:t>
      </w:r>
      <w:r w:rsidR="00322900" w:rsidRPr="00A57B36">
        <w:rPr>
          <w:rFonts w:ascii="Arial" w:hAnsi="Arial" w:cs="Arial"/>
          <w:sz w:val="24"/>
          <w:szCs w:val="24"/>
        </w:rPr>
        <w:t xml:space="preserve">limits (per counterparty) </w:t>
      </w:r>
      <w:r w:rsidRPr="00A57B36">
        <w:rPr>
          <w:rFonts w:ascii="Arial" w:hAnsi="Arial" w:cs="Arial"/>
          <w:sz w:val="24"/>
          <w:szCs w:val="24"/>
        </w:rPr>
        <w:t xml:space="preserve">and </w:t>
      </w:r>
      <w:r w:rsidR="00322900" w:rsidRPr="00A57B36">
        <w:rPr>
          <w:rFonts w:ascii="Arial" w:hAnsi="Arial" w:cs="Arial"/>
          <w:sz w:val="24"/>
          <w:szCs w:val="24"/>
        </w:rPr>
        <w:t xml:space="preserve">the </w:t>
      </w:r>
      <w:r w:rsidRPr="00A57B36">
        <w:rPr>
          <w:rFonts w:ascii="Arial" w:hAnsi="Arial" w:cs="Arial"/>
          <w:sz w:val="24"/>
          <w:szCs w:val="24"/>
        </w:rPr>
        <w:t>time limits shown.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87"/>
        <w:gridCol w:w="1588"/>
        <w:gridCol w:w="1587"/>
        <w:gridCol w:w="1588"/>
        <w:gridCol w:w="1588"/>
      </w:tblGrid>
      <w:tr w:rsidR="00DB4E7A" w:rsidRPr="00A57B36" w14:paraId="42DBD1F8" w14:textId="77777777" w:rsidTr="00A202E4">
        <w:trPr>
          <w:trHeight w:val="397"/>
        </w:trPr>
        <w:tc>
          <w:tcPr>
            <w:tcW w:w="9606" w:type="dxa"/>
            <w:gridSpan w:val="6"/>
            <w:tcBorders>
              <w:top w:val="nil"/>
              <w:left w:val="nil"/>
              <w:bottom w:val="nil"/>
              <w:right w:val="nil"/>
            </w:tcBorders>
            <w:shd w:val="clear" w:color="auto" w:fill="auto"/>
            <w:vAlign w:val="center"/>
          </w:tcPr>
          <w:p w14:paraId="2C333097" w14:textId="0843102F" w:rsidR="00B545F4" w:rsidRPr="00A57B36" w:rsidRDefault="00337233" w:rsidP="00A57B36">
            <w:pPr>
              <w:keepNext/>
              <w:spacing w:after="240" w:line="240" w:lineRule="auto"/>
              <w:outlineLvl w:val="0"/>
              <w:rPr>
                <w:rFonts w:ascii="Arial" w:eastAsia="Times New Roman" w:hAnsi="Arial" w:cs="Arial"/>
                <w:b/>
                <w:sz w:val="24"/>
                <w:szCs w:val="24"/>
              </w:rPr>
            </w:pPr>
            <w:r w:rsidRPr="00A57B36">
              <w:rPr>
                <w:rFonts w:ascii="Arial" w:hAnsi="Arial" w:cs="Arial"/>
                <w:b/>
                <w:sz w:val="24"/>
                <w:szCs w:val="24"/>
              </w:rPr>
              <w:t xml:space="preserve">Table </w:t>
            </w:r>
            <w:r w:rsidR="00CD084A">
              <w:rPr>
                <w:rFonts w:ascii="Arial" w:hAnsi="Arial" w:cs="Arial"/>
                <w:b/>
                <w:sz w:val="24"/>
                <w:szCs w:val="24"/>
              </w:rPr>
              <w:t>5</w:t>
            </w:r>
            <w:r w:rsidR="00B545F4" w:rsidRPr="00A57B36">
              <w:rPr>
                <w:rFonts w:ascii="Arial" w:hAnsi="Arial" w:cs="Arial"/>
                <w:b/>
                <w:sz w:val="24"/>
                <w:szCs w:val="24"/>
              </w:rPr>
              <w:t>: Approved Investment Counterparties and Limits</w:t>
            </w:r>
          </w:p>
        </w:tc>
      </w:tr>
      <w:tr w:rsidR="00A202E4" w:rsidRPr="00A57B36" w14:paraId="714DBFF1" w14:textId="77777777" w:rsidTr="00DE289B">
        <w:trPr>
          <w:trHeight w:val="397"/>
        </w:trPr>
        <w:tc>
          <w:tcPr>
            <w:tcW w:w="1668" w:type="dxa"/>
            <w:tcBorders>
              <w:top w:val="single" w:sz="4" w:space="0" w:color="auto"/>
            </w:tcBorders>
            <w:shd w:val="clear" w:color="auto" w:fill="auto"/>
            <w:vAlign w:val="center"/>
          </w:tcPr>
          <w:p w14:paraId="0612EB04" w14:textId="77777777" w:rsidR="00A202E4" w:rsidRPr="00A57B36" w:rsidRDefault="00A202E4" w:rsidP="00A57B36">
            <w:pPr>
              <w:pStyle w:val="ListParagraph"/>
              <w:keepNext/>
              <w:spacing w:after="0"/>
              <w:ind w:left="0"/>
              <w:contextualSpacing w:val="0"/>
              <w:jc w:val="center"/>
              <w:rPr>
                <w:rFonts w:ascii="Arial" w:eastAsia="Times New Roman" w:hAnsi="Arial" w:cs="Arial"/>
                <w:b/>
                <w:szCs w:val="24"/>
              </w:rPr>
            </w:pPr>
            <w:r w:rsidRPr="00A57B36">
              <w:rPr>
                <w:rFonts w:ascii="Arial" w:eastAsia="Times New Roman" w:hAnsi="Arial" w:cs="Arial"/>
                <w:b/>
                <w:szCs w:val="24"/>
              </w:rPr>
              <w:t>Credit Rating</w:t>
            </w:r>
          </w:p>
        </w:tc>
        <w:tc>
          <w:tcPr>
            <w:tcW w:w="1587" w:type="dxa"/>
            <w:tcBorders>
              <w:top w:val="single" w:sz="4" w:space="0" w:color="auto"/>
            </w:tcBorders>
            <w:shd w:val="clear" w:color="auto" w:fill="auto"/>
            <w:vAlign w:val="center"/>
          </w:tcPr>
          <w:p w14:paraId="1ECEBCB7" w14:textId="77777777" w:rsidR="00A202E4" w:rsidRPr="00A57B36" w:rsidRDefault="00A202E4" w:rsidP="00A57B36">
            <w:pPr>
              <w:pStyle w:val="ListParagraph"/>
              <w:keepNext/>
              <w:spacing w:after="0"/>
              <w:ind w:left="0"/>
              <w:contextualSpacing w:val="0"/>
              <w:jc w:val="center"/>
              <w:rPr>
                <w:rFonts w:ascii="Arial" w:eastAsia="Times New Roman" w:hAnsi="Arial" w:cs="Arial"/>
                <w:b/>
                <w:szCs w:val="24"/>
              </w:rPr>
            </w:pPr>
            <w:r w:rsidRPr="00A57B36">
              <w:rPr>
                <w:rFonts w:ascii="Arial" w:eastAsia="Times New Roman" w:hAnsi="Arial" w:cs="Arial"/>
                <w:b/>
                <w:szCs w:val="24"/>
              </w:rPr>
              <w:t>Banks Unsecured</w:t>
            </w:r>
          </w:p>
        </w:tc>
        <w:tc>
          <w:tcPr>
            <w:tcW w:w="1588" w:type="dxa"/>
            <w:tcBorders>
              <w:top w:val="single" w:sz="4" w:space="0" w:color="auto"/>
            </w:tcBorders>
            <w:shd w:val="clear" w:color="auto" w:fill="auto"/>
            <w:vAlign w:val="center"/>
          </w:tcPr>
          <w:p w14:paraId="7C2A7E29" w14:textId="77777777" w:rsidR="00A202E4" w:rsidRPr="00A57B36" w:rsidRDefault="00A202E4" w:rsidP="00A57B36">
            <w:pPr>
              <w:pStyle w:val="ListParagraph"/>
              <w:keepNext/>
              <w:spacing w:after="0"/>
              <w:ind w:left="0"/>
              <w:contextualSpacing w:val="0"/>
              <w:jc w:val="center"/>
              <w:rPr>
                <w:rFonts w:ascii="Arial" w:eastAsia="Times New Roman" w:hAnsi="Arial" w:cs="Arial"/>
                <w:b/>
                <w:szCs w:val="24"/>
              </w:rPr>
            </w:pPr>
            <w:r w:rsidRPr="00A57B36">
              <w:rPr>
                <w:rFonts w:ascii="Arial" w:eastAsia="Times New Roman" w:hAnsi="Arial" w:cs="Arial"/>
                <w:b/>
                <w:szCs w:val="24"/>
              </w:rPr>
              <w:t>Banks</w:t>
            </w:r>
          </w:p>
          <w:p w14:paraId="0536E841" w14:textId="77777777" w:rsidR="00A202E4" w:rsidRPr="00A57B36" w:rsidRDefault="00A202E4" w:rsidP="00A57B36">
            <w:pPr>
              <w:pStyle w:val="ListParagraph"/>
              <w:keepNext/>
              <w:spacing w:after="0"/>
              <w:ind w:left="0"/>
              <w:contextualSpacing w:val="0"/>
              <w:jc w:val="center"/>
              <w:rPr>
                <w:rFonts w:ascii="Arial" w:eastAsia="Times New Roman" w:hAnsi="Arial" w:cs="Arial"/>
                <w:b/>
                <w:szCs w:val="24"/>
              </w:rPr>
            </w:pPr>
            <w:r w:rsidRPr="00A57B36">
              <w:rPr>
                <w:rFonts w:ascii="Arial" w:eastAsia="Times New Roman" w:hAnsi="Arial" w:cs="Arial"/>
                <w:b/>
                <w:szCs w:val="24"/>
              </w:rPr>
              <w:t>Secured</w:t>
            </w:r>
          </w:p>
        </w:tc>
        <w:tc>
          <w:tcPr>
            <w:tcW w:w="1587" w:type="dxa"/>
            <w:tcBorders>
              <w:top w:val="single" w:sz="4" w:space="0" w:color="auto"/>
            </w:tcBorders>
            <w:shd w:val="clear" w:color="auto" w:fill="auto"/>
            <w:vAlign w:val="center"/>
          </w:tcPr>
          <w:p w14:paraId="2678B4BF" w14:textId="77777777" w:rsidR="00A202E4" w:rsidRPr="00A57B36" w:rsidRDefault="00A202E4" w:rsidP="00A57B36">
            <w:pPr>
              <w:pStyle w:val="ListParagraph"/>
              <w:keepNext/>
              <w:spacing w:after="0"/>
              <w:ind w:left="0"/>
              <w:contextualSpacing w:val="0"/>
              <w:jc w:val="center"/>
              <w:rPr>
                <w:rFonts w:ascii="Arial" w:eastAsia="Times New Roman" w:hAnsi="Arial" w:cs="Arial"/>
                <w:b/>
                <w:szCs w:val="24"/>
              </w:rPr>
            </w:pPr>
            <w:r w:rsidRPr="00A57B36">
              <w:rPr>
                <w:rFonts w:ascii="Arial" w:eastAsia="Times New Roman" w:hAnsi="Arial" w:cs="Arial"/>
                <w:b/>
                <w:szCs w:val="24"/>
              </w:rPr>
              <w:t>Government</w:t>
            </w:r>
          </w:p>
        </w:tc>
        <w:tc>
          <w:tcPr>
            <w:tcW w:w="1588" w:type="dxa"/>
            <w:tcBorders>
              <w:top w:val="single" w:sz="4" w:space="0" w:color="auto"/>
            </w:tcBorders>
            <w:vAlign w:val="center"/>
          </w:tcPr>
          <w:p w14:paraId="7FBAC086" w14:textId="77777777" w:rsidR="00A202E4" w:rsidRPr="00A57B36" w:rsidRDefault="00A202E4" w:rsidP="00A57B36">
            <w:pPr>
              <w:pStyle w:val="ListParagraph"/>
              <w:keepNext/>
              <w:spacing w:after="0"/>
              <w:ind w:left="0"/>
              <w:contextualSpacing w:val="0"/>
              <w:jc w:val="center"/>
              <w:rPr>
                <w:rFonts w:ascii="Arial" w:eastAsia="Times New Roman" w:hAnsi="Arial" w:cs="Arial"/>
                <w:b/>
                <w:szCs w:val="24"/>
              </w:rPr>
            </w:pPr>
            <w:r w:rsidRPr="00A57B36">
              <w:rPr>
                <w:rFonts w:ascii="Arial" w:eastAsia="Times New Roman" w:hAnsi="Arial" w:cs="Arial"/>
                <w:b/>
                <w:szCs w:val="24"/>
              </w:rPr>
              <w:t>Corporates</w:t>
            </w:r>
          </w:p>
        </w:tc>
        <w:tc>
          <w:tcPr>
            <w:tcW w:w="1588" w:type="dxa"/>
            <w:tcBorders>
              <w:top w:val="single" w:sz="4" w:space="0" w:color="auto"/>
            </w:tcBorders>
            <w:shd w:val="clear" w:color="auto" w:fill="auto"/>
            <w:vAlign w:val="center"/>
          </w:tcPr>
          <w:p w14:paraId="3A78DD46" w14:textId="1ACE2428" w:rsidR="00A202E4" w:rsidRPr="00A57B36" w:rsidRDefault="00A202E4" w:rsidP="00A57B36">
            <w:pPr>
              <w:pStyle w:val="ListParagraph"/>
              <w:keepNext/>
              <w:spacing w:after="0"/>
              <w:ind w:left="0"/>
              <w:contextualSpacing w:val="0"/>
              <w:jc w:val="center"/>
              <w:rPr>
                <w:rFonts w:ascii="Arial" w:eastAsia="Times New Roman" w:hAnsi="Arial" w:cs="Arial"/>
                <w:b/>
                <w:szCs w:val="24"/>
              </w:rPr>
            </w:pPr>
            <w:r w:rsidRPr="00A57B36">
              <w:rPr>
                <w:rFonts w:ascii="Arial" w:eastAsia="Times New Roman" w:hAnsi="Arial" w:cs="Arial"/>
                <w:b/>
                <w:szCs w:val="24"/>
              </w:rPr>
              <w:t xml:space="preserve">Registered Providers </w:t>
            </w:r>
          </w:p>
        </w:tc>
      </w:tr>
      <w:tr w:rsidR="00A202E4" w:rsidRPr="00A57B36" w14:paraId="764B1CBA" w14:textId="77777777" w:rsidTr="00DE289B">
        <w:trPr>
          <w:trHeight w:val="397"/>
        </w:trPr>
        <w:tc>
          <w:tcPr>
            <w:tcW w:w="1668" w:type="dxa"/>
            <w:shd w:val="clear" w:color="auto" w:fill="auto"/>
            <w:vAlign w:val="center"/>
          </w:tcPr>
          <w:p w14:paraId="4EC9749D" w14:textId="77777777" w:rsidR="00A202E4" w:rsidRPr="00A57B36" w:rsidRDefault="00A202E4" w:rsidP="00A57B36">
            <w:pPr>
              <w:pStyle w:val="ListParagraph"/>
              <w:keepNext/>
              <w:spacing w:after="0"/>
              <w:ind w:left="0"/>
              <w:contextualSpacing w:val="0"/>
              <w:jc w:val="center"/>
              <w:rPr>
                <w:rFonts w:ascii="Arial" w:eastAsia="Times New Roman" w:hAnsi="Arial" w:cs="Arial"/>
                <w:szCs w:val="24"/>
              </w:rPr>
            </w:pPr>
            <w:r w:rsidRPr="00A57B36">
              <w:rPr>
                <w:rFonts w:ascii="Arial" w:eastAsia="Times New Roman" w:hAnsi="Arial" w:cs="Arial"/>
                <w:szCs w:val="24"/>
              </w:rPr>
              <w:t>UK Govt</w:t>
            </w:r>
          </w:p>
        </w:tc>
        <w:tc>
          <w:tcPr>
            <w:tcW w:w="1587" w:type="dxa"/>
            <w:shd w:val="clear" w:color="auto" w:fill="auto"/>
            <w:vAlign w:val="center"/>
          </w:tcPr>
          <w:p w14:paraId="218B92D0"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n/a</w:t>
            </w:r>
          </w:p>
        </w:tc>
        <w:tc>
          <w:tcPr>
            <w:tcW w:w="1588" w:type="dxa"/>
            <w:shd w:val="clear" w:color="auto" w:fill="auto"/>
            <w:vAlign w:val="center"/>
          </w:tcPr>
          <w:p w14:paraId="028BFEFF"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n/a</w:t>
            </w:r>
          </w:p>
        </w:tc>
        <w:tc>
          <w:tcPr>
            <w:tcW w:w="1587" w:type="dxa"/>
            <w:shd w:val="clear" w:color="auto" w:fill="auto"/>
            <w:vAlign w:val="center"/>
          </w:tcPr>
          <w:p w14:paraId="4FC23069"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 Unlimited</w:t>
            </w:r>
          </w:p>
          <w:p w14:paraId="67C819B1"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30 years</w:t>
            </w:r>
          </w:p>
        </w:tc>
        <w:tc>
          <w:tcPr>
            <w:tcW w:w="1588" w:type="dxa"/>
            <w:vAlign w:val="center"/>
          </w:tcPr>
          <w:p w14:paraId="028E7B37"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n/a</w:t>
            </w:r>
          </w:p>
        </w:tc>
        <w:tc>
          <w:tcPr>
            <w:tcW w:w="1588" w:type="dxa"/>
            <w:shd w:val="clear" w:color="auto" w:fill="auto"/>
            <w:vAlign w:val="center"/>
          </w:tcPr>
          <w:p w14:paraId="2F198D47"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n/a</w:t>
            </w:r>
          </w:p>
        </w:tc>
      </w:tr>
      <w:tr w:rsidR="00A202E4" w:rsidRPr="00A57B36" w14:paraId="0F99FF14" w14:textId="77777777" w:rsidTr="00DE289B">
        <w:trPr>
          <w:trHeight w:val="397"/>
        </w:trPr>
        <w:tc>
          <w:tcPr>
            <w:tcW w:w="1668" w:type="dxa"/>
            <w:shd w:val="clear" w:color="auto" w:fill="auto"/>
            <w:vAlign w:val="center"/>
          </w:tcPr>
          <w:p w14:paraId="3A9A0A47" w14:textId="77777777" w:rsidR="00A202E4" w:rsidRPr="00A57B36" w:rsidRDefault="00A202E4" w:rsidP="00A57B36">
            <w:pPr>
              <w:pStyle w:val="ListParagraph"/>
              <w:keepNext/>
              <w:spacing w:after="0"/>
              <w:ind w:left="0"/>
              <w:contextualSpacing w:val="0"/>
              <w:jc w:val="center"/>
              <w:rPr>
                <w:rFonts w:ascii="Arial" w:eastAsia="Times New Roman" w:hAnsi="Arial" w:cs="Arial"/>
                <w:szCs w:val="24"/>
              </w:rPr>
            </w:pPr>
            <w:r w:rsidRPr="00A57B36">
              <w:rPr>
                <w:rFonts w:ascii="Arial" w:eastAsia="Times New Roman" w:hAnsi="Arial" w:cs="Arial"/>
                <w:szCs w:val="24"/>
              </w:rPr>
              <w:t>AAA</w:t>
            </w:r>
          </w:p>
        </w:tc>
        <w:tc>
          <w:tcPr>
            <w:tcW w:w="1587" w:type="dxa"/>
            <w:shd w:val="clear" w:color="auto" w:fill="auto"/>
            <w:vAlign w:val="center"/>
          </w:tcPr>
          <w:p w14:paraId="42891631"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20252BD2"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 xml:space="preserve"> 5 years</w:t>
            </w:r>
          </w:p>
        </w:tc>
        <w:tc>
          <w:tcPr>
            <w:tcW w:w="1588" w:type="dxa"/>
            <w:shd w:val="clear" w:color="auto" w:fill="auto"/>
            <w:vAlign w:val="center"/>
          </w:tcPr>
          <w:p w14:paraId="4D0EDED8"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£10m</w:t>
            </w:r>
          </w:p>
          <w:p w14:paraId="4E87F037"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20 years</w:t>
            </w:r>
          </w:p>
        </w:tc>
        <w:tc>
          <w:tcPr>
            <w:tcW w:w="1587" w:type="dxa"/>
            <w:shd w:val="clear" w:color="auto" w:fill="auto"/>
            <w:vAlign w:val="center"/>
          </w:tcPr>
          <w:p w14:paraId="50174F76"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£10m</w:t>
            </w:r>
          </w:p>
          <w:p w14:paraId="295047C5"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30 years</w:t>
            </w:r>
          </w:p>
        </w:tc>
        <w:tc>
          <w:tcPr>
            <w:tcW w:w="1588" w:type="dxa"/>
            <w:vAlign w:val="center"/>
          </w:tcPr>
          <w:p w14:paraId="07DE2B9C"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713BA762"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 xml:space="preserve"> 20 years</w:t>
            </w:r>
          </w:p>
        </w:tc>
        <w:tc>
          <w:tcPr>
            <w:tcW w:w="1588" w:type="dxa"/>
            <w:shd w:val="clear" w:color="auto" w:fill="auto"/>
            <w:vAlign w:val="center"/>
          </w:tcPr>
          <w:p w14:paraId="18913EC9"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172252F4"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 xml:space="preserve"> 20 years</w:t>
            </w:r>
          </w:p>
        </w:tc>
      </w:tr>
      <w:tr w:rsidR="00A202E4" w:rsidRPr="00A57B36" w14:paraId="2167B6C2" w14:textId="77777777" w:rsidTr="00DE289B">
        <w:trPr>
          <w:trHeight w:val="397"/>
        </w:trPr>
        <w:tc>
          <w:tcPr>
            <w:tcW w:w="1668" w:type="dxa"/>
            <w:shd w:val="clear" w:color="auto" w:fill="auto"/>
            <w:vAlign w:val="center"/>
          </w:tcPr>
          <w:p w14:paraId="21DB663A" w14:textId="77777777" w:rsidR="00A202E4" w:rsidRPr="00A57B36" w:rsidRDefault="00A202E4" w:rsidP="00A57B36">
            <w:pPr>
              <w:pStyle w:val="ListParagraph"/>
              <w:keepNext/>
              <w:spacing w:after="0"/>
              <w:ind w:left="0"/>
              <w:contextualSpacing w:val="0"/>
              <w:jc w:val="center"/>
              <w:rPr>
                <w:rFonts w:ascii="Arial" w:eastAsia="Times New Roman" w:hAnsi="Arial" w:cs="Arial"/>
                <w:szCs w:val="24"/>
              </w:rPr>
            </w:pPr>
            <w:r w:rsidRPr="00A57B36">
              <w:rPr>
                <w:rFonts w:ascii="Arial" w:eastAsia="Times New Roman" w:hAnsi="Arial" w:cs="Arial"/>
                <w:szCs w:val="24"/>
              </w:rPr>
              <w:t>AA+</w:t>
            </w:r>
          </w:p>
        </w:tc>
        <w:tc>
          <w:tcPr>
            <w:tcW w:w="1587" w:type="dxa"/>
            <w:shd w:val="clear" w:color="auto" w:fill="auto"/>
            <w:vAlign w:val="center"/>
          </w:tcPr>
          <w:p w14:paraId="78ED8F3E"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4C9D2500"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 years</w:t>
            </w:r>
          </w:p>
        </w:tc>
        <w:tc>
          <w:tcPr>
            <w:tcW w:w="1588" w:type="dxa"/>
            <w:shd w:val="clear" w:color="auto" w:fill="auto"/>
            <w:vAlign w:val="center"/>
          </w:tcPr>
          <w:p w14:paraId="43A144FF"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£10m</w:t>
            </w:r>
          </w:p>
          <w:p w14:paraId="1CE0B5DE"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 years</w:t>
            </w:r>
          </w:p>
        </w:tc>
        <w:tc>
          <w:tcPr>
            <w:tcW w:w="1587" w:type="dxa"/>
            <w:shd w:val="clear" w:color="auto" w:fill="auto"/>
            <w:vAlign w:val="center"/>
          </w:tcPr>
          <w:p w14:paraId="73ADC735"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£10m</w:t>
            </w:r>
          </w:p>
          <w:p w14:paraId="6CC039FB"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25 years</w:t>
            </w:r>
          </w:p>
        </w:tc>
        <w:tc>
          <w:tcPr>
            <w:tcW w:w="1588" w:type="dxa"/>
            <w:vAlign w:val="center"/>
          </w:tcPr>
          <w:p w14:paraId="257D4A98"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52A37F29"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 years</w:t>
            </w:r>
          </w:p>
        </w:tc>
        <w:tc>
          <w:tcPr>
            <w:tcW w:w="1588" w:type="dxa"/>
            <w:shd w:val="clear" w:color="auto" w:fill="auto"/>
            <w:vAlign w:val="center"/>
          </w:tcPr>
          <w:p w14:paraId="65522ED8"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1CDC0457"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 years</w:t>
            </w:r>
          </w:p>
        </w:tc>
      </w:tr>
      <w:tr w:rsidR="00A202E4" w:rsidRPr="00A57B36" w14:paraId="4668C934" w14:textId="77777777" w:rsidTr="00DE289B">
        <w:trPr>
          <w:trHeight w:val="397"/>
        </w:trPr>
        <w:tc>
          <w:tcPr>
            <w:tcW w:w="1668" w:type="dxa"/>
            <w:shd w:val="clear" w:color="auto" w:fill="auto"/>
            <w:vAlign w:val="center"/>
          </w:tcPr>
          <w:p w14:paraId="22DAFCAE" w14:textId="77777777" w:rsidR="00A202E4" w:rsidRPr="00A57B36" w:rsidRDefault="00A202E4" w:rsidP="00A57B36">
            <w:pPr>
              <w:pStyle w:val="ListParagraph"/>
              <w:keepNext/>
              <w:spacing w:after="0"/>
              <w:ind w:left="0"/>
              <w:contextualSpacing w:val="0"/>
              <w:jc w:val="center"/>
              <w:rPr>
                <w:rFonts w:ascii="Arial" w:eastAsia="Times New Roman" w:hAnsi="Arial" w:cs="Arial"/>
                <w:szCs w:val="24"/>
              </w:rPr>
            </w:pPr>
            <w:r w:rsidRPr="00A57B36">
              <w:rPr>
                <w:rFonts w:ascii="Arial" w:eastAsia="Times New Roman" w:hAnsi="Arial" w:cs="Arial"/>
                <w:szCs w:val="24"/>
              </w:rPr>
              <w:t>AA</w:t>
            </w:r>
          </w:p>
        </w:tc>
        <w:tc>
          <w:tcPr>
            <w:tcW w:w="1587" w:type="dxa"/>
            <w:shd w:val="clear" w:color="auto" w:fill="auto"/>
            <w:vAlign w:val="center"/>
          </w:tcPr>
          <w:p w14:paraId="461C6EA3"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4BCD2B5F"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4 years</w:t>
            </w:r>
          </w:p>
        </w:tc>
        <w:tc>
          <w:tcPr>
            <w:tcW w:w="1588" w:type="dxa"/>
            <w:shd w:val="clear" w:color="auto" w:fill="auto"/>
            <w:vAlign w:val="center"/>
          </w:tcPr>
          <w:p w14:paraId="1905B248"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£10m</w:t>
            </w:r>
          </w:p>
          <w:p w14:paraId="0A9534AC"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 years</w:t>
            </w:r>
          </w:p>
        </w:tc>
        <w:tc>
          <w:tcPr>
            <w:tcW w:w="1587" w:type="dxa"/>
            <w:shd w:val="clear" w:color="auto" w:fill="auto"/>
            <w:vAlign w:val="center"/>
          </w:tcPr>
          <w:p w14:paraId="19126D06"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£10m</w:t>
            </w:r>
          </w:p>
          <w:p w14:paraId="72ED3E0B"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15 years</w:t>
            </w:r>
          </w:p>
        </w:tc>
        <w:tc>
          <w:tcPr>
            <w:tcW w:w="1588" w:type="dxa"/>
            <w:vAlign w:val="center"/>
          </w:tcPr>
          <w:p w14:paraId="1272150C"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3D9E3A50"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 years</w:t>
            </w:r>
          </w:p>
        </w:tc>
        <w:tc>
          <w:tcPr>
            <w:tcW w:w="1588" w:type="dxa"/>
            <w:shd w:val="clear" w:color="auto" w:fill="auto"/>
            <w:vAlign w:val="center"/>
          </w:tcPr>
          <w:p w14:paraId="7A2FD771"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1868F5BA"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 years</w:t>
            </w:r>
          </w:p>
        </w:tc>
      </w:tr>
      <w:tr w:rsidR="00A202E4" w:rsidRPr="00A57B36" w14:paraId="02F30F4A" w14:textId="77777777" w:rsidTr="00DE289B">
        <w:trPr>
          <w:trHeight w:val="397"/>
        </w:trPr>
        <w:tc>
          <w:tcPr>
            <w:tcW w:w="1668" w:type="dxa"/>
            <w:shd w:val="clear" w:color="auto" w:fill="auto"/>
            <w:vAlign w:val="center"/>
          </w:tcPr>
          <w:p w14:paraId="3CFBA1F0" w14:textId="77777777" w:rsidR="00A202E4" w:rsidRPr="00A57B36" w:rsidRDefault="00A202E4" w:rsidP="00A57B36">
            <w:pPr>
              <w:pStyle w:val="ListParagraph"/>
              <w:keepNext/>
              <w:spacing w:after="0"/>
              <w:ind w:left="0"/>
              <w:contextualSpacing w:val="0"/>
              <w:jc w:val="center"/>
              <w:rPr>
                <w:rFonts w:ascii="Arial" w:eastAsia="Times New Roman" w:hAnsi="Arial" w:cs="Arial"/>
                <w:szCs w:val="24"/>
              </w:rPr>
            </w:pPr>
            <w:r w:rsidRPr="00A57B36">
              <w:rPr>
                <w:rFonts w:ascii="Arial" w:eastAsia="Times New Roman" w:hAnsi="Arial" w:cs="Arial"/>
                <w:szCs w:val="24"/>
              </w:rPr>
              <w:t>AA-</w:t>
            </w:r>
          </w:p>
        </w:tc>
        <w:tc>
          <w:tcPr>
            <w:tcW w:w="1587" w:type="dxa"/>
            <w:shd w:val="clear" w:color="auto" w:fill="auto"/>
            <w:vAlign w:val="center"/>
          </w:tcPr>
          <w:p w14:paraId="1C804A0F"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00A5DB13"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3 years</w:t>
            </w:r>
          </w:p>
        </w:tc>
        <w:tc>
          <w:tcPr>
            <w:tcW w:w="1588" w:type="dxa"/>
            <w:shd w:val="clear" w:color="auto" w:fill="auto"/>
            <w:vAlign w:val="center"/>
          </w:tcPr>
          <w:p w14:paraId="75D20F29"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£10m</w:t>
            </w:r>
          </w:p>
          <w:p w14:paraId="169C9EFF"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4 years</w:t>
            </w:r>
          </w:p>
        </w:tc>
        <w:tc>
          <w:tcPr>
            <w:tcW w:w="1587" w:type="dxa"/>
            <w:shd w:val="clear" w:color="auto" w:fill="auto"/>
            <w:vAlign w:val="center"/>
          </w:tcPr>
          <w:p w14:paraId="118C4879"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£10m</w:t>
            </w:r>
          </w:p>
          <w:p w14:paraId="4DC50766"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 years</w:t>
            </w:r>
          </w:p>
        </w:tc>
        <w:tc>
          <w:tcPr>
            <w:tcW w:w="1588" w:type="dxa"/>
            <w:vAlign w:val="center"/>
          </w:tcPr>
          <w:p w14:paraId="1AB9ABCC"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60007F7C"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4 years</w:t>
            </w:r>
          </w:p>
        </w:tc>
        <w:tc>
          <w:tcPr>
            <w:tcW w:w="1588" w:type="dxa"/>
            <w:shd w:val="clear" w:color="auto" w:fill="auto"/>
            <w:vAlign w:val="center"/>
          </w:tcPr>
          <w:p w14:paraId="0E2791BD"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1F0EC366"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 years</w:t>
            </w:r>
          </w:p>
        </w:tc>
      </w:tr>
      <w:tr w:rsidR="00A202E4" w:rsidRPr="00A57B36" w14:paraId="62BDBE8F" w14:textId="77777777" w:rsidTr="00DE289B">
        <w:trPr>
          <w:trHeight w:val="397"/>
        </w:trPr>
        <w:tc>
          <w:tcPr>
            <w:tcW w:w="1668" w:type="dxa"/>
            <w:shd w:val="clear" w:color="auto" w:fill="auto"/>
            <w:vAlign w:val="center"/>
          </w:tcPr>
          <w:p w14:paraId="419E3258" w14:textId="77777777" w:rsidR="00A202E4" w:rsidRPr="00A57B36" w:rsidRDefault="00A202E4" w:rsidP="00A57B36">
            <w:pPr>
              <w:pStyle w:val="ListParagraph"/>
              <w:keepNext/>
              <w:spacing w:after="0"/>
              <w:ind w:left="0"/>
              <w:contextualSpacing w:val="0"/>
              <w:jc w:val="center"/>
              <w:rPr>
                <w:rFonts w:ascii="Arial" w:eastAsia="Times New Roman" w:hAnsi="Arial" w:cs="Arial"/>
                <w:szCs w:val="24"/>
              </w:rPr>
            </w:pPr>
            <w:r w:rsidRPr="00A57B36">
              <w:rPr>
                <w:rFonts w:ascii="Arial" w:eastAsia="Times New Roman" w:hAnsi="Arial" w:cs="Arial"/>
                <w:szCs w:val="24"/>
              </w:rPr>
              <w:t>A+</w:t>
            </w:r>
          </w:p>
        </w:tc>
        <w:tc>
          <w:tcPr>
            <w:tcW w:w="1587" w:type="dxa"/>
            <w:shd w:val="clear" w:color="auto" w:fill="auto"/>
            <w:vAlign w:val="center"/>
          </w:tcPr>
          <w:p w14:paraId="6CFE371B"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6F94EF2E"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2 years</w:t>
            </w:r>
          </w:p>
        </w:tc>
        <w:tc>
          <w:tcPr>
            <w:tcW w:w="1588" w:type="dxa"/>
            <w:shd w:val="clear" w:color="auto" w:fill="auto"/>
            <w:vAlign w:val="center"/>
          </w:tcPr>
          <w:p w14:paraId="3FA8B8F6"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£10m</w:t>
            </w:r>
          </w:p>
          <w:p w14:paraId="46CC9BF2"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3 years</w:t>
            </w:r>
          </w:p>
        </w:tc>
        <w:tc>
          <w:tcPr>
            <w:tcW w:w="1587" w:type="dxa"/>
            <w:shd w:val="clear" w:color="auto" w:fill="auto"/>
            <w:vAlign w:val="center"/>
          </w:tcPr>
          <w:p w14:paraId="32875FF1"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0E786FE7"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 years</w:t>
            </w:r>
          </w:p>
        </w:tc>
        <w:tc>
          <w:tcPr>
            <w:tcW w:w="1588" w:type="dxa"/>
            <w:vAlign w:val="center"/>
          </w:tcPr>
          <w:p w14:paraId="3D69B21B"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1AE290B3"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3 years</w:t>
            </w:r>
          </w:p>
        </w:tc>
        <w:tc>
          <w:tcPr>
            <w:tcW w:w="1588" w:type="dxa"/>
            <w:shd w:val="clear" w:color="auto" w:fill="auto"/>
            <w:vAlign w:val="center"/>
          </w:tcPr>
          <w:p w14:paraId="00D5E32C"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2878AEAE"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 years</w:t>
            </w:r>
          </w:p>
        </w:tc>
      </w:tr>
      <w:tr w:rsidR="00A202E4" w:rsidRPr="00A57B36" w14:paraId="42B916F8" w14:textId="77777777" w:rsidTr="00DE289B">
        <w:trPr>
          <w:trHeight w:val="397"/>
        </w:trPr>
        <w:tc>
          <w:tcPr>
            <w:tcW w:w="1668" w:type="dxa"/>
            <w:shd w:val="clear" w:color="auto" w:fill="auto"/>
            <w:vAlign w:val="center"/>
          </w:tcPr>
          <w:p w14:paraId="24445FC6" w14:textId="77777777" w:rsidR="00A202E4" w:rsidRPr="00A57B36" w:rsidRDefault="00A202E4" w:rsidP="00A57B36">
            <w:pPr>
              <w:pStyle w:val="ListParagraph"/>
              <w:keepNext/>
              <w:spacing w:after="0"/>
              <w:ind w:left="0"/>
              <w:contextualSpacing w:val="0"/>
              <w:jc w:val="center"/>
              <w:rPr>
                <w:rFonts w:ascii="Arial" w:eastAsia="Times New Roman" w:hAnsi="Arial" w:cs="Arial"/>
                <w:szCs w:val="24"/>
              </w:rPr>
            </w:pPr>
            <w:r w:rsidRPr="00A57B36">
              <w:rPr>
                <w:rFonts w:ascii="Arial" w:eastAsia="Times New Roman" w:hAnsi="Arial" w:cs="Arial"/>
                <w:szCs w:val="24"/>
              </w:rPr>
              <w:t>A</w:t>
            </w:r>
          </w:p>
        </w:tc>
        <w:tc>
          <w:tcPr>
            <w:tcW w:w="1587" w:type="dxa"/>
            <w:shd w:val="clear" w:color="auto" w:fill="auto"/>
            <w:vAlign w:val="center"/>
          </w:tcPr>
          <w:p w14:paraId="6E1AF104"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1A9D083D"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13 months</w:t>
            </w:r>
          </w:p>
        </w:tc>
        <w:tc>
          <w:tcPr>
            <w:tcW w:w="1588" w:type="dxa"/>
            <w:shd w:val="clear" w:color="auto" w:fill="auto"/>
            <w:vAlign w:val="center"/>
          </w:tcPr>
          <w:p w14:paraId="1551C14A"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£10m</w:t>
            </w:r>
          </w:p>
          <w:p w14:paraId="7C70DF0A"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2 years</w:t>
            </w:r>
          </w:p>
        </w:tc>
        <w:tc>
          <w:tcPr>
            <w:tcW w:w="1587" w:type="dxa"/>
            <w:shd w:val="clear" w:color="auto" w:fill="auto"/>
            <w:vAlign w:val="center"/>
          </w:tcPr>
          <w:p w14:paraId="11297474"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7E653651"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 years</w:t>
            </w:r>
          </w:p>
        </w:tc>
        <w:tc>
          <w:tcPr>
            <w:tcW w:w="1588" w:type="dxa"/>
            <w:vAlign w:val="center"/>
          </w:tcPr>
          <w:p w14:paraId="0BE1B9C4"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6DA03CE3"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2 years</w:t>
            </w:r>
          </w:p>
        </w:tc>
        <w:tc>
          <w:tcPr>
            <w:tcW w:w="1588" w:type="dxa"/>
            <w:shd w:val="clear" w:color="auto" w:fill="auto"/>
            <w:vAlign w:val="center"/>
          </w:tcPr>
          <w:p w14:paraId="374CC282"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16CEBA63"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 years</w:t>
            </w:r>
          </w:p>
        </w:tc>
      </w:tr>
      <w:tr w:rsidR="00A202E4" w:rsidRPr="00A57B36" w14:paraId="06603233" w14:textId="77777777" w:rsidTr="00DE289B">
        <w:trPr>
          <w:trHeight w:val="397"/>
        </w:trPr>
        <w:tc>
          <w:tcPr>
            <w:tcW w:w="1668" w:type="dxa"/>
            <w:shd w:val="clear" w:color="auto" w:fill="auto"/>
            <w:vAlign w:val="center"/>
          </w:tcPr>
          <w:p w14:paraId="51B300BC" w14:textId="77777777" w:rsidR="00A202E4" w:rsidRPr="00A57B36" w:rsidRDefault="00A202E4" w:rsidP="00A57B36">
            <w:pPr>
              <w:pStyle w:val="ListParagraph"/>
              <w:keepNext/>
              <w:spacing w:after="0"/>
              <w:ind w:left="0"/>
              <w:contextualSpacing w:val="0"/>
              <w:jc w:val="center"/>
              <w:rPr>
                <w:rFonts w:ascii="Arial" w:eastAsia="Times New Roman" w:hAnsi="Arial" w:cs="Arial"/>
                <w:szCs w:val="24"/>
              </w:rPr>
            </w:pPr>
            <w:r w:rsidRPr="00A57B36">
              <w:rPr>
                <w:rFonts w:ascii="Arial" w:eastAsia="Times New Roman" w:hAnsi="Arial" w:cs="Arial"/>
                <w:szCs w:val="24"/>
              </w:rPr>
              <w:t>A-</w:t>
            </w:r>
          </w:p>
        </w:tc>
        <w:tc>
          <w:tcPr>
            <w:tcW w:w="1587" w:type="dxa"/>
            <w:shd w:val="clear" w:color="auto" w:fill="auto"/>
            <w:vAlign w:val="center"/>
          </w:tcPr>
          <w:p w14:paraId="5B300190"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5BB8E646"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 xml:space="preserve"> 6 months</w:t>
            </w:r>
          </w:p>
        </w:tc>
        <w:tc>
          <w:tcPr>
            <w:tcW w:w="1588" w:type="dxa"/>
            <w:shd w:val="clear" w:color="auto" w:fill="auto"/>
            <w:vAlign w:val="center"/>
          </w:tcPr>
          <w:p w14:paraId="5F66FA06"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£10m</w:t>
            </w:r>
          </w:p>
          <w:p w14:paraId="0C9295EB"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13 months</w:t>
            </w:r>
          </w:p>
        </w:tc>
        <w:tc>
          <w:tcPr>
            <w:tcW w:w="1587" w:type="dxa"/>
            <w:shd w:val="clear" w:color="auto" w:fill="auto"/>
            <w:vAlign w:val="center"/>
          </w:tcPr>
          <w:p w14:paraId="6E8E14C3"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5BBF661D"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 xml:space="preserve"> 5 years</w:t>
            </w:r>
          </w:p>
        </w:tc>
        <w:tc>
          <w:tcPr>
            <w:tcW w:w="1588" w:type="dxa"/>
            <w:vAlign w:val="center"/>
          </w:tcPr>
          <w:p w14:paraId="58BD4851"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708C26D6"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 xml:space="preserve"> 13 months</w:t>
            </w:r>
          </w:p>
        </w:tc>
        <w:tc>
          <w:tcPr>
            <w:tcW w:w="1588" w:type="dxa"/>
            <w:shd w:val="clear" w:color="auto" w:fill="auto"/>
            <w:vAlign w:val="center"/>
          </w:tcPr>
          <w:p w14:paraId="4BBAD0A9"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58E3B30B"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 xml:space="preserve"> 5 years</w:t>
            </w:r>
          </w:p>
        </w:tc>
      </w:tr>
      <w:tr w:rsidR="00A202E4" w:rsidRPr="00A57B36" w14:paraId="55336F46" w14:textId="77777777" w:rsidTr="00DE289B">
        <w:trPr>
          <w:trHeight w:val="397"/>
        </w:trPr>
        <w:tc>
          <w:tcPr>
            <w:tcW w:w="1668" w:type="dxa"/>
            <w:tcBorders>
              <w:bottom w:val="single" w:sz="4" w:space="0" w:color="auto"/>
            </w:tcBorders>
            <w:shd w:val="clear" w:color="auto" w:fill="auto"/>
            <w:vAlign w:val="center"/>
          </w:tcPr>
          <w:p w14:paraId="33728680" w14:textId="77777777" w:rsidR="00A202E4" w:rsidRPr="00A57B36" w:rsidRDefault="00A202E4" w:rsidP="00A57B36">
            <w:pPr>
              <w:pStyle w:val="ListParagraph"/>
              <w:keepNext/>
              <w:spacing w:after="0"/>
              <w:ind w:left="0"/>
              <w:contextualSpacing w:val="0"/>
              <w:jc w:val="center"/>
              <w:rPr>
                <w:rFonts w:ascii="Arial" w:eastAsia="Times New Roman" w:hAnsi="Arial" w:cs="Arial"/>
                <w:szCs w:val="24"/>
              </w:rPr>
            </w:pPr>
            <w:r w:rsidRPr="00A57B36">
              <w:rPr>
                <w:rFonts w:ascii="Arial" w:eastAsia="Times New Roman" w:hAnsi="Arial" w:cs="Arial"/>
                <w:szCs w:val="24"/>
              </w:rPr>
              <w:t>None</w:t>
            </w:r>
          </w:p>
        </w:tc>
        <w:tc>
          <w:tcPr>
            <w:tcW w:w="1587" w:type="dxa"/>
            <w:tcBorders>
              <w:bottom w:val="single" w:sz="4" w:space="0" w:color="auto"/>
            </w:tcBorders>
            <w:shd w:val="clear" w:color="auto" w:fill="auto"/>
            <w:vAlign w:val="center"/>
          </w:tcPr>
          <w:p w14:paraId="4B9EAA46"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£1m</w:t>
            </w:r>
          </w:p>
          <w:p w14:paraId="20F72E1A"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6 months</w:t>
            </w:r>
          </w:p>
        </w:tc>
        <w:tc>
          <w:tcPr>
            <w:tcW w:w="1588" w:type="dxa"/>
            <w:tcBorders>
              <w:bottom w:val="single" w:sz="4" w:space="0" w:color="auto"/>
            </w:tcBorders>
            <w:shd w:val="clear" w:color="auto" w:fill="auto"/>
            <w:vAlign w:val="center"/>
          </w:tcPr>
          <w:p w14:paraId="45B059C9"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n/a</w:t>
            </w:r>
          </w:p>
        </w:tc>
        <w:tc>
          <w:tcPr>
            <w:tcW w:w="1587" w:type="dxa"/>
            <w:tcBorders>
              <w:bottom w:val="single" w:sz="4" w:space="0" w:color="auto"/>
            </w:tcBorders>
            <w:shd w:val="clear" w:color="auto" w:fill="auto"/>
            <w:vAlign w:val="center"/>
          </w:tcPr>
          <w:p w14:paraId="197152A8"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£10m</w:t>
            </w:r>
          </w:p>
          <w:p w14:paraId="2B7CBA52" w14:textId="77777777" w:rsidR="00A202E4" w:rsidRPr="009E0D72" w:rsidRDefault="00A202E4" w:rsidP="00A57B36">
            <w:pPr>
              <w:pStyle w:val="ListParagraph"/>
              <w:keepNext/>
              <w:spacing w:after="0"/>
              <w:ind w:left="0"/>
              <w:contextualSpacing w:val="0"/>
              <w:jc w:val="center"/>
              <w:rPr>
                <w:rFonts w:ascii="Arial" w:eastAsia="Times New Roman" w:hAnsi="Arial" w:cs="Arial"/>
                <w:b/>
                <w:szCs w:val="24"/>
              </w:rPr>
            </w:pPr>
            <w:r w:rsidRPr="009E0D72">
              <w:rPr>
                <w:rFonts w:ascii="Arial" w:eastAsia="Times New Roman" w:hAnsi="Arial" w:cs="Arial"/>
                <w:szCs w:val="24"/>
              </w:rPr>
              <w:t>25 years</w:t>
            </w:r>
          </w:p>
        </w:tc>
        <w:tc>
          <w:tcPr>
            <w:tcW w:w="1588" w:type="dxa"/>
            <w:tcBorders>
              <w:bottom w:val="single" w:sz="4" w:space="0" w:color="auto"/>
            </w:tcBorders>
            <w:vAlign w:val="center"/>
          </w:tcPr>
          <w:p w14:paraId="6B04939C"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n/a</w:t>
            </w:r>
          </w:p>
        </w:tc>
        <w:tc>
          <w:tcPr>
            <w:tcW w:w="1588" w:type="dxa"/>
            <w:tcBorders>
              <w:bottom w:val="single" w:sz="4" w:space="0" w:color="auto"/>
            </w:tcBorders>
            <w:shd w:val="clear" w:color="auto" w:fill="auto"/>
            <w:vAlign w:val="center"/>
          </w:tcPr>
          <w:p w14:paraId="299FADE0"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£5m</w:t>
            </w:r>
          </w:p>
          <w:p w14:paraId="6DDE3AEC" w14:textId="77777777" w:rsidR="00A202E4" w:rsidRPr="009E0D72" w:rsidRDefault="00A202E4"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5 years</w:t>
            </w:r>
          </w:p>
        </w:tc>
      </w:tr>
      <w:tr w:rsidR="003570BE" w:rsidRPr="00A57B36" w14:paraId="19D1467A" w14:textId="77777777" w:rsidTr="00DE289B">
        <w:trPr>
          <w:trHeight w:val="397"/>
        </w:trPr>
        <w:tc>
          <w:tcPr>
            <w:tcW w:w="1668" w:type="dxa"/>
            <w:tcBorders>
              <w:bottom w:val="single" w:sz="4" w:space="0" w:color="auto"/>
            </w:tcBorders>
            <w:shd w:val="clear" w:color="auto" w:fill="auto"/>
            <w:vAlign w:val="center"/>
          </w:tcPr>
          <w:p w14:paraId="3140AE17" w14:textId="2EFE68B6" w:rsidR="003570BE" w:rsidRPr="00A57B36" w:rsidRDefault="003570BE" w:rsidP="00A57B36">
            <w:pPr>
              <w:pStyle w:val="ListParagraph"/>
              <w:keepNext/>
              <w:spacing w:after="0"/>
              <w:ind w:left="0"/>
              <w:contextualSpacing w:val="0"/>
              <w:jc w:val="center"/>
              <w:rPr>
                <w:rFonts w:ascii="Arial" w:eastAsia="Times New Roman" w:hAnsi="Arial" w:cs="Arial"/>
                <w:b/>
                <w:szCs w:val="24"/>
              </w:rPr>
            </w:pPr>
            <w:r w:rsidRPr="00A57B36">
              <w:rPr>
                <w:rFonts w:ascii="Arial" w:eastAsia="Times New Roman" w:hAnsi="Arial" w:cs="Arial"/>
                <w:b/>
                <w:szCs w:val="24"/>
              </w:rPr>
              <w:t>Pooled funds</w:t>
            </w:r>
            <w:r w:rsidR="001879FC">
              <w:rPr>
                <w:rFonts w:ascii="Arial" w:eastAsia="Times New Roman" w:hAnsi="Arial" w:cs="Arial"/>
                <w:b/>
                <w:szCs w:val="24"/>
              </w:rPr>
              <w:t xml:space="preserve"> </w:t>
            </w:r>
            <w:r w:rsidR="00A202E4">
              <w:rPr>
                <w:rFonts w:ascii="Arial" w:eastAsia="Times New Roman" w:hAnsi="Arial" w:cs="Arial"/>
                <w:b/>
                <w:szCs w:val="24"/>
              </w:rPr>
              <w:t xml:space="preserve">and </w:t>
            </w:r>
            <w:r w:rsidR="00E04FDD">
              <w:rPr>
                <w:rFonts w:ascii="Arial" w:eastAsia="Times New Roman" w:hAnsi="Arial" w:cs="Arial"/>
                <w:b/>
                <w:szCs w:val="24"/>
              </w:rPr>
              <w:t>REITs</w:t>
            </w:r>
          </w:p>
        </w:tc>
        <w:tc>
          <w:tcPr>
            <w:tcW w:w="7938" w:type="dxa"/>
            <w:gridSpan w:val="5"/>
            <w:tcBorders>
              <w:bottom w:val="single" w:sz="4" w:space="0" w:color="auto"/>
            </w:tcBorders>
            <w:shd w:val="clear" w:color="auto" w:fill="auto"/>
            <w:vAlign w:val="center"/>
          </w:tcPr>
          <w:p w14:paraId="19638425" w14:textId="24B79D9D" w:rsidR="003570BE" w:rsidRPr="009E0D72" w:rsidRDefault="003570BE" w:rsidP="00A57B36">
            <w:pPr>
              <w:pStyle w:val="ListParagraph"/>
              <w:keepNext/>
              <w:spacing w:after="0"/>
              <w:ind w:left="0"/>
              <w:contextualSpacing w:val="0"/>
              <w:jc w:val="center"/>
              <w:rPr>
                <w:rFonts w:ascii="Arial" w:eastAsia="Times New Roman" w:hAnsi="Arial" w:cs="Arial"/>
                <w:szCs w:val="24"/>
              </w:rPr>
            </w:pPr>
            <w:r w:rsidRPr="009E0D72">
              <w:rPr>
                <w:rFonts w:ascii="Arial" w:eastAsia="Times New Roman" w:hAnsi="Arial" w:cs="Arial"/>
                <w:szCs w:val="24"/>
              </w:rPr>
              <w:t>£1</w:t>
            </w:r>
            <w:r w:rsidR="007805A5">
              <w:rPr>
                <w:rFonts w:ascii="Arial" w:eastAsia="Times New Roman" w:hAnsi="Arial" w:cs="Arial"/>
                <w:szCs w:val="24"/>
              </w:rPr>
              <w:t>0</w:t>
            </w:r>
            <w:r w:rsidRPr="009E0D72">
              <w:rPr>
                <w:rFonts w:ascii="Arial" w:eastAsia="Times New Roman" w:hAnsi="Arial" w:cs="Arial"/>
                <w:szCs w:val="24"/>
              </w:rPr>
              <w:t>m per fund</w:t>
            </w:r>
          </w:p>
        </w:tc>
      </w:tr>
    </w:tbl>
    <w:p w14:paraId="0C89714B" w14:textId="77777777" w:rsidR="008C2DEA" w:rsidRPr="00A57B36" w:rsidRDefault="00023CC9" w:rsidP="00A57B36">
      <w:pPr>
        <w:pStyle w:val="ListParagraph"/>
        <w:spacing w:after="240" w:line="240" w:lineRule="auto"/>
        <w:contextualSpacing w:val="0"/>
        <w:rPr>
          <w:rFonts w:ascii="Arial" w:hAnsi="Arial" w:cs="Arial"/>
          <w:sz w:val="24"/>
          <w:szCs w:val="24"/>
        </w:rPr>
      </w:pPr>
      <w:r w:rsidRPr="00A57B36">
        <w:rPr>
          <w:rFonts w:ascii="Arial" w:hAnsi="Arial" w:cs="Arial"/>
          <w:sz w:val="24"/>
          <w:szCs w:val="24"/>
        </w:rPr>
        <w:t>This table must be read in conjunction with the notes below</w:t>
      </w:r>
    </w:p>
    <w:p w14:paraId="0FCBFBDA" w14:textId="77777777" w:rsidR="00557C9C" w:rsidRPr="00A57B36" w:rsidRDefault="005A55B6" w:rsidP="00A57B36">
      <w:pPr>
        <w:pStyle w:val="ListParagraph"/>
        <w:spacing w:after="240" w:line="240" w:lineRule="auto"/>
        <w:contextualSpacing w:val="0"/>
        <w:rPr>
          <w:rFonts w:ascii="Arial" w:hAnsi="Arial" w:cs="Arial"/>
          <w:b/>
          <w:sz w:val="24"/>
          <w:szCs w:val="24"/>
        </w:rPr>
      </w:pPr>
      <w:r w:rsidRPr="00A57B36">
        <w:rPr>
          <w:rFonts w:ascii="Arial" w:hAnsi="Arial" w:cs="Arial"/>
          <w:b/>
          <w:sz w:val="24"/>
          <w:szCs w:val="24"/>
        </w:rPr>
        <w:t xml:space="preserve">Credit </w:t>
      </w:r>
      <w:r w:rsidR="00174A71" w:rsidRPr="00A57B36">
        <w:rPr>
          <w:rFonts w:ascii="Arial" w:hAnsi="Arial" w:cs="Arial"/>
          <w:b/>
          <w:sz w:val="24"/>
          <w:szCs w:val="24"/>
        </w:rPr>
        <w:t>R</w:t>
      </w:r>
      <w:r w:rsidRPr="00A57B36">
        <w:rPr>
          <w:rFonts w:ascii="Arial" w:hAnsi="Arial" w:cs="Arial"/>
          <w:b/>
          <w:sz w:val="24"/>
          <w:szCs w:val="24"/>
        </w:rPr>
        <w:t>ating</w:t>
      </w:r>
    </w:p>
    <w:p w14:paraId="1F89971D" w14:textId="77777777" w:rsidR="005A55B6" w:rsidRPr="00A57B36" w:rsidRDefault="00174A71"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Investment </w:t>
      </w:r>
      <w:r w:rsidR="008F7709" w:rsidRPr="00A57B36">
        <w:rPr>
          <w:rFonts w:ascii="Arial" w:hAnsi="Arial" w:cs="Arial"/>
          <w:sz w:val="24"/>
          <w:szCs w:val="24"/>
        </w:rPr>
        <w:t>limits are set</w:t>
      </w:r>
      <w:r w:rsidRPr="00A57B36">
        <w:rPr>
          <w:rFonts w:ascii="Arial" w:hAnsi="Arial" w:cs="Arial"/>
          <w:sz w:val="24"/>
          <w:szCs w:val="24"/>
        </w:rPr>
        <w:t xml:space="preserve"> by reference to </w:t>
      </w:r>
      <w:r w:rsidR="005A55B6" w:rsidRPr="00A57B36">
        <w:rPr>
          <w:rFonts w:ascii="Arial" w:hAnsi="Arial" w:cs="Arial"/>
          <w:sz w:val="24"/>
          <w:szCs w:val="24"/>
        </w:rPr>
        <w:t xml:space="preserve">the lowest published </w:t>
      </w:r>
      <w:r w:rsidRPr="00A57B36">
        <w:rPr>
          <w:rFonts w:ascii="Arial" w:hAnsi="Arial" w:cs="Arial"/>
          <w:sz w:val="24"/>
          <w:szCs w:val="24"/>
        </w:rPr>
        <w:t xml:space="preserve">long-term </w:t>
      </w:r>
      <w:r w:rsidR="005A55B6" w:rsidRPr="00A57B36">
        <w:rPr>
          <w:rFonts w:ascii="Arial" w:hAnsi="Arial" w:cs="Arial"/>
          <w:sz w:val="24"/>
          <w:szCs w:val="24"/>
        </w:rPr>
        <w:t>credit rating from Fitch, Moody’s or Standard &amp; Poor’</w:t>
      </w:r>
      <w:r w:rsidR="008F7709" w:rsidRPr="00A57B36">
        <w:rPr>
          <w:rFonts w:ascii="Arial" w:hAnsi="Arial" w:cs="Arial"/>
          <w:sz w:val="24"/>
          <w:szCs w:val="24"/>
        </w:rPr>
        <w:t>s.</w:t>
      </w:r>
      <w:r w:rsidRPr="00A57B36">
        <w:rPr>
          <w:rFonts w:ascii="Arial" w:hAnsi="Arial" w:cs="Arial"/>
          <w:sz w:val="24"/>
          <w:szCs w:val="24"/>
        </w:rPr>
        <w:t xml:space="preserve"> </w:t>
      </w:r>
      <w:r w:rsidR="00557C9C" w:rsidRPr="00A57B36">
        <w:rPr>
          <w:rFonts w:ascii="Arial" w:hAnsi="Arial" w:cs="Arial"/>
          <w:sz w:val="24"/>
          <w:szCs w:val="24"/>
        </w:rPr>
        <w:t xml:space="preserve"> </w:t>
      </w:r>
      <w:r w:rsidRPr="00A57B36">
        <w:rPr>
          <w:rFonts w:ascii="Arial" w:hAnsi="Arial" w:cs="Arial"/>
          <w:sz w:val="24"/>
          <w:szCs w:val="24"/>
        </w:rPr>
        <w:t>Where available, the credit rating relevant to the specific investment or class of investment is used, otherwise the counterparty credit rating is used.</w:t>
      </w:r>
      <w:r w:rsidR="008F7709" w:rsidRPr="00A57B36">
        <w:rPr>
          <w:rFonts w:ascii="Arial" w:hAnsi="Arial" w:cs="Arial"/>
          <w:sz w:val="24"/>
          <w:szCs w:val="24"/>
        </w:rPr>
        <w:t xml:space="preserve"> </w:t>
      </w:r>
      <w:r w:rsidR="00557C9C" w:rsidRPr="00A57B36">
        <w:rPr>
          <w:rFonts w:ascii="Arial" w:hAnsi="Arial" w:cs="Arial"/>
          <w:sz w:val="24"/>
          <w:szCs w:val="24"/>
        </w:rPr>
        <w:t xml:space="preserve"> </w:t>
      </w:r>
      <w:r w:rsidR="008F7709" w:rsidRPr="00A57B36">
        <w:rPr>
          <w:rFonts w:ascii="Arial" w:hAnsi="Arial" w:cs="Arial"/>
          <w:sz w:val="24"/>
          <w:szCs w:val="24"/>
        </w:rPr>
        <w:t xml:space="preserve">However, investment decisions are never made solely based on credit ratings, and all other relevant factors including external advice will be </w:t>
      </w:r>
      <w:proofErr w:type="gramStart"/>
      <w:r w:rsidR="008F7709" w:rsidRPr="00A57B36">
        <w:rPr>
          <w:rFonts w:ascii="Arial" w:hAnsi="Arial" w:cs="Arial"/>
          <w:sz w:val="24"/>
          <w:szCs w:val="24"/>
        </w:rPr>
        <w:t>taken into account</w:t>
      </w:r>
      <w:proofErr w:type="gramEnd"/>
      <w:r w:rsidR="008F7709" w:rsidRPr="00A57B36">
        <w:rPr>
          <w:rFonts w:ascii="Arial" w:hAnsi="Arial" w:cs="Arial"/>
          <w:sz w:val="24"/>
          <w:szCs w:val="24"/>
        </w:rPr>
        <w:t>.</w:t>
      </w:r>
    </w:p>
    <w:p w14:paraId="7C7700DC" w14:textId="77777777" w:rsidR="00557C9C" w:rsidRPr="00A57B36" w:rsidRDefault="00557C9C" w:rsidP="00A57B36">
      <w:pPr>
        <w:pStyle w:val="ListParagraph"/>
        <w:spacing w:after="240" w:line="240" w:lineRule="auto"/>
        <w:contextualSpacing w:val="0"/>
        <w:rPr>
          <w:rFonts w:ascii="Arial" w:hAnsi="Arial" w:cs="Arial"/>
          <w:b/>
          <w:sz w:val="24"/>
          <w:szCs w:val="24"/>
        </w:rPr>
      </w:pPr>
      <w:r w:rsidRPr="00A57B36">
        <w:rPr>
          <w:rFonts w:ascii="Arial" w:hAnsi="Arial" w:cs="Arial"/>
          <w:b/>
          <w:sz w:val="24"/>
          <w:szCs w:val="24"/>
        </w:rPr>
        <w:t>Banks Unsecured</w:t>
      </w:r>
    </w:p>
    <w:p w14:paraId="7C68E324" w14:textId="77777777" w:rsidR="00174A71" w:rsidRPr="00A57B36" w:rsidRDefault="004B4BFE"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A</w:t>
      </w:r>
      <w:r w:rsidR="00174A71" w:rsidRPr="00A57B36">
        <w:rPr>
          <w:rFonts w:ascii="Arial" w:hAnsi="Arial" w:cs="Arial"/>
          <w:sz w:val="24"/>
          <w:szCs w:val="24"/>
        </w:rPr>
        <w:t xml:space="preserve">ccounts, deposits, certificates of deposit and </w:t>
      </w:r>
      <w:r w:rsidR="00224CF9" w:rsidRPr="00A57B36">
        <w:rPr>
          <w:rFonts w:ascii="Arial" w:hAnsi="Arial" w:cs="Arial"/>
          <w:sz w:val="24"/>
          <w:szCs w:val="24"/>
        </w:rPr>
        <w:t xml:space="preserve">senior </w:t>
      </w:r>
      <w:r w:rsidR="00174A71" w:rsidRPr="00A57B36">
        <w:rPr>
          <w:rFonts w:ascii="Arial" w:hAnsi="Arial" w:cs="Arial"/>
          <w:sz w:val="24"/>
          <w:szCs w:val="24"/>
        </w:rPr>
        <w:t xml:space="preserve">unsecured bonds </w:t>
      </w:r>
      <w:r w:rsidR="00C82115" w:rsidRPr="00A57B36">
        <w:rPr>
          <w:rFonts w:ascii="Arial" w:hAnsi="Arial" w:cs="Arial"/>
          <w:sz w:val="24"/>
          <w:szCs w:val="24"/>
        </w:rPr>
        <w:t>with</w:t>
      </w:r>
      <w:r w:rsidR="00174A71" w:rsidRPr="00A57B36">
        <w:rPr>
          <w:rFonts w:ascii="Arial" w:hAnsi="Arial" w:cs="Arial"/>
          <w:sz w:val="24"/>
          <w:szCs w:val="24"/>
        </w:rPr>
        <w:t xml:space="preserve"> banks and</w:t>
      </w:r>
      <w:r w:rsidR="000824E8" w:rsidRPr="00A57B36">
        <w:rPr>
          <w:rFonts w:ascii="Arial" w:hAnsi="Arial" w:cs="Arial"/>
          <w:sz w:val="24"/>
          <w:szCs w:val="24"/>
        </w:rPr>
        <w:t xml:space="preserve"> building societies, other than</w:t>
      </w:r>
      <w:r w:rsidR="00174A71" w:rsidRPr="00A57B36">
        <w:rPr>
          <w:rFonts w:ascii="Arial" w:hAnsi="Arial" w:cs="Arial"/>
          <w:sz w:val="24"/>
          <w:szCs w:val="24"/>
        </w:rPr>
        <w:t xml:space="preserve"> multilateral development banks.</w:t>
      </w:r>
      <w:r w:rsidR="00D53F15" w:rsidRPr="00A57B36">
        <w:rPr>
          <w:rFonts w:ascii="Arial" w:hAnsi="Arial" w:cs="Arial"/>
          <w:sz w:val="24"/>
          <w:szCs w:val="24"/>
        </w:rPr>
        <w:t xml:space="preserve"> </w:t>
      </w:r>
      <w:r w:rsidR="00557C9C" w:rsidRPr="00A57B36">
        <w:rPr>
          <w:rFonts w:ascii="Arial" w:hAnsi="Arial" w:cs="Arial"/>
          <w:sz w:val="24"/>
          <w:szCs w:val="24"/>
        </w:rPr>
        <w:t xml:space="preserve"> </w:t>
      </w:r>
      <w:r w:rsidR="00D53F15" w:rsidRPr="00A57B36">
        <w:rPr>
          <w:rFonts w:ascii="Arial" w:hAnsi="Arial" w:cs="Arial"/>
          <w:sz w:val="24"/>
          <w:szCs w:val="24"/>
        </w:rPr>
        <w:t>These investments are subject to the risk of credit loss via a bail-in should the regulator determine that the bank is failing or likely to fail.</w:t>
      </w:r>
      <w:r w:rsidR="003E4544" w:rsidRPr="00A57B36">
        <w:rPr>
          <w:rFonts w:ascii="Arial" w:hAnsi="Arial" w:cs="Arial"/>
          <w:sz w:val="24"/>
          <w:szCs w:val="24"/>
        </w:rPr>
        <w:t xml:space="preserve">  See below for arrangements relating to operational bank accounts.</w:t>
      </w:r>
    </w:p>
    <w:p w14:paraId="5EDED995" w14:textId="77777777" w:rsidR="00557C9C" w:rsidRPr="00A57B36" w:rsidRDefault="00557C9C" w:rsidP="00A57B36">
      <w:pPr>
        <w:pStyle w:val="ListParagraph"/>
        <w:keepNext/>
        <w:spacing w:after="240" w:line="240" w:lineRule="auto"/>
        <w:contextualSpacing w:val="0"/>
        <w:rPr>
          <w:rFonts w:ascii="Arial" w:hAnsi="Arial" w:cs="Arial"/>
          <w:b/>
          <w:sz w:val="24"/>
          <w:szCs w:val="24"/>
        </w:rPr>
      </w:pPr>
      <w:r w:rsidRPr="00A57B36">
        <w:rPr>
          <w:rFonts w:ascii="Arial" w:hAnsi="Arial" w:cs="Arial"/>
          <w:b/>
          <w:sz w:val="24"/>
          <w:szCs w:val="24"/>
        </w:rPr>
        <w:t>Banks Secured</w:t>
      </w:r>
    </w:p>
    <w:p w14:paraId="264E0C90" w14:textId="77777777" w:rsidR="00F97AA4" w:rsidRPr="00A57B36" w:rsidRDefault="004B4BFE"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Covered bonds, </w:t>
      </w:r>
      <w:r w:rsidR="00D53F15" w:rsidRPr="00A57B36">
        <w:rPr>
          <w:rFonts w:ascii="Arial" w:hAnsi="Arial" w:cs="Arial"/>
          <w:sz w:val="24"/>
          <w:szCs w:val="24"/>
        </w:rPr>
        <w:t xml:space="preserve">reverse repurchase agreements </w:t>
      </w:r>
      <w:r w:rsidRPr="00A57B36">
        <w:rPr>
          <w:rFonts w:ascii="Arial" w:hAnsi="Arial" w:cs="Arial"/>
          <w:sz w:val="24"/>
          <w:szCs w:val="24"/>
        </w:rPr>
        <w:t xml:space="preserve">and other collateralised arrangements </w:t>
      </w:r>
      <w:r w:rsidR="00D53F15" w:rsidRPr="00A57B36">
        <w:rPr>
          <w:rFonts w:ascii="Arial" w:hAnsi="Arial" w:cs="Arial"/>
          <w:sz w:val="24"/>
          <w:szCs w:val="24"/>
        </w:rPr>
        <w:t>with bank</w:t>
      </w:r>
      <w:r w:rsidR="008F7709" w:rsidRPr="00A57B36">
        <w:rPr>
          <w:rFonts w:ascii="Arial" w:hAnsi="Arial" w:cs="Arial"/>
          <w:sz w:val="24"/>
          <w:szCs w:val="24"/>
        </w:rPr>
        <w:t>s and building societies.</w:t>
      </w:r>
      <w:r w:rsidR="00D53F15" w:rsidRPr="00A57B36">
        <w:rPr>
          <w:rFonts w:ascii="Arial" w:hAnsi="Arial" w:cs="Arial"/>
          <w:sz w:val="24"/>
          <w:szCs w:val="24"/>
        </w:rPr>
        <w:t xml:space="preserve"> </w:t>
      </w:r>
      <w:r w:rsidR="00557C9C" w:rsidRPr="00A57B36">
        <w:rPr>
          <w:rFonts w:ascii="Arial" w:hAnsi="Arial" w:cs="Arial"/>
          <w:sz w:val="24"/>
          <w:szCs w:val="24"/>
        </w:rPr>
        <w:t xml:space="preserve"> </w:t>
      </w:r>
      <w:r w:rsidR="00D53F15" w:rsidRPr="00A57B36">
        <w:rPr>
          <w:rFonts w:ascii="Arial" w:hAnsi="Arial" w:cs="Arial"/>
          <w:sz w:val="24"/>
          <w:szCs w:val="24"/>
        </w:rPr>
        <w:t>The</w:t>
      </w:r>
      <w:r w:rsidR="00A07E44" w:rsidRPr="00A57B36">
        <w:rPr>
          <w:rFonts w:ascii="Arial" w:hAnsi="Arial" w:cs="Arial"/>
          <w:sz w:val="24"/>
          <w:szCs w:val="24"/>
        </w:rPr>
        <w:t>se</w:t>
      </w:r>
      <w:r w:rsidR="00D53F15" w:rsidRPr="00A57B36">
        <w:rPr>
          <w:rFonts w:ascii="Arial" w:hAnsi="Arial" w:cs="Arial"/>
          <w:sz w:val="24"/>
          <w:szCs w:val="24"/>
        </w:rPr>
        <w:t xml:space="preserve"> investments are secured on the bank’</w:t>
      </w:r>
      <w:r w:rsidR="00F97AA4" w:rsidRPr="00A57B36">
        <w:rPr>
          <w:rFonts w:ascii="Arial" w:hAnsi="Arial" w:cs="Arial"/>
          <w:sz w:val="24"/>
          <w:szCs w:val="24"/>
        </w:rPr>
        <w:t>s assets, which limits the potential losses in the</w:t>
      </w:r>
      <w:r w:rsidR="00176A0D" w:rsidRPr="00A57B36">
        <w:rPr>
          <w:rFonts w:ascii="Arial" w:hAnsi="Arial" w:cs="Arial"/>
          <w:sz w:val="24"/>
          <w:szCs w:val="24"/>
        </w:rPr>
        <w:t xml:space="preserve"> unlikely event of insolvency, and </w:t>
      </w:r>
      <w:r w:rsidR="00224CF9" w:rsidRPr="00A57B36">
        <w:rPr>
          <w:rFonts w:ascii="Arial" w:hAnsi="Arial" w:cs="Arial"/>
          <w:sz w:val="24"/>
          <w:szCs w:val="24"/>
        </w:rPr>
        <w:t xml:space="preserve">means that </w:t>
      </w:r>
      <w:r w:rsidR="00176A0D" w:rsidRPr="00A57B36">
        <w:rPr>
          <w:rFonts w:ascii="Arial" w:hAnsi="Arial" w:cs="Arial"/>
          <w:sz w:val="24"/>
          <w:szCs w:val="24"/>
        </w:rPr>
        <w:t xml:space="preserve">they </w:t>
      </w:r>
      <w:r w:rsidR="00F97AA4" w:rsidRPr="00A57B36">
        <w:rPr>
          <w:rFonts w:ascii="Arial" w:hAnsi="Arial" w:cs="Arial"/>
          <w:sz w:val="24"/>
          <w:szCs w:val="24"/>
        </w:rPr>
        <w:t>are exempt from bail-in.</w:t>
      </w:r>
      <w:r w:rsidR="008F7709" w:rsidRPr="00A57B36">
        <w:rPr>
          <w:rFonts w:ascii="Arial" w:hAnsi="Arial" w:cs="Arial"/>
          <w:sz w:val="24"/>
          <w:szCs w:val="24"/>
        </w:rPr>
        <w:t xml:space="preserve"> </w:t>
      </w:r>
      <w:r w:rsidR="00557C9C" w:rsidRPr="00A57B36">
        <w:rPr>
          <w:rFonts w:ascii="Arial" w:hAnsi="Arial" w:cs="Arial"/>
          <w:sz w:val="24"/>
          <w:szCs w:val="24"/>
        </w:rPr>
        <w:t xml:space="preserve"> </w:t>
      </w:r>
      <w:r w:rsidR="00023CC9" w:rsidRPr="00A57B36">
        <w:rPr>
          <w:rFonts w:ascii="Arial" w:hAnsi="Arial" w:cs="Arial"/>
          <w:sz w:val="24"/>
          <w:szCs w:val="24"/>
        </w:rPr>
        <w:t xml:space="preserve">Where </w:t>
      </w:r>
      <w:r w:rsidR="00C260DA" w:rsidRPr="00A57B36">
        <w:rPr>
          <w:rFonts w:ascii="Arial" w:hAnsi="Arial" w:cs="Arial"/>
          <w:sz w:val="24"/>
          <w:szCs w:val="24"/>
        </w:rPr>
        <w:t xml:space="preserve">there is no investment specific credit rating, but </w:t>
      </w:r>
      <w:r w:rsidR="00023CC9" w:rsidRPr="00A57B36">
        <w:rPr>
          <w:rFonts w:ascii="Arial" w:hAnsi="Arial" w:cs="Arial"/>
          <w:sz w:val="24"/>
          <w:szCs w:val="24"/>
        </w:rPr>
        <w:t>the collateral upon which</w:t>
      </w:r>
      <w:r w:rsidR="00176A0D" w:rsidRPr="00A57B36">
        <w:rPr>
          <w:rFonts w:ascii="Arial" w:hAnsi="Arial" w:cs="Arial"/>
          <w:sz w:val="24"/>
          <w:szCs w:val="24"/>
        </w:rPr>
        <w:t xml:space="preserve"> the investment is secured has a credit rating, the highe</w:t>
      </w:r>
      <w:r w:rsidR="00A955A8" w:rsidRPr="00A57B36">
        <w:rPr>
          <w:rFonts w:ascii="Arial" w:hAnsi="Arial" w:cs="Arial"/>
          <w:sz w:val="24"/>
          <w:szCs w:val="24"/>
        </w:rPr>
        <w:t>r</w:t>
      </w:r>
      <w:r w:rsidR="00176A0D" w:rsidRPr="00A57B36">
        <w:rPr>
          <w:rFonts w:ascii="Arial" w:hAnsi="Arial" w:cs="Arial"/>
          <w:sz w:val="24"/>
          <w:szCs w:val="24"/>
        </w:rPr>
        <w:t xml:space="preserve"> of the collateral </w:t>
      </w:r>
      <w:r w:rsidR="00D43FFA" w:rsidRPr="00A57B36">
        <w:rPr>
          <w:rFonts w:ascii="Arial" w:hAnsi="Arial" w:cs="Arial"/>
          <w:sz w:val="24"/>
          <w:szCs w:val="24"/>
        </w:rPr>
        <w:t xml:space="preserve">credit rating </w:t>
      </w:r>
      <w:r w:rsidR="00176A0D" w:rsidRPr="00A57B36">
        <w:rPr>
          <w:rFonts w:ascii="Arial" w:hAnsi="Arial" w:cs="Arial"/>
          <w:sz w:val="24"/>
          <w:szCs w:val="24"/>
        </w:rPr>
        <w:t xml:space="preserve">and the counterparty </w:t>
      </w:r>
      <w:r w:rsidR="00D43FFA" w:rsidRPr="00A57B36">
        <w:rPr>
          <w:rFonts w:ascii="Arial" w:hAnsi="Arial" w:cs="Arial"/>
          <w:sz w:val="24"/>
          <w:szCs w:val="24"/>
        </w:rPr>
        <w:t>credit rating will be used to determine cash and time limits.</w:t>
      </w:r>
      <w:r w:rsidR="00B71359" w:rsidRPr="00A57B36">
        <w:rPr>
          <w:rFonts w:ascii="Arial" w:hAnsi="Arial" w:cs="Arial"/>
          <w:sz w:val="24"/>
          <w:szCs w:val="24"/>
        </w:rPr>
        <w:t xml:space="preserve"> </w:t>
      </w:r>
      <w:r w:rsidR="00557C9C" w:rsidRPr="00A57B36">
        <w:rPr>
          <w:rFonts w:ascii="Arial" w:hAnsi="Arial" w:cs="Arial"/>
          <w:sz w:val="24"/>
          <w:szCs w:val="24"/>
        </w:rPr>
        <w:t xml:space="preserve"> </w:t>
      </w:r>
      <w:r w:rsidR="00B71359" w:rsidRPr="00A57B36">
        <w:rPr>
          <w:rFonts w:ascii="Arial" w:hAnsi="Arial" w:cs="Arial"/>
          <w:sz w:val="24"/>
          <w:szCs w:val="24"/>
        </w:rPr>
        <w:t>The combined secured and unsecured investments in any one bank will not exceed the cash limit for secured investments.</w:t>
      </w:r>
    </w:p>
    <w:p w14:paraId="1B44A537" w14:textId="77777777" w:rsidR="00557C9C" w:rsidRPr="00A57B36" w:rsidRDefault="00557C9C" w:rsidP="00A57B36">
      <w:pPr>
        <w:pStyle w:val="ListParagraph"/>
        <w:keepNext/>
        <w:spacing w:after="240" w:line="240" w:lineRule="auto"/>
        <w:contextualSpacing w:val="0"/>
        <w:rPr>
          <w:rFonts w:ascii="Arial" w:hAnsi="Arial" w:cs="Arial"/>
          <w:b/>
          <w:sz w:val="24"/>
          <w:szCs w:val="24"/>
        </w:rPr>
      </w:pPr>
      <w:r w:rsidRPr="00A57B36">
        <w:rPr>
          <w:rFonts w:ascii="Arial" w:hAnsi="Arial" w:cs="Arial"/>
          <w:b/>
          <w:sz w:val="24"/>
          <w:szCs w:val="24"/>
        </w:rPr>
        <w:t>Government</w:t>
      </w:r>
    </w:p>
    <w:p w14:paraId="3382EB99" w14:textId="77777777" w:rsidR="000824E8" w:rsidRPr="00A57B36" w:rsidRDefault="00C82115"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L</w:t>
      </w:r>
      <w:r w:rsidR="004B4BFE" w:rsidRPr="00A57B36">
        <w:rPr>
          <w:rFonts w:ascii="Arial" w:hAnsi="Arial" w:cs="Arial"/>
          <w:sz w:val="24"/>
          <w:szCs w:val="24"/>
        </w:rPr>
        <w:t xml:space="preserve">oans, </w:t>
      </w:r>
      <w:r w:rsidR="00D43FFA" w:rsidRPr="00A57B36">
        <w:rPr>
          <w:rFonts w:ascii="Arial" w:hAnsi="Arial" w:cs="Arial"/>
          <w:sz w:val="24"/>
          <w:szCs w:val="24"/>
        </w:rPr>
        <w:t>bond</w:t>
      </w:r>
      <w:r w:rsidR="00224CF9" w:rsidRPr="00A57B36">
        <w:rPr>
          <w:rFonts w:ascii="Arial" w:hAnsi="Arial" w:cs="Arial"/>
          <w:sz w:val="24"/>
          <w:szCs w:val="24"/>
        </w:rPr>
        <w:t xml:space="preserve">s </w:t>
      </w:r>
      <w:r w:rsidR="004B4BFE" w:rsidRPr="00A57B36">
        <w:rPr>
          <w:rFonts w:ascii="Arial" w:hAnsi="Arial" w:cs="Arial"/>
          <w:sz w:val="24"/>
          <w:szCs w:val="24"/>
        </w:rPr>
        <w:t xml:space="preserve">and bills </w:t>
      </w:r>
      <w:r w:rsidR="00224CF9" w:rsidRPr="00A57B36">
        <w:rPr>
          <w:rFonts w:ascii="Arial" w:hAnsi="Arial" w:cs="Arial"/>
          <w:sz w:val="24"/>
          <w:szCs w:val="24"/>
        </w:rPr>
        <w:t xml:space="preserve">issued or guaranteed by </w:t>
      </w:r>
      <w:r w:rsidR="009D4518" w:rsidRPr="00A57B36">
        <w:rPr>
          <w:rFonts w:ascii="Arial" w:hAnsi="Arial" w:cs="Arial"/>
          <w:sz w:val="24"/>
          <w:szCs w:val="24"/>
        </w:rPr>
        <w:t>national</w:t>
      </w:r>
      <w:r w:rsidR="00FA6C4B" w:rsidRPr="00A57B36">
        <w:rPr>
          <w:rFonts w:ascii="Arial" w:hAnsi="Arial" w:cs="Arial"/>
          <w:sz w:val="24"/>
          <w:szCs w:val="24"/>
        </w:rPr>
        <w:t xml:space="preserve"> government</w:t>
      </w:r>
      <w:r w:rsidR="009D4518" w:rsidRPr="00A57B36">
        <w:rPr>
          <w:rFonts w:ascii="Arial" w:hAnsi="Arial" w:cs="Arial"/>
          <w:sz w:val="24"/>
          <w:szCs w:val="24"/>
        </w:rPr>
        <w:t>s</w:t>
      </w:r>
      <w:r w:rsidR="00FA6C4B" w:rsidRPr="00A57B36">
        <w:rPr>
          <w:rFonts w:ascii="Arial" w:hAnsi="Arial" w:cs="Arial"/>
          <w:sz w:val="24"/>
          <w:szCs w:val="24"/>
        </w:rPr>
        <w:t>, regional and local authoritie</w:t>
      </w:r>
      <w:r w:rsidR="00176A0D" w:rsidRPr="00A57B36">
        <w:rPr>
          <w:rFonts w:ascii="Arial" w:hAnsi="Arial" w:cs="Arial"/>
          <w:sz w:val="24"/>
          <w:szCs w:val="24"/>
        </w:rPr>
        <w:t>s and multi</w:t>
      </w:r>
      <w:r w:rsidR="00224CF9" w:rsidRPr="00A57B36">
        <w:rPr>
          <w:rFonts w:ascii="Arial" w:hAnsi="Arial" w:cs="Arial"/>
          <w:sz w:val="24"/>
          <w:szCs w:val="24"/>
        </w:rPr>
        <w:t>lateral development banks</w:t>
      </w:r>
      <w:r w:rsidR="008F7709" w:rsidRPr="00A57B36">
        <w:rPr>
          <w:rFonts w:ascii="Arial" w:hAnsi="Arial" w:cs="Arial"/>
          <w:sz w:val="24"/>
          <w:szCs w:val="24"/>
        </w:rPr>
        <w:t xml:space="preserve">. </w:t>
      </w:r>
      <w:r w:rsidR="00557C9C" w:rsidRPr="00A57B36">
        <w:rPr>
          <w:rFonts w:ascii="Arial" w:hAnsi="Arial" w:cs="Arial"/>
          <w:sz w:val="24"/>
          <w:szCs w:val="24"/>
        </w:rPr>
        <w:t xml:space="preserve"> </w:t>
      </w:r>
      <w:r w:rsidR="00F43033" w:rsidRPr="00A57B36">
        <w:rPr>
          <w:rFonts w:ascii="Arial" w:hAnsi="Arial" w:cs="Arial"/>
          <w:sz w:val="24"/>
          <w:szCs w:val="24"/>
        </w:rPr>
        <w:t>These investments are not subject to bail-in, and there is an ins</w:t>
      </w:r>
      <w:r w:rsidR="008F7709" w:rsidRPr="00A57B36">
        <w:rPr>
          <w:rFonts w:ascii="Arial" w:hAnsi="Arial" w:cs="Arial"/>
          <w:sz w:val="24"/>
          <w:szCs w:val="24"/>
        </w:rPr>
        <w:t xml:space="preserve">ignificant risk of insolvency. </w:t>
      </w:r>
      <w:r w:rsidR="00557C9C" w:rsidRPr="00A57B36">
        <w:rPr>
          <w:rFonts w:ascii="Arial" w:hAnsi="Arial" w:cs="Arial"/>
          <w:sz w:val="24"/>
          <w:szCs w:val="24"/>
        </w:rPr>
        <w:t xml:space="preserve"> </w:t>
      </w:r>
      <w:r w:rsidR="0000199E" w:rsidRPr="00A57B36">
        <w:rPr>
          <w:rFonts w:ascii="Arial" w:hAnsi="Arial" w:cs="Arial"/>
          <w:sz w:val="24"/>
          <w:szCs w:val="24"/>
        </w:rPr>
        <w:t>Investments with</w:t>
      </w:r>
      <w:r w:rsidR="006518B2" w:rsidRPr="00A57B36">
        <w:rPr>
          <w:rFonts w:ascii="Arial" w:hAnsi="Arial" w:cs="Arial"/>
          <w:sz w:val="24"/>
          <w:szCs w:val="24"/>
        </w:rPr>
        <w:t xml:space="preserve"> </w:t>
      </w:r>
      <w:r w:rsidR="00176A0D" w:rsidRPr="00A57B36">
        <w:rPr>
          <w:rFonts w:ascii="Arial" w:hAnsi="Arial" w:cs="Arial"/>
          <w:sz w:val="24"/>
          <w:szCs w:val="24"/>
        </w:rPr>
        <w:t xml:space="preserve">the UK </w:t>
      </w:r>
      <w:r w:rsidR="006518B2" w:rsidRPr="00A57B36">
        <w:rPr>
          <w:rFonts w:ascii="Arial" w:hAnsi="Arial" w:cs="Arial"/>
          <w:sz w:val="24"/>
          <w:szCs w:val="24"/>
        </w:rPr>
        <w:t>Central G</w:t>
      </w:r>
      <w:r w:rsidR="00176A0D" w:rsidRPr="00A57B36">
        <w:rPr>
          <w:rFonts w:ascii="Arial" w:hAnsi="Arial" w:cs="Arial"/>
          <w:sz w:val="24"/>
          <w:szCs w:val="24"/>
        </w:rPr>
        <w:t xml:space="preserve">overnment may </w:t>
      </w:r>
      <w:r w:rsidR="006518B2" w:rsidRPr="00A57B36">
        <w:rPr>
          <w:rFonts w:ascii="Arial" w:hAnsi="Arial" w:cs="Arial"/>
          <w:sz w:val="24"/>
          <w:szCs w:val="24"/>
        </w:rPr>
        <w:t xml:space="preserve">be made in unlimited amounts for up to </w:t>
      </w:r>
      <w:r w:rsidR="00557C9C" w:rsidRPr="00A57B36">
        <w:rPr>
          <w:rFonts w:ascii="Arial" w:hAnsi="Arial" w:cs="Arial"/>
          <w:sz w:val="24"/>
          <w:szCs w:val="24"/>
        </w:rPr>
        <w:t>3</w:t>
      </w:r>
      <w:r w:rsidR="006518B2" w:rsidRPr="00A57B36">
        <w:rPr>
          <w:rFonts w:ascii="Arial" w:hAnsi="Arial" w:cs="Arial"/>
          <w:sz w:val="24"/>
          <w:szCs w:val="24"/>
        </w:rPr>
        <w:t>0 years.</w:t>
      </w:r>
    </w:p>
    <w:p w14:paraId="40952466" w14:textId="77777777" w:rsidR="00557C9C" w:rsidRPr="00A57B36" w:rsidRDefault="00557C9C" w:rsidP="00A57B36">
      <w:pPr>
        <w:pStyle w:val="ListParagraph"/>
        <w:spacing w:after="240" w:line="240" w:lineRule="auto"/>
        <w:contextualSpacing w:val="0"/>
        <w:rPr>
          <w:rFonts w:ascii="Arial" w:hAnsi="Arial" w:cs="Arial"/>
          <w:b/>
          <w:sz w:val="24"/>
          <w:szCs w:val="24"/>
        </w:rPr>
      </w:pPr>
      <w:r w:rsidRPr="00A57B36">
        <w:rPr>
          <w:rFonts w:ascii="Arial" w:hAnsi="Arial" w:cs="Arial"/>
          <w:b/>
          <w:sz w:val="24"/>
          <w:szCs w:val="24"/>
        </w:rPr>
        <w:t>Corporates</w:t>
      </w:r>
    </w:p>
    <w:p w14:paraId="34A23266" w14:textId="77777777" w:rsidR="00176A0D" w:rsidRPr="00A57B36" w:rsidRDefault="004B4BFE"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Loans, </w:t>
      </w:r>
      <w:r w:rsidR="00637907" w:rsidRPr="00A57B36">
        <w:rPr>
          <w:rFonts w:ascii="Arial" w:hAnsi="Arial" w:cs="Arial"/>
          <w:sz w:val="24"/>
          <w:szCs w:val="24"/>
        </w:rPr>
        <w:t xml:space="preserve">bonds </w:t>
      </w:r>
      <w:r w:rsidRPr="00A57B36">
        <w:rPr>
          <w:rFonts w:ascii="Arial" w:hAnsi="Arial" w:cs="Arial"/>
          <w:sz w:val="24"/>
          <w:szCs w:val="24"/>
        </w:rPr>
        <w:t xml:space="preserve">and </w:t>
      </w:r>
      <w:r w:rsidR="00C82115" w:rsidRPr="00A57B36">
        <w:rPr>
          <w:rFonts w:ascii="Arial" w:hAnsi="Arial" w:cs="Arial"/>
          <w:sz w:val="24"/>
          <w:szCs w:val="24"/>
        </w:rPr>
        <w:t xml:space="preserve">commercial </w:t>
      </w:r>
      <w:r w:rsidRPr="00A57B36">
        <w:rPr>
          <w:rFonts w:ascii="Arial" w:hAnsi="Arial" w:cs="Arial"/>
          <w:sz w:val="24"/>
          <w:szCs w:val="24"/>
        </w:rPr>
        <w:t xml:space="preserve">paper </w:t>
      </w:r>
      <w:r w:rsidR="00637907" w:rsidRPr="00A57B36">
        <w:rPr>
          <w:rFonts w:ascii="Arial" w:hAnsi="Arial" w:cs="Arial"/>
          <w:sz w:val="24"/>
          <w:szCs w:val="24"/>
        </w:rPr>
        <w:t>issued by companies other than banks</w:t>
      </w:r>
      <w:r w:rsidR="00A6335D" w:rsidRPr="00A57B36">
        <w:rPr>
          <w:rFonts w:ascii="Arial" w:hAnsi="Arial" w:cs="Arial"/>
          <w:sz w:val="24"/>
          <w:szCs w:val="24"/>
        </w:rPr>
        <w:t xml:space="preserve"> and registered providers</w:t>
      </w:r>
      <w:r w:rsidR="00637907" w:rsidRPr="00A57B36">
        <w:rPr>
          <w:rFonts w:ascii="Arial" w:hAnsi="Arial" w:cs="Arial"/>
          <w:sz w:val="24"/>
          <w:szCs w:val="24"/>
        </w:rPr>
        <w:t xml:space="preserve">. </w:t>
      </w:r>
      <w:r w:rsidR="00557C9C" w:rsidRPr="00A57B36">
        <w:rPr>
          <w:rFonts w:ascii="Arial" w:hAnsi="Arial" w:cs="Arial"/>
          <w:sz w:val="24"/>
          <w:szCs w:val="24"/>
        </w:rPr>
        <w:t xml:space="preserve"> </w:t>
      </w:r>
      <w:r w:rsidR="00637907" w:rsidRPr="00A57B36">
        <w:rPr>
          <w:rFonts w:ascii="Arial" w:hAnsi="Arial" w:cs="Arial"/>
          <w:sz w:val="24"/>
          <w:szCs w:val="24"/>
        </w:rPr>
        <w:t>These investments are not subject to bail-</w:t>
      </w:r>
      <w:proofErr w:type="gramStart"/>
      <w:r w:rsidR="00637907" w:rsidRPr="00A57B36">
        <w:rPr>
          <w:rFonts w:ascii="Arial" w:hAnsi="Arial" w:cs="Arial"/>
          <w:sz w:val="24"/>
          <w:szCs w:val="24"/>
        </w:rPr>
        <w:t>in, but</w:t>
      </w:r>
      <w:proofErr w:type="gramEnd"/>
      <w:r w:rsidR="00637907" w:rsidRPr="00A57B36">
        <w:rPr>
          <w:rFonts w:ascii="Arial" w:hAnsi="Arial" w:cs="Arial"/>
          <w:sz w:val="24"/>
          <w:szCs w:val="24"/>
        </w:rPr>
        <w:t xml:space="preserve"> are exposed to the risk of the company going insolvent.</w:t>
      </w:r>
      <w:r w:rsidR="0000199E" w:rsidRPr="00A57B36">
        <w:rPr>
          <w:rFonts w:ascii="Arial" w:hAnsi="Arial" w:cs="Arial"/>
          <w:sz w:val="24"/>
          <w:szCs w:val="24"/>
        </w:rPr>
        <w:t xml:space="preserve">  </w:t>
      </w:r>
    </w:p>
    <w:p w14:paraId="4D74489F" w14:textId="6596F3AD" w:rsidR="00557C9C" w:rsidRPr="00A57B36" w:rsidRDefault="00B9121E" w:rsidP="00A57B36">
      <w:pPr>
        <w:pStyle w:val="ListParagraph"/>
        <w:keepNext/>
        <w:spacing w:after="240" w:line="240" w:lineRule="auto"/>
        <w:contextualSpacing w:val="0"/>
        <w:rPr>
          <w:rFonts w:ascii="Arial" w:hAnsi="Arial" w:cs="Arial"/>
          <w:b/>
          <w:sz w:val="24"/>
          <w:szCs w:val="24"/>
        </w:rPr>
      </w:pPr>
      <w:r w:rsidRPr="00A57B36">
        <w:rPr>
          <w:rFonts w:ascii="Arial" w:hAnsi="Arial" w:cs="Arial"/>
          <w:b/>
          <w:sz w:val="24"/>
          <w:szCs w:val="24"/>
        </w:rPr>
        <w:t>Registered Providers</w:t>
      </w:r>
      <w:r w:rsidR="002855C0">
        <w:rPr>
          <w:rFonts w:ascii="Arial" w:hAnsi="Arial" w:cs="Arial"/>
          <w:b/>
          <w:sz w:val="24"/>
          <w:szCs w:val="24"/>
        </w:rPr>
        <w:t xml:space="preserve"> </w:t>
      </w:r>
    </w:p>
    <w:p w14:paraId="0112E63D" w14:textId="77777777" w:rsidR="00176A0D" w:rsidRPr="00A57B36" w:rsidRDefault="00A6335D"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Loans and bonds issued </w:t>
      </w:r>
      <w:r w:rsidR="00160C8A" w:rsidRPr="00A57B36">
        <w:rPr>
          <w:rFonts w:ascii="Arial" w:hAnsi="Arial" w:cs="Arial"/>
          <w:sz w:val="24"/>
          <w:szCs w:val="24"/>
        </w:rPr>
        <w:t xml:space="preserve">by, guaranteed </w:t>
      </w:r>
      <w:r w:rsidRPr="00A57B36">
        <w:rPr>
          <w:rFonts w:ascii="Arial" w:hAnsi="Arial" w:cs="Arial"/>
          <w:sz w:val="24"/>
          <w:szCs w:val="24"/>
        </w:rPr>
        <w:t xml:space="preserve">by </w:t>
      </w:r>
      <w:r w:rsidR="00160C8A" w:rsidRPr="00A57B36">
        <w:rPr>
          <w:rFonts w:ascii="Arial" w:hAnsi="Arial" w:cs="Arial"/>
          <w:sz w:val="24"/>
          <w:szCs w:val="24"/>
        </w:rPr>
        <w:t xml:space="preserve">or secured on the assets of </w:t>
      </w:r>
      <w:r w:rsidRPr="00A57B36">
        <w:rPr>
          <w:rFonts w:ascii="Arial" w:hAnsi="Arial" w:cs="Arial"/>
          <w:sz w:val="24"/>
          <w:szCs w:val="24"/>
        </w:rPr>
        <w:t>Registered Provide</w:t>
      </w:r>
      <w:r w:rsidR="00160C8A" w:rsidRPr="00A57B36">
        <w:rPr>
          <w:rFonts w:ascii="Arial" w:hAnsi="Arial" w:cs="Arial"/>
          <w:sz w:val="24"/>
          <w:szCs w:val="24"/>
        </w:rPr>
        <w:t xml:space="preserve">rs of Social Housing, </w:t>
      </w:r>
      <w:r w:rsidRPr="00A57B36">
        <w:rPr>
          <w:rFonts w:ascii="Arial" w:hAnsi="Arial" w:cs="Arial"/>
          <w:sz w:val="24"/>
          <w:szCs w:val="24"/>
        </w:rPr>
        <w:t>formerly known as Housing Associations</w:t>
      </w:r>
      <w:r w:rsidR="00160C8A" w:rsidRPr="00A57B36">
        <w:rPr>
          <w:rFonts w:ascii="Arial" w:hAnsi="Arial" w:cs="Arial"/>
          <w:sz w:val="24"/>
          <w:szCs w:val="24"/>
        </w:rPr>
        <w:t>.  These bodies</w:t>
      </w:r>
      <w:r w:rsidRPr="00A57B36">
        <w:rPr>
          <w:rFonts w:ascii="Arial" w:hAnsi="Arial" w:cs="Arial"/>
          <w:sz w:val="24"/>
          <w:szCs w:val="24"/>
        </w:rPr>
        <w:t xml:space="preserve"> are tightly regulated by the Homes and Communities Agency and</w:t>
      </w:r>
      <w:r w:rsidR="00160C8A" w:rsidRPr="00A57B36">
        <w:rPr>
          <w:rFonts w:ascii="Arial" w:hAnsi="Arial" w:cs="Arial"/>
          <w:sz w:val="24"/>
          <w:szCs w:val="24"/>
        </w:rPr>
        <w:t>,</w:t>
      </w:r>
      <w:r w:rsidRPr="00A57B36">
        <w:rPr>
          <w:rFonts w:ascii="Arial" w:hAnsi="Arial" w:cs="Arial"/>
          <w:sz w:val="24"/>
          <w:szCs w:val="24"/>
        </w:rPr>
        <w:t xml:space="preserve"> as providers of public services, they </w:t>
      </w:r>
      <w:r w:rsidR="008F7709" w:rsidRPr="00A57B36">
        <w:rPr>
          <w:rFonts w:ascii="Arial" w:hAnsi="Arial" w:cs="Arial"/>
          <w:sz w:val="24"/>
          <w:szCs w:val="24"/>
        </w:rPr>
        <w:t>retain the</w:t>
      </w:r>
      <w:r w:rsidRPr="00A57B36">
        <w:rPr>
          <w:rFonts w:ascii="Arial" w:hAnsi="Arial" w:cs="Arial"/>
          <w:sz w:val="24"/>
          <w:szCs w:val="24"/>
        </w:rPr>
        <w:t xml:space="preserve"> likelihood of receiving government support if needed.  </w:t>
      </w:r>
    </w:p>
    <w:p w14:paraId="4D1769E8" w14:textId="138CB884" w:rsidR="00557C9C" w:rsidRPr="00A57B36" w:rsidRDefault="00557C9C" w:rsidP="00A57B36">
      <w:pPr>
        <w:pStyle w:val="ListParagraph"/>
        <w:spacing w:after="240" w:line="240" w:lineRule="auto"/>
        <w:contextualSpacing w:val="0"/>
        <w:rPr>
          <w:rFonts w:ascii="Arial" w:hAnsi="Arial" w:cs="Arial"/>
          <w:b/>
          <w:sz w:val="24"/>
          <w:szCs w:val="24"/>
        </w:rPr>
      </w:pPr>
      <w:r w:rsidRPr="00A57B36">
        <w:rPr>
          <w:rFonts w:ascii="Arial" w:hAnsi="Arial" w:cs="Arial"/>
          <w:b/>
          <w:sz w:val="24"/>
          <w:szCs w:val="24"/>
        </w:rPr>
        <w:t>Pooled Funds</w:t>
      </w:r>
    </w:p>
    <w:p w14:paraId="1646C885" w14:textId="77777777" w:rsidR="00C20D5B" w:rsidRPr="00A57B36" w:rsidRDefault="00C82115"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Shares in d</w:t>
      </w:r>
      <w:r w:rsidR="004969C3" w:rsidRPr="00A57B36">
        <w:rPr>
          <w:rFonts w:ascii="Arial" w:hAnsi="Arial" w:cs="Arial"/>
          <w:sz w:val="24"/>
          <w:szCs w:val="24"/>
        </w:rPr>
        <w:t xml:space="preserve">iversified investment vehicles consisting of </w:t>
      </w:r>
      <w:r w:rsidRPr="00A57B36">
        <w:rPr>
          <w:rFonts w:ascii="Arial" w:hAnsi="Arial" w:cs="Arial"/>
          <w:sz w:val="24"/>
          <w:szCs w:val="24"/>
        </w:rPr>
        <w:t xml:space="preserve">any of the </w:t>
      </w:r>
      <w:r w:rsidR="00AC042B" w:rsidRPr="00A57B36">
        <w:rPr>
          <w:rFonts w:ascii="Arial" w:hAnsi="Arial" w:cs="Arial"/>
          <w:sz w:val="24"/>
          <w:szCs w:val="24"/>
        </w:rPr>
        <w:t xml:space="preserve">above investment types, plus </w:t>
      </w:r>
      <w:r w:rsidR="004969C3" w:rsidRPr="00A57B36">
        <w:rPr>
          <w:rFonts w:ascii="Arial" w:hAnsi="Arial" w:cs="Arial"/>
          <w:sz w:val="24"/>
          <w:szCs w:val="24"/>
        </w:rPr>
        <w:t>equit</w:t>
      </w:r>
      <w:r w:rsidR="00AC042B" w:rsidRPr="00A57B36">
        <w:rPr>
          <w:rFonts w:ascii="Arial" w:hAnsi="Arial" w:cs="Arial"/>
          <w:sz w:val="24"/>
          <w:szCs w:val="24"/>
        </w:rPr>
        <w:t>y shares</w:t>
      </w:r>
      <w:r w:rsidR="004969C3" w:rsidRPr="00A57B36">
        <w:rPr>
          <w:rFonts w:ascii="Arial" w:hAnsi="Arial" w:cs="Arial"/>
          <w:sz w:val="24"/>
          <w:szCs w:val="24"/>
        </w:rPr>
        <w:t xml:space="preserve"> and property. </w:t>
      </w:r>
      <w:r w:rsidR="00557C9C" w:rsidRPr="00A57B36">
        <w:rPr>
          <w:rFonts w:ascii="Arial" w:hAnsi="Arial" w:cs="Arial"/>
          <w:sz w:val="24"/>
          <w:szCs w:val="24"/>
        </w:rPr>
        <w:t xml:space="preserve"> </w:t>
      </w:r>
      <w:r w:rsidR="004969C3" w:rsidRPr="00A57B36">
        <w:rPr>
          <w:rFonts w:ascii="Arial" w:hAnsi="Arial" w:cs="Arial"/>
          <w:sz w:val="24"/>
          <w:szCs w:val="24"/>
        </w:rPr>
        <w:t xml:space="preserve">These </w:t>
      </w:r>
      <w:r w:rsidRPr="00A57B36">
        <w:rPr>
          <w:rFonts w:ascii="Arial" w:hAnsi="Arial" w:cs="Arial"/>
          <w:sz w:val="24"/>
          <w:szCs w:val="24"/>
        </w:rPr>
        <w:t xml:space="preserve">funds </w:t>
      </w:r>
      <w:r w:rsidR="004969C3" w:rsidRPr="00A57B36">
        <w:rPr>
          <w:rFonts w:ascii="Arial" w:hAnsi="Arial" w:cs="Arial"/>
          <w:sz w:val="24"/>
          <w:szCs w:val="24"/>
        </w:rPr>
        <w:t>have the advantage of providing wide diversification of investment risks, coupled with the services of a professional fund manager</w:t>
      </w:r>
      <w:r w:rsidRPr="00A57B36">
        <w:rPr>
          <w:rFonts w:ascii="Arial" w:hAnsi="Arial" w:cs="Arial"/>
          <w:sz w:val="24"/>
          <w:szCs w:val="24"/>
        </w:rPr>
        <w:t xml:space="preserve"> in return for a fee</w:t>
      </w:r>
      <w:r w:rsidR="004969C3" w:rsidRPr="00A57B36">
        <w:rPr>
          <w:rFonts w:ascii="Arial" w:hAnsi="Arial" w:cs="Arial"/>
          <w:sz w:val="24"/>
          <w:szCs w:val="24"/>
        </w:rPr>
        <w:t xml:space="preserve">.  </w:t>
      </w:r>
      <w:r w:rsidR="000A59FD" w:rsidRPr="00A57B36">
        <w:rPr>
          <w:rFonts w:ascii="Arial" w:hAnsi="Arial" w:cs="Arial"/>
          <w:sz w:val="24"/>
          <w:szCs w:val="24"/>
        </w:rPr>
        <w:t xml:space="preserve">Short-term </w:t>
      </w:r>
      <w:r w:rsidR="0000199E" w:rsidRPr="00A57B36">
        <w:rPr>
          <w:rFonts w:ascii="Arial" w:hAnsi="Arial" w:cs="Arial"/>
          <w:sz w:val="24"/>
          <w:szCs w:val="24"/>
        </w:rPr>
        <w:t>Money Market F</w:t>
      </w:r>
      <w:r w:rsidR="00C20D5B" w:rsidRPr="00A57B36">
        <w:rPr>
          <w:rFonts w:ascii="Arial" w:hAnsi="Arial" w:cs="Arial"/>
          <w:sz w:val="24"/>
          <w:szCs w:val="24"/>
        </w:rPr>
        <w:t xml:space="preserve">unds that offer same-day liquidity and </w:t>
      </w:r>
      <w:r w:rsidR="000A59FD" w:rsidRPr="00A57B36">
        <w:rPr>
          <w:rFonts w:ascii="Arial" w:hAnsi="Arial" w:cs="Arial"/>
          <w:sz w:val="24"/>
          <w:szCs w:val="24"/>
        </w:rPr>
        <w:t xml:space="preserve">very low </w:t>
      </w:r>
      <w:r w:rsidR="009B53E7" w:rsidRPr="00A57B36">
        <w:rPr>
          <w:rFonts w:ascii="Arial" w:hAnsi="Arial" w:cs="Arial"/>
          <w:sz w:val="24"/>
          <w:szCs w:val="24"/>
        </w:rPr>
        <w:t xml:space="preserve">or no </w:t>
      </w:r>
      <w:r w:rsidR="000A59FD" w:rsidRPr="00A57B36">
        <w:rPr>
          <w:rFonts w:ascii="Arial" w:hAnsi="Arial" w:cs="Arial"/>
          <w:sz w:val="24"/>
          <w:szCs w:val="24"/>
        </w:rPr>
        <w:t xml:space="preserve">volatility </w:t>
      </w:r>
      <w:r w:rsidR="00C20D5B" w:rsidRPr="00A57B36">
        <w:rPr>
          <w:rFonts w:ascii="Arial" w:hAnsi="Arial" w:cs="Arial"/>
          <w:sz w:val="24"/>
          <w:szCs w:val="24"/>
        </w:rPr>
        <w:t xml:space="preserve">will be used as an alternative to instant access </w:t>
      </w:r>
      <w:r w:rsidR="00FA5BB4" w:rsidRPr="00A57B36">
        <w:rPr>
          <w:rFonts w:ascii="Arial" w:hAnsi="Arial" w:cs="Arial"/>
          <w:sz w:val="24"/>
          <w:szCs w:val="24"/>
        </w:rPr>
        <w:t>bank</w:t>
      </w:r>
      <w:r w:rsidR="00C20D5B" w:rsidRPr="00A57B36">
        <w:rPr>
          <w:rFonts w:ascii="Arial" w:hAnsi="Arial" w:cs="Arial"/>
          <w:sz w:val="24"/>
          <w:szCs w:val="24"/>
        </w:rPr>
        <w:t xml:space="preserve"> accounts, while </w:t>
      </w:r>
      <w:r w:rsidR="0000199E" w:rsidRPr="00A57B36">
        <w:rPr>
          <w:rFonts w:ascii="Arial" w:hAnsi="Arial" w:cs="Arial"/>
          <w:sz w:val="24"/>
          <w:szCs w:val="24"/>
        </w:rPr>
        <w:t xml:space="preserve">pooled </w:t>
      </w:r>
      <w:r w:rsidR="00C20D5B" w:rsidRPr="00A57B36">
        <w:rPr>
          <w:rFonts w:ascii="Arial" w:hAnsi="Arial" w:cs="Arial"/>
          <w:sz w:val="24"/>
          <w:szCs w:val="24"/>
        </w:rPr>
        <w:t xml:space="preserve">funds whose value changes with market prices and/or have a notice period will be used for longer investment periods. </w:t>
      </w:r>
    </w:p>
    <w:p w14:paraId="34875016" w14:textId="72B9EC08" w:rsidR="004059BC" w:rsidRDefault="00AC042B"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Bond, equity and property funds offer </w:t>
      </w:r>
      <w:r w:rsidR="005403F6" w:rsidRPr="00A57B36">
        <w:rPr>
          <w:rFonts w:ascii="Arial" w:hAnsi="Arial" w:cs="Arial"/>
          <w:sz w:val="24"/>
          <w:szCs w:val="24"/>
        </w:rPr>
        <w:t xml:space="preserve">enhanced returns over the longer </w:t>
      </w:r>
      <w:proofErr w:type="gramStart"/>
      <w:r w:rsidR="005403F6" w:rsidRPr="00A57B36">
        <w:rPr>
          <w:rFonts w:ascii="Arial" w:hAnsi="Arial" w:cs="Arial"/>
          <w:sz w:val="24"/>
          <w:szCs w:val="24"/>
        </w:rPr>
        <w:t>term, but</w:t>
      </w:r>
      <w:proofErr w:type="gramEnd"/>
      <w:r w:rsidR="005403F6" w:rsidRPr="00A57B36">
        <w:rPr>
          <w:rFonts w:ascii="Arial" w:hAnsi="Arial" w:cs="Arial"/>
          <w:sz w:val="24"/>
          <w:szCs w:val="24"/>
        </w:rPr>
        <w:t xml:space="preserve"> are more volati</w:t>
      </w:r>
      <w:r w:rsidRPr="00A57B36">
        <w:rPr>
          <w:rFonts w:ascii="Arial" w:hAnsi="Arial" w:cs="Arial"/>
          <w:sz w:val="24"/>
          <w:szCs w:val="24"/>
        </w:rPr>
        <w:t>le in the short</w:t>
      </w:r>
      <w:r w:rsidR="005403F6" w:rsidRPr="00A57B36">
        <w:rPr>
          <w:rFonts w:ascii="Arial" w:hAnsi="Arial" w:cs="Arial"/>
          <w:sz w:val="24"/>
          <w:szCs w:val="24"/>
        </w:rPr>
        <w:t xml:space="preserve"> term.  </w:t>
      </w:r>
      <w:r w:rsidR="00EE1B8B" w:rsidRPr="00A57B36">
        <w:rPr>
          <w:rFonts w:ascii="Arial" w:hAnsi="Arial" w:cs="Arial"/>
          <w:sz w:val="24"/>
          <w:szCs w:val="24"/>
        </w:rPr>
        <w:t>These allow</w:t>
      </w:r>
      <w:r w:rsidR="005403F6" w:rsidRPr="00A57B36">
        <w:rPr>
          <w:rFonts w:ascii="Arial" w:hAnsi="Arial" w:cs="Arial"/>
          <w:sz w:val="24"/>
          <w:szCs w:val="24"/>
        </w:rPr>
        <w:t xml:space="preserve"> the </w:t>
      </w:r>
      <w:r w:rsidR="00557C9C" w:rsidRPr="00A57B36">
        <w:rPr>
          <w:rFonts w:ascii="Arial" w:hAnsi="Arial" w:cs="Arial"/>
          <w:sz w:val="24"/>
          <w:szCs w:val="24"/>
        </w:rPr>
        <w:t>OPCC</w:t>
      </w:r>
      <w:r w:rsidR="005403F6" w:rsidRPr="00A57B36">
        <w:rPr>
          <w:rFonts w:ascii="Arial" w:hAnsi="Arial" w:cs="Arial"/>
          <w:sz w:val="24"/>
          <w:szCs w:val="24"/>
        </w:rPr>
        <w:t xml:space="preserve"> to diversify </w:t>
      </w:r>
      <w:r w:rsidR="00EE1B8B" w:rsidRPr="00A57B36">
        <w:rPr>
          <w:rFonts w:ascii="Arial" w:hAnsi="Arial" w:cs="Arial"/>
          <w:sz w:val="24"/>
          <w:szCs w:val="24"/>
        </w:rPr>
        <w:t xml:space="preserve">into </w:t>
      </w:r>
      <w:r w:rsidR="005403F6" w:rsidRPr="00A57B36">
        <w:rPr>
          <w:rFonts w:ascii="Arial" w:hAnsi="Arial" w:cs="Arial"/>
          <w:sz w:val="24"/>
          <w:szCs w:val="24"/>
        </w:rPr>
        <w:t xml:space="preserve">asset classes </w:t>
      </w:r>
      <w:r w:rsidR="00EE1B8B" w:rsidRPr="00A57B36">
        <w:rPr>
          <w:rFonts w:ascii="Arial" w:hAnsi="Arial" w:cs="Arial"/>
          <w:sz w:val="24"/>
          <w:szCs w:val="24"/>
        </w:rPr>
        <w:t>other than cash without the need to own and manage the underlying investments.</w:t>
      </w:r>
      <w:r w:rsidR="00557C9C" w:rsidRPr="00A57B36">
        <w:rPr>
          <w:rFonts w:ascii="Arial" w:hAnsi="Arial" w:cs="Arial"/>
          <w:sz w:val="24"/>
          <w:szCs w:val="24"/>
        </w:rPr>
        <w:t xml:space="preserve">  Depending on the type of pooled fund invested in, it may have to be classified as capital expenditure.</w:t>
      </w:r>
      <w:r w:rsidR="00EE1B8B" w:rsidRPr="00A57B36">
        <w:rPr>
          <w:rFonts w:ascii="Arial" w:hAnsi="Arial" w:cs="Arial"/>
          <w:sz w:val="24"/>
          <w:szCs w:val="24"/>
        </w:rPr>
        <w:t xml:space="preserve"> </w:t>
      </w:r>
      <w:r w:rsidR="00557C9C" w:rsidRPr="00A57B36">
        <w:rPr>
          <w:rFonts w:ascii="Arial" w:hAnsi="Arial" w:cs="Arial"/>
          <w:sz w:val="24"/>
          <w:szCs w:val="24"/>
        </w:rPr>
        <w:t xml:space="preserve"> </w:t>
      </w:r>
      <w:r w:rsidR="00EE1B8B" w:rsidRPr="00A57B36">
        <w:rPr>
          <w:rFonts w:ascii="Arial" w:hAnsi="Arial" w:cs="Arial"/>
          <w:sz w:val="24"/>
          <w:szCs w:val="24"/>
        </w:rPr>
        <w:t>Because these funds have no defined maturity date, but are available for withdrawal after a notice period,</w:t>
      </w:r>
      <w:r w:rsidR="005403F6" w:rsidRPr="00A57B36">
        <w:rPr>
          <w:rFonts w:ascii="Arial" w:hAnsi="Arial" w:cs="Arial"/>
          <w:sz w:val="24"/>
          <w:szCs w:val="24"/>
        </w:rPr>
        <w:t xml:space="preserve"> their performance and continued suitability in meeting the </w:t>
      </w:r>
      <w:r w:rsidR="00557C9C" w:rsidRPr="00A57B36">
        <w:rPr>
          <w:rFonts w:ascii="Arial" w:hAnsi="Arial" w:cs="Arial"/>
          <w:sz w:val="24"/>
          <w:szCs w:val="24"/>
        </w:rPr>
        <w:t>OPCC</w:t>
      </w:r>
      <w:r w:rsidR="005403F6" w:rsidRPr="00A57B36">
        <w:rPr>
          <w:rFonts w:ascii="Arial" w:hAnsi="Arial" w:cs="Arial"/>
          <w:sz w:val="24"/>
          <w:szCs w:val="24"/>
        </w:rPr>
        <w:t xml:space="preserve">’s investment objectives </w:t>
      </w:r>
      <w:r w:rsidR="00EE1B8B" w:rsidRPr="00A57B36">
        <w:rPr>
          <w:rFonts w:ascii="Arial" w:hAnsi="Arial" w:cs="Arial"/>
          <w:sz w:val="24"/>
          <w:szCs w:val="24"/>
        </w:rPr>
        <w:t>will be monitored regularly</w:t>
      </w:r>
      <w:r w:rsidR="005403F6" w:rsidRPr="00A57B36">
        <w:rPr>
          <w:rFonts w:ascii="Arial" w:hAnsi="Arial" w:cs="Arial"/>
          <w:sz w:val="24"/>
          <w:szCs w:val="24"/>
        </w:rPr>
        <w:t>.</w:t>
      </w:r>
    </w:p>
    <w:p w14:paraId="61A0EF68" w14:textId="2185D299" w:rsidR="00854B22" w:rsidRPr="00E04FDD" w:rsidRDefault="008F2538" w:rsidP="00D223D4">
      <w:pPr>
        <w:pStyle w:val="ListParagraph"/>
        <w:spacing w:after="240" w:line="240" w:lineRule="auto"/>
        <w:contextualSpacing w:val="0"/>
        <w:rPr>
          <w:rFonts w:ascii="Arial" w:hAnsi="Arial" w:cs="Arial"/>
          <w:b/>
          <w:sz w:val="24"/>
          <w:szCs w:val="24"/>
        </w:rPr>
      </w:pPr>
      <w:r w:rsidRPr="00E04FDD">
        <w:rPr>
          <w:rFonts w:ascii="Arial" w:hAnsi="Arial" w:cs="Arial"/>
          <w:b/>
          <w:sz w:val="24"/>
          <w:szCs w:val="24"/>
        </w:rPr>
        <w:t>Real estate investment trusts (REITs)</w:t>
      </w:r>
    </w:p>
    <w:p w14:paraId="5040B4F3" w14:textId="7FC03CEE" w:rsidR="00A50ACA" w:rsidRPr="00E04FDD" w:rsidRDefault="0050614E" w:rsidP="00A57B36">
      <w:pPr>
        <w:pStyle w:val="ListParagraph"/>
        <w:numPr>
          <w:ilvl w:val="1"/>
          <w:numId w:val="27"/>
        </w:numPr>
        <w:spacing w:after="240" w:line="240" w:lineRule="auto"/>
        <w:ind w:left="720" w:hanging="720"/>
        <w:contextualSpacing w:val="0"/>
        <w:rPr>
          <w:rFonts w:ascii="Arial" w:hAnsi="Arial" w:cs="Arial"/>
          <w:sz w:val="24"/>
          <w:szCs w:val="24"/>
        </w:rPr>
      </w:pPr>
      <w:r w:rsidRPr="00E04FDD">
        <w:rPr>
          <w:rFonts w:ascii="Arial" w:hAnsi="Arial" w:cs="Arial"/>
          <w:sz w:val="24"/>
          <w:szCs w:val="24"/>
        </w:rPr>
        <w:t xml:space="preserve">Shares in companies that invest mainly in real estate and pay </w:t>
      </w:r>
      <w:proofErr w:type="gramStart"/>
      <w:r w:rsidRPr="00E04FDD">
        <w:rPr>
          <w:rFonts w:ascii="Arial" w:hAnsi="Arial" w:cs="Arial"/>
          <w:sz w:val="24"/>
          <w:szCs w:val="24"/>
        </w:rPr>
        <w:t>the majority of</w:t>
      </w:r>
      <w:proofErr w:type="gramEnd"/>
      <w:r w:rsidRPr="00E04FDD">
        <w:rPr>
          <w:rFonts w:ascii="Arial" w:hAnsi="Arial" w:cs="Arial"/>
          <w:sz w:val="24"/>
          <w:szCs w:val="24"/>
        </w:rPr>
        <w:t xml:space="preserve"> their rental income to investors in a similar manner to pooled property funds.  As with property funds, REITs offer enhanced returns over the longer term, but are more volatile especially as the share price reflects changing demand for the shares as well as changes in the value of the underlying properties</w:t>
      </w:r>
      <w:r w:rsidR="00854B22" w:rsidRPr="00E04FDD">
        <w:rPr>
          <w:rFonts w:ascii="Arial" w:hAnsi="Arial" w:cs="Arial"/>
          <w:sz w:val="24"/>
          <w:szCs w:val="24"/>
        </w:rPr>
        <w:t>.</w:t>
      </w:r>
      <w:r w:rsidR="004C05F1" w:rsidRPr="00E04FDD">
        <w:rPr>
          <w:rFonts w:ascii="Arial" w:hAnsi="Arial" w:cs="Arial"/>
          <w:sz w:val="24"/>
          <w:szCs w:val="24"/>
        </w:rPr>
        <w:t xml:space="preserve"> REITS wou</w:t>
      </w:r>
      <w:r w:rsidR="006E27D4" w:rsidRPr="00E04FDD">
        <w:rPr>
          <w:rFonts w:ascii="Arial" w:hAnsi="Arial" w:cs="Arial"/>
          <w:sz w:val="24"/>
          <w:szCs w:val="24"/>
        </w:rPr>
        <w:t xml:space="preserve">ld only be entered into following </w:t>
      </w:r>
      <w:r w:rsidR="009301ED" w:rsidRPr="00E04FDD">
        <w:rPr>
          <w:rFonts w:ascii="Arial" w:hAnsi="Arial" w:cs="Arial"/>
          <w:sz w:val="24"/>
          <w:szCs w:val="24"/>
        </w:rPr>
        <w:t xml:space="preserve">advice from </w:t>
      </w:r>
      <w:proofErr w:type="spellStart"/>
      <w:r w:rsidR="009301ED" w:rsidRPr="00E04FDD">
        <w:rPr>
          <w:rFonts w:ascii="Arial" w:hAnsi="Arial" w:cs="Arial"/>
          <w:sz w:val="24"/>
          <w:szCs w:val="24"/>
        </w:rPr>
        <w:t>Arlingclose</w:t>
      </w:r>
      <w:proofErr w:type="spellEnd"/>
      <w:r w:rsidR="009301ED" w:rsidRPr="00E04FDD">
        <w:rPr>
          <w:rFonts w:ascii="Arial" w:hAnsi="Arial" w:cs="Arial"/>
          <w:sz w:val="24"/>
          <w:szCs w:val="24"/>
        </w:rPr>
        <w:t>.</w:t>
      </w:r>
    </w:p>
    <w:p w14:paraId="4618378E" w14:textId="77777777" w:rsidR="003E4544" w:rsidRPr="00A57B36" w:rsidRDefault="003E4544" w:rsidP="00A57B36">
      <w:pPr>
        <w:pStyle w:val="ListParagraph"/>
        <w:spacing w:after="240" w:line="240" w:lineRule="auto"/>
        <w:contextualSpacing w:val="0"/>
        <w:rPr>
          <w:rFonts w:ascii="Arial" w:hAnsi="Arial" w:cs="Arial"/>
          <w:b/>
          <w:sz w:val="24"/>
          <w:szCs w:val="24"/>
        </w:rPr>
      </w:pPr>
      <w:r w:rsidRPr="00A57B36">
        <w:rPr>
          <w:rFonts w:ascii="Arial" w:hAnsi="Arial" w:cs="Arial"/>
          <w:b/>
          <w:sz w:val="24"/>
          <w:szCs w:val="24"/>
        </w:rPr>
        <w:t>Operational bank accounts</w:t>
      </w:r>
    </w:p>
    <w:p w14:paraId="2A181B14" w14:textId="77777777" w:rsidR="003E4544" w:rsidRPr="00A57B36" w:rsidRDefault="003E4544"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The OPCC may incur operational exposures, for example though current accounts, to any UK bank with credit ratings no lower than BBB- and with assets greater than £25 billion.  These are not classed as </w:t>
      </w:r>
      <w:proofErr w:type="gramStart"/>
      <w:r w:rsidRPr="00A57B36">
        <w:rPr>
          <w:rFonts w:ascii="Arial" w:hAnsi="Arial" w:cs="Arial"/>
          <w:sz w:val="24"/>
          <w:szCs w:val="24"/>
        </w:rPr>
        <w:t>investments, but</w:t>
      </w:r>
      <w:proofErr w:type="gramEnd"/>
      <w:r w:rsidRPr="00A57B36">
        <w:rPr>
          <w:rFonts w:ascii="Arial" w:hAnsi="Arial" w:cs="Arial"/>
          <w:sz w:val="24"/>
          <w:szCs w:val="24"/>
        </w:rPr>
        <w:t xml:space="preserve"> are still subject to the risk of a bank bail-in, and balances will therefore be kept low.  The OPCC’s operational bank account is with National Westminster; </w:t>
      </w:r>
      <w:proofErr w:type="gramStart"/>
      <w:r w:rsidRPr="00A57B36">
        <w:rPr>
          <w:rFonts w:ascii="Arial" w:hAnsi="Arial" w:cs="Arial"/>
          <w:sz w:val="24"/>
          <w:szCs w:val="24"/>
        </w:rPr>
        <w:t>therefore</w:t>
      </w:r>
      <w:proofErr w:type="gramEnd"/>
      <w:r w:rsidRPr="00A57B36">
        <w:rPr>
          <w:rFonts w:ascii="Arial" w:hAnsi="Arial" w:cs="Arial"/>
          <w:sz w:val="24"/>
          <w:szCs w:val="24"/>
        </w:rPr>
        <w:t xml:space="preserve"> the </w:t>
      </w:r>
      <w:r w:rsidR="008407B6" w:rsidRPr="00A57B36">
        <w:rPr>
          <w:rFonts w:ascii="Arial" w:hAnsi="Arial" w:cs="Arial"/>
          <w:sz w:val="24"/>
          <w:szCs w:val="24"/>
        </w:rPr>
        <w:t>OPCC</w:t>
      </w:r>
      <w:r w:rsidRPr="00A57B36">
        <w:rPr>
          <w:rFonts w:ascii="Arial" w:hAnsi="Arial" w:cs="Arial"/>
          <w:sz w:val="24"/>
          <w:szCs w:val="24"/>
        </w:rPr>
        <w:t xml:space="preserve"> does not hold unsecured investments in this bank, and aims to keep the overnight balances held in current</w:t>
      </w:r>
      <w:r w:rsidR="006A546E" w:rsidRPr="00A57B36">
        <w:rPr>
          <w:rFonts w:ascii="Arial" w:hAnsi="Arial" w:cs="Arial"/>
          <w:sz w:val="24"/>
          <w:szCs w:val="24"/>
        </w:rPr>
        <w:t xml:space="preserve"> accounts </w:t>
      </w:r>
      <w:r w:rsidRPr="00A57B36">
        <w:rPr>
          <w:rFonts w:ascii="Arial" w:hAnsi="Arial" w:cs="Arial"/>
          <w:sz w:val="24"/>
          <w:szCs w:val="24"/>
        </w:rPr>
        <w:t>positive, and as close to £0 as possible.  The Bank of England has stated that in the event of failure, banks with assets greater than £25 billion are more likely to be bailed-in than made insolvent, increasing the chance of the OPCC maintaining operational continuity.</w:t>
      </w:r>
    </w:p>
    <w:p w14:paraId="79D39598" w14:textId="77777777" w:rsidR="00557C9C" w:rsidRPr="00A57B36" w:rsidRDefault="00FE46B2" w:rsidP="00A57B36">
      <w:pPr>
        <w:pStyle w:val="ListParagraph"/>
        <w:spacing w:after="240" w:line="240" w:lineRule="auto"/>
        <w:contextualSpacing w:val="0"/>
        <w:rPr>
          <w:rFonts w:ascii="Arial" w:hAnsi="Arial" w:cs="Arial"/>
          <w:b/>
          <w:sz w:val="24"/>
          <w:szCs w:val="24"/>
        </w:rPr>
      </w:pPr>
      <w:r w:rsidRPr="00A57B36">
        <w:rPr>
          <w:rFonts w:ascii="Arial" w:hAnsi="Arial" w:cs="Arial"/>
          <w:b/>
          <w:sz w:val="24"/>
          <w:szCs w:val="24"/>
        </w:rPr>
        <w:t>Risk Assessment and Credit Ratings</w:t>
      </w:r>
    </w:p>
    <w:p w14:paraId="451EE56D" w14:textId="77777777" w:rsidR="00FE46B2" w:rsidRPr="00A57B36" w:rsidRDefault="00FE46B2"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Credit ratings are obtained and monitored by the </w:t>
      </w:r>
      <w:r w:rsidR="00557C9C" w:rsidRPr="00A57B36">
        <w:rPr>
          <w:rFonts w:ascii="Arial" w:hAnsi="Arial" w:cs="Arial"/>
          <w:sz w:val="24"/>
          <w:szCs w:val="24"/>
        </w:rPr>
        <w:t>OPCC</w:t>
      </w:r>
      <w:r w:rsidRPr="00A57B36">
        <w:rPr>
          <w:rFonts w:ascii="Arial" w:hAnsi="Arial" w:cs="Arial"/>
          <w:sz w:val="24"/>
          <w:szCs w:val="24"/>
        </w:rPr>
        <w:t>’s treasury advisers, who will notify changes in ratings as they occur.  Where an entity has its credit rating downgraded so that it fails to meet the approved investment criteria then:</w:t>
      </w:r>
    </w:p>
    <w:p w14:paraId="4D544E27" w14:textId="77777777" w:rsidR="00FE46B2" w:rsidRPr="00A57B36" w:rsidRDefault="00FE46B2" w:rsidP="00A57B36">
      <w:pPr>
        <w:pStyle w:val="ListParagraph"/>
        <w:numPr>
          <w:ilvl w:val="0"/>
          <w:numId w:val="31"/>
        </w:numPr>
        <w:spacing w:after="240" w:line="240" w:lineRule="auto"/>
        <w:contextualSpacing w:val="0"/>
        <w:rPr>
          <w:rFonts w:ascii="Arial" w:hAnsi="Arial" w:cs="Arial"/>
          <w:sz w:val="24"/>
          <w:szCs w:val="24"/>
        </w:rPr>
      </w:pPr>
      <w:r w:rsidRPr="00A57B36">
        <w:rPr>
          <w:rFonts w:ascii="Arial" w:hAnsi="Arial" w:cs="Arial"/>
          <w:sz w:val="24"/>
          <w:szCs w:val="24"/>
        </w:rPr>
        <w:t>no new investments will be made,</w:t>
      </w:r>
    </w:p>
    <w:p w14:paraId="364719EA" w14:textId="77777777" w:rsidR="00FE46B2" w:rsidRPr="00A57B36" w:rsidRDefault="00FE46B2" w:rsidP="00A57B36">
      <w:pPr>
        <w:pStyle w:val="ListParagraph"/>
        <w:numPr>
          <w:ilvl w:val="0"/>
          <w:numId w:val="31"/>
        </w:numPr>
        <w:spacing w:after="240" w:line="240" w:lineRule="auto"/>
        <w:contextualSpacing w:val="0"/>
        <w:rPr>
          <w:rFonts w:ascii="Arial" w:hAnsi="Arial" w:cs="Arial"/>
          <w:sz w:val="24"/>
          <w:szCs w:val="24"/>
        </w:rPr>
      </w:pPr>
      <w:r w:rsidRPr="00A57B36">
        <w:rPr>
          <w:rFonts w:ascii="Arial" w:hAnsi="Arial" w:cs="Arial"/>
          <w:sz w:val="24"/>
          <w:szCs w:val="24"/>
        </w:rPr>
        <w:t>any existing investments that can be recalled or sold at no cost will be, and</w:t>
      </w:r>
    </w:p>
    <w:p w14:paraId="60BA077D" w14:textId="77777777" w:rsidR="00FE46B2" w:rsidRPr="00A57B36" w:rsidRDefault="00FE46B2" w:rsidP="00A57B36">
      <w:pPr>
        <w:pStyle w:val="ListParagraph"/>
        <w:numPr>
          <w:ilvl w:val="0"/>
          <w:numId w:val="31"/>
        </w:numPr>
        <w:spacing w:after="240" w:line="240" w:lineRule="auto"/>
        <w:contextualSpacing w:val="0"/>
        <w:rPr>
          <w:rFonts w:ascii="Arial" w:hAnsi="Arial" w:cs="Arial"/>
          <w:sz w:val="24"/>
          <w:szCs w:val="24"/>
        </w:rPr>
      </w:pPr>
      <w:r w:rsidRPr="00A57B36">
        <w:rPr>
          <w:rFonts w:ascii="Arial" w:hAnsi="Arial" w:cs="Arial"/>
          <w:sz w:val="24"/>
          <w:szCs w:val="24"/>
        </w:rPr>
        <w:t>full consideration will be given to the recall or sale of all other existing investments with the affected counterparty.</w:t>
      </w:r>
    </w:p>
    <w:p w14:paraId="5BBE2C50" w14:textId="77777777" w:rsidR="00FE46B2" w:rsidRPr="00A57B36" w:rsidRDefault="00FE46B2"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Where a credit rating agency announces that a </w:t>
      </w:r>
      <w:r w:rsidR="00451391" w:rsidRPr="00A57B36">
        <w:rPr>
          <w:rFonts w:ascii="Arial" w:hAnsi="Arial" w:cs="Arial"/>
          <w:sz w:val="24"/>
          <w:szCs w:val="24"/>
        </w:rPr>
        <w:t>credit</w:t>
      </w:r>
      <w:r w:rsidR="00D246F4" w:rsidRPr="00A57B36">
        <w:rPr>
          <w:rFonts w:ascii="Arial" w:hAnsi="Arial" w:cs="Arial"/>
          <w:sz w:val="24"/>
          <w:szCs w:val="24"/>
        </w:rPr>
        <w:t xml:space="preserve"> </w:t>
      </w:r>
      <w:r w:rsidRPr="00A57B36">
        <w:rPr>
          <w:rFonts w:ascii="Arial" w:hAnsi="Arial" w:cs="Arial"/>
          <w:sz w:val="24"/>
          <w:szCs w:val="24"/>
        </w:rPr>
        <w:t xml:space="preserve">rating is on review for possible downgrade (also known as “rating watch negative” or “credit watch negative”) so that it </w:t>
      </w:r>
      <w:r w:rsidR="00D246F4" w:rsidRPr="00A57B36">
        <w:rPr>
          <w:rFonts w:ascii="Arial" w:hAnsi="Arial" w:cs="Arial"/>
          <w:sz w:val="24"/>
          <w:szCs w:val="24"/>
        </w:rPr>
        <w:t>may</w:t>
      </w:r>
      <w:r w:rsidRPr="00A57B36">
        <w:rPr>
          <w:rFonts w:ascii="Arial" w:hAnsi="Arial" w:cs="Arial"/>
          <w:sz w:val="24"/>
          <w:szCs w:val="24"/>
        </w:rPr>
        <w:t xml:space="preserve"> fall below the a</w:t>
      </w:r>
      <w:r w:rsidR="00C17890" w:rsidRPr="00A57B36">
        <w:rPr>
          <w:rFonts w:ascii="Arial" w:hAnsi="Arial" w:cs="Arial"/>
          <w:sz w:val="24"/>
          <w:szCs w:val="24"/>
        </w:rPr>
        <w:t xml:space="preserve">pproved </w:t>
      </w:r>
      <w:r w:rsidR="005A29A3" w:rsidRPr="00A57B36">
        <w:rPr>
          <w:rFonts w:ascii="Arial" w:hAnsi="Arial" w:cs="Arial"/>
          <w:sz w:val="24"/>
          <w:szCs w:val="24"/>
        </w:rPr>
        <w:t>rating</w:t>
      </w:r>
      <w:r w:rsidRPr="00A57B36">
        <w:rPr>
          <w:rFonts w:ascii="Arial" w:hAnsi="Arial" w:cs="Arial"/>
          <w:sz w:val="24"/>
          <w:szCs w:val="24"/>
        </w:rPr>
        <w:t xml:space="preserve"> criteria, then </w:t>
      </w:r>
      <w:r w:rsidR="005A29A3" w:rsidRPr="00A57B36">
        <w:rPr>
          <w:rFonts w:ascii="Arial" w:hAnsi="Arial" w:cs="Arial"/>
          <w:sz w:val="24"/>
          <w:szCs w:val="24"/>
        </w:rPr>
        <w:t>only</w:t>
      </w:r>
      <w:r w:rsidRPr="00A57B36">
        <w:rPr>
          <w:rFonts w:ascii="Arial" w:hAnsi="Arial" w:cs="Arial"/>
          <w:sz w:val="24"/>
          <w:szCs w:val="24"/>
        </w:rPr>
        <w:t xml:space="preserve"> investments </w:t>
      </w:r>
      <w:r w:rsidR="005A29A3" w:rsidRPr="00A57B36">
        <w:rPr>
          <w:rFonts w:ascii="Arial" w:hAnsi="Arial" w:cs="Arial"/>
          <w:sz w:val="24"/>
          <w:szCs w:val="24"/>
        </w:rPr>
        <w:t xml:space="preserve">that can be withdrawn on the next working day </w:t>
      </w:r>
      <w:r w:rsidRPr="00A57B36">
        <w:rPr>
          <w:rFonts w:ascii="Arial" w:hAnsi="Arial" w:cs="Arial"/>
          <w:sz w:val="24"/>
          <w:szCs w:val="24"/>
        </w:rPr>
        <w:t xml:space="preserve">will be made </w:t>
      </w:r>
      <w:r w:rsidR="005A29A3" w:rsidRPr="00A57B36">
        <w:rPr>
          <w:rFonts w:ascii="Arial" w:hAnsi="Arial" w:cs="Arial"/>
          <w:sz w:val="24"/>
          <w:szCs w:val="24"/>
        </w:rPr>
        <w:t>with</w:t>
      </w:r>
      <w:r w:rsidRPr="00A57B36">
        <w:rPr>
          <w:rFonts w:ascii="Arial" w:hAnsi="Arial" w:cs="Arial"/>
          <w:sz w:val="24"/>
          <w:szCs w:val="24"/>
        </w:rPr>
        <w:t xml:space="preserve"> that organisation until the outcome of the review is announced.  This policy will</w:t>
      </w:r>
      <w:r w:rsidR="00C17890" w:rsidRPr="00A57B36">
        <w:rPr>
          <w:rFonts w:ascii="Arial" w:hAnsi="Arial" w:cs="Arial"/>
          <w:sz w:val="24"/>
          <w:szCs w:val="24"/>
        </w:rPr>
        <w:t xml:space="preserve"> not apply to negative outlooks, which indicate a long-term direction of travel rather than an imminent change of rating.</w:t>
      </w:r>
    </w:p>
    <w:p w14:paraId="29B6D41A" w14:textId="77777777" w:rsidR="00557C9C" w:rsidRPr="00A57B36" w:rsidRDefault="00B46844" w:rsidP="00A57B36">
      <w:pPr>
        <w:pStyle w:val="ListParagraph"/>
        <w:keepNext/>
        <w:spacing w:after="240" w:line="240" w:lineRule="auto"/>
        <w:contextualSpacing w:val="0"/>
        <w:rPr>
          <w:rFonts w:ascii="Arial" w:hAnsi="Arial" w:cs="Arial"/>
          <w:b/>
          <w:sz w:val="24"/>
          <w:szCs w:val="24"/>
        </w:rPr>
      </w:pPr>
      <w:r w:rsidRPr="00A57B36">
        <w:rPr>
          <w:rFonts w:ascii="Arial" w:hAnsi="Arial" w:cs="Arial"/>
          <w:b/>
          <w:sz w:val="24"/>
          <w:szCs w:val="24"/>
        </w:rPr>
        <w:t>Other Information on the Security of Investments</w:t>
      </w:r>
    </w:p>
    <w:p w14:paraId="65F3B785" w14:textId="77777777" w:rsidR="00B46844" w:rsidRPr="00A57B36" w:rsidRDefault="00B46844"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The </w:t>
      </w:r>
      <w:r w:rsidR="00557C9C" w:rsidRPr="00A57B36">
        <w:rPr>
          <w:rFonts w:ascii="Arial" w:hAnsi="Arial" w:cs="Arial"/>
          <w:sz w:val="24"/>
          <w:szCs w:val="24"/>
        </w:rPr>
        <w:t>OPCC</w:t>
      </w:r>
      <w:r w:rsidRPr="00A57B36">
        <w:rPr>
          <w:rFonts w:ascii="Arial" w:hAnsi="Arial" w:cs="Arial"/>
          <w:sz w:val="24"/>
          <w:szCs w:val="24"/>
        </w:rPr>
        <w:t xml:space="preserve"> understands that credit ratings are good, but not perfect, predictors of investment default.  Full regard will therefore be given to other available information on the credit quality of the organisations in which it invests, including credit default swap prices, financial statements</w:t>
      </w:r>
      <w:r w:rsidR="005A29A3" w:rsidRPr="00A57B36">
        <w:rPr>
          <w:rFonts w:ascii="Arial" w:hAnsi="Arial" w:cs="Arial"/>
          <w:sz w:val="24"/>
          <w:szCs w:val="24"/>
        </w:rPr>
        <w:t xml:space="preserve">, information on potential government support and </w:t>
      </w:r>
      <w:r w:rsidRPr="00A57B36">
        <w:rPr>
          <w:rFonts w:ascii="Arial" w:hAnsi="Arial" w:cs="Arial"/>
          <w:sz w:val="24"/>
          <w:szCs w:val="24"/>
        </w:rPr>
        <w:t xml:space="preserve">reports in the quality financial press.  No investments will be made with an organisation if there are substantive doubts about its credit quality, even though it may meet the </w:t>
      </w:r>
      <w:r w:rsidR="005A29A3" w:rsidRPr="00A57B36">
        <w:rPr>
          <w:rFonts w:ascii="Arial" w:hAnsi="Arial" w:cs="Arial"/>
          <w:sz w:val="24"/>
          <w:szCs w:val="24"/>
        </w:rPr>
        <w:t>credit rating</w:t>
      </w:r>
      <w:r w:rsidRPr="00A57B36">
        <w:rPr>
          <w:rFonts w:ascii="Arial" w:hAnsi="Arial" w:cs="Arial"/>
          <w:sz w:val="24"/>
          <w:szCs w:val="24"/>
        </w:rPr>
        <w:t xml:space="preserve"> criteria.</w:t>
      </w:r>
    </w:p>
    <w:p w14:paraId="51D44D7F" w14:textId="77777777" w:rsidR="003E4544" w:rsidRPr="00A57B36" w:rsidRDefault="003E4544"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When deteriorating financial market conditions affect the creditworthiness of all organisations, as happened in 2008 and 2011, this is not generally reflected in credit ratings, but can be seen in other market measures.  In these circumstances, the OPCC will restrict its investments to those organisations of higher credit quality and reduce the maximum duration of its investments to maintain the required level of security.  The extent of these restrictions will be in line with prevailing financial market conditions.  If these restrictions mean that insufficient commercial organisations of high credit quality are available to invest the OPCC’s cash balances, then the surplus will be deposited with the UK Government, via the Debt Management Office, or invested in government treasury bills for example, or with other local authorities.  This will cause a reduction in the level of investment income </w:t>
      </w:r>
      <w:proofErr w:type="gramStart"/>
      <w:r w:rsidRPr="00A57B36">
        <w:rPr>
          <w:rFonts w:ascii="Arial" w:hAnsi="Arial" w:cs="Arial"/>
          <w:sz w:val="24"/>
          <w:szCs w:val="24"/>
        </w:rPr>
        <w:t>earned, but</w:t>
      </w:r>
      <w:proofErr w:type="gramEnd"/>
      <w:r w:rsidRPr="00A57B36">
        <w:rPr>
          <w:rFonts w:ascii="Arial" w:hAnsi="Arial" w:cs="Arial"/>
          <w:sz w:val="24"/>
          <w:szCs w:val="24"/>
        </w:rPr>
        <w:t xml:space="preserve"> will protect the principal sum invested.</w:t>
      </w:r>
    </w:p>
    <w:p w14:paraId="2BEFD957" w14:textId="77777777" w:rsidR="0055687F" w:rsidRPr="00A57B36" w:rsidRDefault="00820497" w:rsidP="00A57B36">
      <w:pPr>
        <w:pStyle w:val="ListParagraph"/>
        <w:keepNext/>
        <w:spacing w:after="240" w:line="240" w:lineRule="auto"/>
        <w:contextualSpacing w:val="0"/>
        <w:rPr>
          <w:rFonts w:ascii="Arial" w:hAnsi="Arial" w:cs="Arial"/>
          <w:b/>
          <w:sz w:val="24"/>
          <w:szCs w:val="24"/>
        </w:rPr>
      </w:pPr>
      <w:r w:rsidRPr="00A57B36">
        <w:rPr>
          <w:rFonts w:ascii="Arial" w:hAnsi="Arial" w:cs="Arial"/>
          <w:b/>
          <w:sz w:val="24"/>
          <w:szCs w:val="24"/>
        </w:rPr>
        <w:t xml:space="preserve">Liquidity </w:t>
      </w:r>
      <w:r w:rsidR="00C82115" w:rsidRPr="00A57B36">
        <w:rPr>
          <w:rFonts w:ascii="Arial" w:hAnsi="Arial" w:cs="Arial"/>
          <w:b/>
          <w:sz w:val="24"/>
          <w:szCs w:val="24"/>
        </w:rPr>
        <w:t>M</w:t>
      </w:r>
      <w:r w:rsidRPr="00A57B36">
        <w:rPr>
          <w:rFonts w:ascii="Arial" w:hAnsi="Arial" w:cs="Arial"/>
          <w:b/>
          <w:sz w:val="24"/>
          <w:szCs w:val="24"/>
        </w:rPr>
        <w:t>anagement</w:t>
      </w:r>
    </w:p>
    <w:p w14:paraId="2B719694" w14:textId="77777777" w:rsidR="00820497" w:rsidRPr="00A57B36" w:rsidRDefault="00820497"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The </w:t>
      </w:r>
      <w:r w:rsidR="0055687F" w:rsidRPr="00A57B36">
        <w:rPr>
          <w:rFonts w:ascii="Arial" w:hAnsi="Arial" w:cs="Arial"/>
          <w:sz w:val="24"/>
          <w:szCs w:val="24"/>
        </w:rPr>
        <w:t>OPCC</w:t>
      </w:r>
      <w:r w:rsidRPr="00A57B36">
        <w:rPr>
          <w:rFonts w:ascii="Arial" w:hAnsi="Arial" w:cs="Arial"/>
          <w:sz w:val="24"/>
          <w:szCs w:val="24"/>
        </w:rPr>
        <w:t xml:space="preserve"> </w:t>
      </w:r>
      <w:r w:rsidR="0055687F" w:rsidRPr="00A57B36">
        <w:rPr>
          <w:rFonts w:ascii="Arial" w:hAnsi="Arial" w:cs="Arial"/>
          <w:sz w:val="24"/>
          <w:szCs w:val="24"/>
        </w:rPr>
        <w:t>has due regard for its future cash flows when determining the maximum period for which funds may prudently be comm</w:t>
      </w:r>
      <w:r w:rsidRPr="00A57B36">
        <w:rPr>
          <w:rFonts w:ascii="Arial" w:hAnsi="Arial" w:cs="Arial"/>
          <w:sz w:val="24"/>
          <w:szCs w:val="24"/>
        </w:rPr>
        <w:t xml:space="preserve">itted.  </w:t>
      </w:r>
      <w:r w:rsidR="0055687F" w:rsidRPr="00A57B36">
        <w:rPr>
          <w:rFonts w:ascii="Arial" w:hAnsi="Arial" w:cs="Arial"/>
          <w:sz w:val="24"/>
          <w:szCs w:val="24"/>
        </w:rPr>
        <w:t>Historical cash flows are analysed in addition to significant future cash movements, such as payroll, grant income and council tax precept.</w:t>
      </w:r>
      <w:r w:rsidRPr="00A57B36">
        <w:rPr>
          <w:rFonts w:ascii="Arial" w:hAnsi="Arial" w:cs="Arial"/>
          <w:sz w:val="24"/>
          <w:szCs w:val="24"/>
        </w:rPr>
        <w:t xml:space="preserve"> </w:t>
      </w:r>
      <w:r w:rsidR="0055687F" w:rsidRPr="00A57B36">
        <w:rPr>
          <w:rFonts w:ascii="Arial" w:hAnsi="Arial" w:cs="Arial"/>
          <w:sz w:val="24"/>
          <w:szCs w:val="24"/>
        </w:rPr>
        <w:t xml:space="preserve"> </w:t>
      </w:r>
      <w:r w:rsidRPr="00A57B36">
        <w:rPr>
          <w:rFonts w:ascii="Arial" w:hAnsi="Arial" w:cs="Arial"/>
          <w:sz w:val="24"/>
          <w:szCs w:val="24"/>
        </w:rPr>
        <w:t xml:space="preserve">Limits on long-term investments are set by reference to the </w:t>
      </w:r>
      <w:r w:rsidR="0055687F" w:rsidRPr="00A57B36">
        <w:rPr>
          <w:rFonts w:ascii="Arial" w:hAnsi="Arial" w:cs="Arial"/>
          <w:sz w:val="24"/>
          <w:szCs w:val="24"/>
        </w:rPr>
        <w:t>OPCC</w:t>
      </w:r>
      <w:r w:rsidRPr="00A57B36">
        <w:rPr>
          <w:rFonts w:ascii="Arial" w:hAnsi="Arial" w:cs="Arial"/>
          <w:sz w:val="24"/>
          <w:szCs w:val="24"/>
        </w:rPr>
        <w:t>’s medium term financial p</w:t>
      </w:r>
      <w:r w:rsidR="00951F2E" w:rsidRPr="00A57B36">
        <w:rPr>
          <w:rFonts w:ascii="Arial" w:hAnsi="Arial" w:cs="Arial"/>
          <w:sz w:val="24"/>
          <w:szCs w:val="24"/>
        </w:rPr>
        <w:t>osition (summarised in Table 1)</w:t>
      </w:r>
      <w:r w:rsidRPr="00A57B36">
        <w:rPr>
          <w:rFonts w:ascii="Arial" w:hAnsi="Arial" w:cs="Arial"/>
          <w:sz w:val="24"/>
          <w:szCs w:val="24"/>
        </w:rPr>
        <w:t xml:space="preserve"> and forecast</w:t>
      </w:r>
      <w:r w:rsidR="00951F2E" w:rsidRPr="00A57B36">
        <w:rPr>
          <w:rFonts w:ascii="Arial" w:hAnsi="Arial" w:cs="Arial"/>
          <w:sz w:val="24"/>
          <w:szCs w:val="24"/>
        </w:rPr>
        <w:t xml:space="preserve"> short-term balances</w:t>
      </w:r>
      <w:r w:rsidRPr="00A57B36">
        <w:rPr>
          <w:rFonts w:ascii="Arial" w:hAnsi="Arial" w:cs="Arial"/>
          <w:sz w:val="24"/>
          <w:szCs w:val="24"/>
        </w:rPr>
        <w:t>.</w:t>
      </w:r>
      <w:r w:rsidR="00670AD2" w:rsidRPr="00A57B36">
        <w:rPr>
          <w:rFonts w:ascii="Arial" w:hAnsi="Arial" w:cs="Arial"/>
          <w:sz w:val="24"/>
          <w:szCs w:val="24"/>
        </w:rPr>
        <w:t xml:space="preserve">  The Chief Finance Officer will continue to review cashflows and overall reserves and balances throughout the financial year.</w:t>
      </w:r>
    </w:p>
    <w:p w14:paraId="3FAA798B" w14:textId="77777777" w:rsidR="00291777" w:rsidRPr="00A57B36" w:rsidRDefault="00291777" w:rsidP="00A57B36">
      <w:pPr>
        <w:keepNext/>
        <w:numPr>
          <w:ilvl w:val="0"/>
          <w:numId w:val="27"/>
        </w:numPr>
        <w:tabs>
          <w:tab w:val="num" w:pos="720"/>
        </w:tabs>
        <w:spacing w:after="240" w:line="240" w:lineRule="auto"/>
        <w:ind w:left="431" w:hanging="431"/>
        <w:outlineLvl w:val="0"/>
        <w:rPr>
          <w:rFonts w:ascii="Arial" w:hAnsi="Arial" w:cs="Arial"/>
          <w:b/>
          <w:sz w:val="24"/>
        </w:rPr>
      </w:pPr>
      <w:r w:rsidRPr="00A57B36">
        <w:rPr>
          <w:rFonts w:ascii="Arial" w:hAnsi="Arial" w:cs="Arial"/>
          <w:b/>
          <w:sz w:val="24"/>
        </w:rPr>
        <w:t>Treasury Management Indicators</w:t>
      </w:r>
    </w:p>
    <w:p w14:paraId="0A0591CE" w14:textId="77777777" w:rsidR="00A25728" w:rsidRPr="00A57B36" w:rsidRDefault="00A25728"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The </w:t>
      </w:r>
      <w:r w:rsidR="00951F2E" w:rsidRPr="00A57B36">
        <w:rPr>
          <w:rFonts w:ascii="Arial" w:hAnsi="Arial" w:cs="Arial"/>
          <w:sz w:val="24"/>
          <w:szCs w:val="24"/>
        </w:rPr>
        <w:t>OPCC</w:t>
      </w:r>
      <w:r w:rsidRPr="00A57B36">
        <w:rPr>
          <w:rFonts w:ascii="Arial" w:hAnsi="Arial" w:cs="Arial"/>
          <w:sz w:val="24"/>
          <w:szCs w:val="24"/>
        </w:rPr>
        <w:t xml:space="preserve"> measures and manages its exposures to treasury management risks using the following indicators.</w:t>
      </w:r>
    </w:p>
    <w:p w14:paraId="12B74A2E" w14:textId="77777777" w:rsidR="00951F2E" w:rsidRPr="00A57B36" w:rsidRDefault="00951F2E" w:rsidP="00A57B36">
      <w:pPr>
        <w:pStyle w:val="ListParagraph"/>
        <w:keepNext/>
        <w:spacing w:after="240" w:line="240" w:lineRule="auto"/>
        <w:contextualSpacing w:val="0"/>
        <w:rPr>
          <w:rFonts w:ascii="Arial" w:hAnsi="Arial" w:cs="Arial"/>
          <w:b/>
          <w:sz w:val="24"/>
          <w:szCs w:val="24"/>
        </w:rPr>
      </w:pPr>
      <w:r w:rsidRPr="00A57B36">
        <w:rPr>
          <w:rFonts w:ascii="Arial" w:hAnsi="Arial" w:cs="Arial"/>
          <w:b/>
          <w:sz w:val="24"/>
          <w:szCs w:val="24"/>
        </w:rPr>
        <w:t>Interest Rate Exposures</w:t>
      </w:r>
    </w:p>
    <w:p w14:paraId="1CA57EFC" w14:textId="1A05CE60" w:rsidR="00A57B36" w:rsidRPr="00A57B36" w:rsidRDefault="00A57B36"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The following indicator shows the sensitivity of the </w:t>
      </w:r>
      <w:r w:rsidR="00B4486A">
        <w:rPr>
          <w:rFonts w:ascii="Arial" w:hAnsi="Arial" w:cs="Arial"/>
          <w:sz w:val="24"/>
          <w:szCs w:val="24"/>
        </w:rPr>
        <w:t>OPCC</w:t>
      </w:r>
      <w:r w:rsidRPr="00A57B36">
        <w:rPr>
          <w:rFonts w:ascii="Arial" w:hAnsi="Arial" w:cs="Arial"/>
          <w:sz w:val="24"/>
          <w:szCs w:val="24"/>
        </w:rPr>
        <w:t>’s current investments and borrowing to a change in interest rates. </w:t>
      </w:r>
    </w:p>
    <w:tbl>
      <w:tblPr>
        <w:tblW w:w="8409" w:type="dxa"/>
        <w:tblInd w:w="810" w:type="dxa"/>
        <w:tblCellMar>
          <w:left w:w="0" w:type="dxa"/>
          <w:right w:w="0" w:type="dxa"/>
        </w:tblCellMar>
        <w:tblLook w:val="04A0" w:firstRow="1" w:lastRow="0" w:firstColumn="1" w:lastColumn="0" w:noHBand="0" w:noVBand="1"/>
      </w:tblPr>
      <w:tblGrid>
        <w:gridCol w:w="4157"/>
        <w:gridCol w:w="1559"/>
        <w:gridCol w:w="2693"/>
      </w:tblGrid>
      <w:tr w:rsidR="00A57B36" w:rsidRPr="00A57B36" w14:paraId="75822B83" w14:textId="77777777" w:rsidTr="004B5750">
        <w:trPr>
          <w:trHeight w:val="98"/>
        </w:trPr>
        <w:tc>
          <w:tcPr>
            <w:tcW w:w="8409" w:type="dxa"/>
            <w:gridSpan w:val="3"/>
            <w:shd w:val="clear" w:color="auto" w:fill="auto"/>
            <w:vAlign w:val="center"/>
            <w:hideMark/>
          </w:tcPr>
          <w:p w14:paraId="14054CD6" w14:textId="043FBD21" w:rsidR="00A57B36" w:rsidRPr="00A57B36" w:rsidRDefault="00A57B36" w:rsidP="00A57B36">
            <w:pPr>
              <w:spacing w:after="0" w:line="240" w:lineRule="auto"/>
              <w:jc w:val="both"/>
              <w:textAlignment w:val="baseline"/>
              <w:rPr>
                <w:rFonts w:ascii="Arial" w:eastAsia="Times New Roman" w:hAnsi="Arial" w:cs="Arial"/>
                <w:sz w:val="24"/>
                <w:szCs w:val="24"/>
                <w:lang w:eastAsia="en-GB"/>
              </w:rPr>
            </w:pPr>
            <w:r w:rsidRPr="00A57B36">
              <w:rPr>
                <w:rFonts w:ascii="Arial" w:eastAsia="Times New Roman" w:hAnsi="Arial" w:cs="Arial"/>
                <w:b/>
                <w:bCs/>
                <w:sz w:val="24"/>
                <w:szCs w:val="24"/>
                <w:lang w:eastAsia="en-GB"/>
              </w:rPr>
              <w:t xml:space="preserve">Table </w:t>
            </w:r>
            <w:r w:rsidR="00EB2CEA">
              <w:rPr>
                <w:rFonts w:ascii="Arial" w:eastAsia="Times New Roman" w:hAnsi="Arial" w:cs="Arial"/>
                <w:b/>
                <w:bCs/>
                <w:sz w:val="24"/>
                <w:szCs w:val="24"/>
                <w:lang w:eastAsia="en-GB"/>
              </w:rPr>
              <w:t>6</w:t>
            </w:r>
            <w:r w:rsidRPr="00A57B36">
              <w:rPr>
                <w:rFonts w:ascii="Arial" w:eastAsia="Times New Roman" w:hAnsi="Arial" w:cs="Arial"/>
                <w:b/>
                <w:bCs/>
                <w:sz w:val="24"/>
                <w:szCs w:val="24"/>
                <w:lang w:eastAsia="en-GB"/>
              </w:rPr>
              <w:t>: Interest rate risk indicator</w:t>
            </w:r>
          </w:p>
          <w:p w14:paraId="2A616591" w14:textId="77777777" w:rsidR="00A57B36" w:rsidRPr="00A57B36" w:rsidRDefault="00A57B36" w:rsidP="00A57B36">
            <w:pPr>
              <w:spacing w:after="0" w:line="240" w:lineRule="auto"/>
              <w:jc w:val="center"/>
              <w:textAlignment w:val="baseline"/>
              <w:rPr>
                <w:rFonts w:ascii="Arial" w:eastAsia="Times New Roman" w:hAnsi="Arial" w:cs="Arial"/>
                <w:sz w:val="24"/>
                <w:szCs w:val="24"/>
                <w:lang w:eastAsia="en-GB"/>
              </w:rPr>
            </w:pPr>
            <w:r w:rsidRPr="00A57B36">
              <w:rPr>
                <w:rFonts w:ascii="Arial" w:eastAsia="Times New Roman" w:hAnsi="Arial" w:cs="Arial"/>
                <w:sz w:val="24"/>
                <w:szCs w:val="24"/>
                <w:lang w:eastAsia="en-GB"/>
              </w:rPr>
              <w:t> </w:t>
            </w:r>
          </w:p>
        </w:tc>
      </w:tr>
      <w:tr w:rsidR="00A57B36" w:rsidRPr="00A57B36" w14:paraId="3E69A850" w14:textId="77777777" w:rsidTr="004B5750">
        <w:trPr>
          <w:trHeight w:val="330"/>
        </w:trPr>
        <w:tc>
          <w:tcPr>
            <w:tcW w:w="4157" w:type="dxa"/>
            <w:shd w:val="clear" w:color="auto" w:fill="auto"/>
            <w:vAlign w:val="center"/>
            <w:hideMark/>
          </w:tcPr>
          <w:p w14:paraId="1DCC3781" w14:textId="77777777" w:rsidR="00A57B36" w:rsidRPr="00A57B36" w:rsidRDefault="00A57B36" w:rsidP="00A57B36">
            <w:pPr>
              <w:spacing w:after="0" w:line="240" w:lineRule="auto"/>
              <w:jc w:val="center"/>
              <w:textAlignment w:val="baseline"/>
              <w:rPr>
                <w:rFonts w:ascii="Arial" w:eastAsia="Times New Roman" w:hAnsi="Arial" w:cs="Arial"/>
                <w:sz w:val="24"/>
                <w:szCs w:val="24"/>
                <w:lang w:eastAsia="en-GB"/>
              </w:rPr>
            </w:pPr>
            <w:r w:rsidRPr="00A57B36">
              <w:rPr>
                <w:rFonts w:ascii="Arial" w:eastAsia="Times New Roman" w:hAnsi="Arial" w:cs="Arial"/>
                <w:sz w:val="24"/>
                <w:szCs w:val="24"/>
                <w:lang w:eastAsia="en-GB"/>
              </w:rPr>
              <w:t> </w:t>
            </w:r>
          </w:p>
        </w:tc>
        <w:tc>
          <w:tcPr>
            <w:tcW w:w="1559" w:type="dxa"/>
            <w:shd w:val="clear" w:color="auto" w:fill="auto"/>
            <w:vAlign w:val="center"/>
            <w:hideMark/>
          </w:tcPr>
          <w:p w14:paraId="3E7A0D88" w14:textId="12BFA247" w:rsidR="00A57B36" w:rsidRPr="00A57B36" w:rsidRDefault="00A57B36" w:rsidP="00A57B36">
            <w:pPr>
              <w:spacing w:after="0" w:line="240" w:lineRule="auto"/>
              <w:jc w:val="center"/>
              <w:textAlignment w:val="baseline"/>
              <w:rPr>
                <w:rFonts w:ascii="Arial" w:eastAsia="Times New Roman" w:hAnsi="Arial" w:cs="Arial"/>
                <w:sz w:val="24"/>
                <w:szCs w:val="24"/>
                <w:lang w:eastAsia="en-GB"/>
              </w:rPr>
            </w:pPr>
            <w:r w:rsidRPr="00A57B36">
              <w:rPr>
                <w:rFonts w:ascii="Arial" w:eastAsia="Times New Roman" w:hAnsi="Arial" w:cs="Arial"/>
                <w:b/>
                <w:bCs/>
                <w:sz w:val="24"/>
                <w:szCs w:val="24"/>
                <w:lang w:eastAsia="en-GB"/>
              </w:rPr>
              <w:t>30 November 201</w:t>
            </w:r>
            <w:r w:rsidR="002855C0">
              <w:rPr>
                <w:rFonts w:ascii="Arial" w:eastAsia="Times New Roman" w:hAnsi="Arial" w:cs="Arial"/>
                <w:b/>
                <w:bCs/>
                <w:sz w:val="24"/>
                <w:szCs w:val="24"/>
                <w:lang w:eastAsia="en-GB"/>
              </w:rPr>
              <w:t>9</w:t>
            </w:r>
            <w:r w:rsidRPr="00A57B36">
              <w:rPr>
                <w:rFonts w:ascii="Arial" w:eastAsia="Times New Roman" w:hAnsi="Arial" w:cs="Arial"/>
                <w:sz w:val="24"/>
                <w:szCs w:val="24"/>
                <w:lang w:eastAsia="en-GB"/>
              </w:rPr>
              <w:t> </w:t>
            </w:r>
          </w:p>
        </w:tc>
        <w:tc>
          <w:tcPr>
            <w:tcW w:w="2693" w:type="dxa"/>
            <w:shd w:val="clear" w:color="auto" w:fill="auto"/>
            <w:vAlign w:val="center"/>
            <w:hideMark/>
          </w:tcPr>
          <w:p w14:paraId="6B65E0B0" w14:textId="77777777" w:rsidR="00A57B36" w:rsidRPr="00A57B36" w:rsidRDefault="00A57B36" w:rsidP="00A57B36">
            <w:pPr>
              <w:spacing w:after="0" w:line="240" w:lineRule="auto"/>
              <w:jc w:val="center"/>
              <w:textAlignment w:val="baseline"/>
              <w:rPr>
                <w:rFonts w:ascii="Arial" w:eastAsia="Times New Roman" w:hAnsi="Arial" w:cs="Arial"/>
                <w:sz w:val="24"/>
                <w:szCs w:val="24"/>
                <w:lang w:eastAsia="en-GB"/>
              </w:rPr>
            </w:pPr>
            <w:r w:rsidRPr="00A57B36">
              <w:rPr>
                <w:rFonts w:ascii="Arial" w:eastAsia="Times New Roman" w:hAnsi="Arial" w:cs="Arial"/>
                <w:b/>
                <w:bCs/>
                <w:sz w:val="24"/>
                <w:szCs w:val="24"/>
                <w:lang w:eastAsia="en-GB"/>
              </w:rPr>
              <w:t>Impact of +/-1% interest rate change</w:t>
            </w:r>
            <w:r w:rsidRPr="00A57B36">
              <w:rPr>
                <w:rFonts w:ascii="Arial" w:eastAsia="Times New Roman" w:hAnsi="Arial" w:cs="Arial"/>
                <w:sz w:val="24"/>
                <w:szCs w:val="24"/>
                <w:lang w:eastAsia="en-GB"/>
              </w:rPr>
              <w:t> </w:t>
            </w:r>
          </w:p>
        </w:tc>
      </w:tr>
      <w:tr w:rsidR="00A57B36" w:rsidRPr="00A57B36" w14:paraId="5EF97106" w14:textId="77777777" w:rsidTr="004B5750">
        <w:trPr>
          <w:trHeight w:val="330"/>
        </w:trPr>
        <w:tc>
          <w:tcPr>
            <w:tcW w:w="4157" w:type="dxa"/>
            <w:shd w:val="clear" w:color="auto" w:fill="auto"/>
            <w:vAlign w:val="center"/>
            <w:hideMark/>
          </w:tcPr>
          <w:p w14:paraId="766ADFF3" w14:textId="77777777" w:rsidR="00A57B36" w:rsidRPr="00A57B36" w:rsidRDefault="00A57B36" w:rsidP="00A57B36">
            <w:pPr>
              <w:spacing w:after="0" w:line="240" w:lineRule="auto"/>
              <w:textAlignment w:val="baseline"/>
              <w:rPr>
                <w:rFonts w:ascii="Arial" w:eastAsia="Times New Roman" w:hAnsi="Arial" w:cs="Arial"/>
                <w:sz w:val="24"/>
                <w:szCs w:val="24"/>
                <w:lang w:eastAsia="en-GB"/>
              </w:rPr>
            </w:pPr>
            <w:r w:rsidRPr="00A57B36">
              <w:rPr>
                <w:rFonts w:ascii="Arial" w:eastAsia="Times New Roman" w:hAnsi="Arial" w:cs="Arial"/>
                <w:sz w:val="24"/>
                <w:szCs w:val="24"/>
                <w:lang w:eastAsia="en-GB"/>
              </w:rPr>
              <w:t>Sums subject to variable interest rates </w:t>
            </w:r>
          </w:p>
        </w:tc>
        <w:tc>
          <w:tcPr>
            <w:tcW w:w="1559" w:type="dxa"/>
            <w:shd w:val="clear" w:color="auto" w:fill="auto"/>
            <w:vAlign w:val="center"/>
            <w:hideMark/>
          </w:tcPr>
          <w:p w14:paraId="7D1E53C7" w14:textId="77777777" w:rsidR="00A57B36" w:rsidRPr="000B7956" w:rsidRDefault="00A57B36" w:rsidP="00A57B36">
            <w:pPr>
              <w:spacing w:after="0" w:line="240" w:lineRule="auto"/>
              <w:jc w:val="center"/>
              <w:textAlignment w:val="baseline"/>
              <w:rPr>
                <w:rFonts w:ascii="Arial" w:eastAsia="Times New Roman" w:hAnsi="Arial" w:cs="Arial"/>
                <w:sz w:val="24"/>
                <w:szCs w:val="24"/>
                <w:lang w:eastAsia="en-GB"/>
              </w:rPr>
            </w:pPr>
            <w:r w:rsidRPr="000B7956">
              <w:rPr>
                <w:rFonts w:ascii="Arial" w:eastAsia="Times New Roman" w:hAnsi="Arial" w:cs="Arial"/>
                <w:sz w:val="24"/>
                <w:szCs w:val="24"/>
                <w:lang w:eastAsia="en-GB"/>
              </w:rPr>
              <w:t> </w:t>
            </w:r>
          </w:p>
        </w:tc>
        <w:tc>
          <w:tcPr>
            <w:tcW w:w="2693" w:type="dxa"/>
            <w:shd w:val="clear" w:color="auto" w:fill="auto"/>
            <w:vAlign w:val="center"/>
            <w:hideMark/>
          </w:tcPr>
          <w:p w14:paraId="0F80E5B8" w14:textId="77777777" w:rsidR="00A57B36" w:rsidRPr="000B7956" w:rsidRDefault="00A57B36" w:rsidP="00A57B36">
            <w:pPr>
              <w:spacing w:after="0" w:line="240" w:lineRule="auto"/>
              <w:jc w:val="center"/>
              <w:textAlignment w:val="baseline"/>
              <w:rPr>
                <w:rFonts w:ascii="Arial" w:eastAsia="Times New Roman" w:hAnsi="Arial" w:cs="Arial"/>
                <w:sz w:val="24"/>
                <w:szCs w:val="24"/>
                <w:lang w:eastAsia="en-GB"/>
              </w:rPr>
            </w:pPr>
            <w:r w:rsidRPr="000B7956">
              <w:rPr>
                <w:rFonts w:ascii="Arial" w:eastAsia="Times New Roman" w:hAnsi="Arial" w:cs="Arial"/>
                <w:sz w:val="24"/>
                <w:szCs w:val="24"/>
                <w:lang w:eastAsia="en-GB"/>
              </w:rPr>
              <w:t> </w:t>
            </w:r>
          </w:p>
        </w:tc>
      </w:tr>
      <w:tr w:rsidR="00A57B36" w:rsidRPr="00A57B36" w14:paraId="1F7A0BA6" w14:textId="77777777" w:rsidTr="004B5750">
        <w:trPr>
          <w:trHeight w:val="330"/>
        </w:trPr>
        <w:tc>
          <w:tcPr>
            <w:tcW w:w="4157" w:type="dxa"/>
            <w:shd w:val="clear" w:color="auto" w:fill="auto"/>
            <w:vAlign w:val="center"/>
            <w:hideMark/>
          </w:tcPr>
          <w:p w14:paraId="2271E154" w14:textId="77777777" w:rsidR="00A57B36" w:rsidRPr="00A57B36" w:rsidRDefault="00A57B36" w:rsidP="00A57B36">
            <w:pPr>
              <w:spacing w:after="0" w:line="240" w:lineRule="auto"/>
              <w:ind w:left="720"/>
              <w:textAlignment w:val="baseline"/>
              <w:rPr>
                <w:rFonts w:ascii="Arial" w:eastAsia="Times New Roman" w:hAnsi="Arial" w:cs="Arial"/>
                <w:sz w:val="24"/>
                <w:szCs w:val="24"/>
                <w:lang w:eastAsia="en-GB"/>
              </w:rPr>
            </w:pPr>
            <w:r w:rsidRPr="00A57B36">
              <w:rPr>
                <w:rFonts w:ascii="Arial" w:eastAsia="Times New Roman" w:hAnsi="Arial" w:cs="Arial"/>
                <w:sz w:val="24"/>
                <w:szCs w:val="24"/>
                <w:lang w:eastAsia="en-GB"/>
              </w:rPr>
              <w:t>Investment </w:t>
            </w:r>
          </w:p>
        </w:tc>
        <w:tc>
          <w:tcPr>
            <w:tcW w:w="1559" w:type="dxa"/>
            <w:shd w:val="clear" w:color="auto" w:fill="auto"/>
            <w:vAlign w:val="center"/>
            <w:hideMark/>
          </w:tcPr>
          <w:p w14:paraId="05DE0772" w14:textId="12ECE8EE" w:rsidR="00A57B36" w:rsidRPr="000B7956" w:rsidRDefault="00A57B36" w:rsidP="00A57B36">
            <w:pPr>
              <w:spacing w:after="0" w:line="240" w:lineRule="auto"/>
              <w:jc w:val="center"/>
              <w:textAlignment w:val="baseline"/>
              <w:rPr>
                <w:rFonts w:ascii="Arial" w:eastAsia="Times New Roman" w:hAnsi="Arial" w:cs="Arial"/>
                <w:sz w:val="24"/>
                <w:szCs w:val="24"/>
                <w:lang w:eastAsia="en-GB"/>
              </w:rPr>
            </w:pPr>
            <w:r w:rsidRPr="000B7956">
              <w:rPr>
                <w:rFonts w:ascii="Arial" w:eastAsia="Times New Roman" w:hAnsi="Arial" w:cs="Arial"/>
                <w:sz w:val="24"/>
                <w:szCs w:val="24"/>
                <w:lang w:eastAsia="en-GB"/>
              </w:rPr>
              <w:t>£</w:t>
            </w:r>
            <w:r w:rsidR="00AD6AFF">
              <w:rPr>
                <w:rFonts w:ascii="Arial" w:eastAsia="Times New Roman" w:hAnsi="Arial" w:cs="Arial"/>
                <w:sz w:val="24"/>
                <w:szCs w:val="24"/>
                <w:lang w:eastAsia="en-GB"/>
              </w:rPr>
              <w:t>46</w:t>
            </w:r>
            <w:r w:rsidR="00892489" w:rsidRPr="000B7956">
              <w:rPr>
                <w:rFonts w:ascii="Arial" w:eastAsia="Times New Roman" w:hAnsi="Arial" w:cs="Arial"/>
                <w:sz w:val="24"/>
                <w:szCs w:val="24"/>
                <w:lang w:eastAsia="en-GB"/>
              </w:rPr>
              <w:t>.</w:t>
            </w:r>
            <w:r w:rsidR="00AD6AFF">
              <w:rPr>
                <w:rFonts w:ascii="Arial" w:eastAsia="Times New Roman" w:hAnsi="Arial" w:cs="Arial"/>
                <w:sz w:val="24"/>
                <w:szCs w:val="24"/>
                <w:lang w:eastAsia="en-GB"/>
              </w:rPr>
              <w:t>7</w:t>
            </w:r>
            <w:r w:rsidR="00683CB2" w:rsidRPr="000B7956">
              <w:rPr>
                <w:rFonts w:ascii="Arial" w:eastAsia="Times New Roman" w:hAnsi="Arial" w:cs="Arial"/>
                <w:sz w:val="24"/>
                <w:szCs w:val="24"/>
                <w:lang w:eastAsia="en-GB"/>
              </w:rPr>
              <w:t>m</w:t>
            </w:r>
            <w:r w:rsidRPr="000B7956">
              <w:rPr>
                <w:rFonts w:ascii="Arial" w:eastAsia="Times New Roman" w:hAnsi="Arial" w:cs="Arial"/>
                <w:sz w:val="24"/>
                <w:szCs w:val="24"/>
                <w:lang w:eastAsia="en-GB"/>
              </w:rPr>
              <w:t> </w:t>
            </w:r>
          </w:p>
        </w:tc>
        <w:tc>
          <w:tcPr>
            <w:tcW w:w="2693" w:type="dxa"/>
            <w:shd w:val="clear" w:color="auto" w:fill="auto"/>
            <w:vAlign w:val="center"/>
            <w:hideMark/>
          </w:tcPr>
          <w:p w14:paraId="31D04F2C" w14:textId="0883CFB4" w:rsidR="00A57B36" w:rsidRPr="000B7956" w:rsidRDefault="00A57B36" w:rsidP="00A57B36">
            <w:pPr>
              <w:spacing w:after="0" w:line="240" w:lineRule="auto"/>
              <w:jc w:val="center"/>
              <w:textAlignment w:val="baseline"/>
              <w:rPr>
                <w:rFonts w:ascii="Arial" w:eastAsia="Times New Roman" w:hAnsi="Arial" w:cs="Arial"/>
                <w:sz w:val="24"/>
                <w:szCs w:val="24"/>
                <w:lang w:eastAsia="en-GB"/>
              </w:rPr>
            </w:pPr>
            <w:r w:rsidRPr="000B7956">
              <w:rPr>
                <w:rFonts w:ascii="Arial" w:eastAsia="Times New Roman" w:hAnsi="Arial" w:cs="Arial"/>
                <w:sz w:val="24"/>
                <w:szCs w:val="24"/>
                <w:lang w:eastAsia="en-GB"/>
              </w:rPr>
              <w:t>+/-£0.</w:t>
            </w:r>
            <w:r w:rsidR="00AD6AFF">
              <w:rPr>
                <w:rFonts w:ascii="Arial" w:eastAsia="Times New Roman" w:hAnsi="Arial" w:cs="Arial"/>
                <w:sz w:val="24"/>
                <w:szCs w:val="24"/>
                <w:lang w:eastAsia="en-GB"/>
              </w:rPr>
              <w:t>5</w:t>
            </w:r>
            <w:r w:rsidR="00AD6AFF" w:rsidRPr="000B7956">
              <w:rPr>
                <w:rFonts w:ascii="Arial" w:eastAsia="Times New Roman" w:hAnsi="Arial" w:cs="Arial"/>
                <w:sz w:val="24"/>
                <w:szCs w:val="24"/>
                <w:lang w:eastAsia="en-GB"/>
              </w:rPr>
              <w:t>m </w:t>
            </w:r>
          </w:p>
        </w:tc>
      </w:tr>
      <w:tr w:rsidR="00A57B36" w:rsidRPr="00A57B36" w14:paraId="10A297FB" w14:textId="77777777" w:rsidTr="004B5750">
        <w:trPr>
          <w:trHeight w:val="330"/>
        </w:trPr>
        <w:tc>
          <w:tcPr>
            <w:tcW w:w="4157" w:type="dxa"/>
            <w:shd w:val="clear" w:color="auto" w:fill="auto"/>
            <w:vAlign w:val="center"/>
            <w:hideMark/>
          </w:tcPr>
          <w:p w14:paraId="281DAFC8" w14:textId="77777777" w:rsidR="00A57B36" w:rsidRPr="00A57B36" w:rsidRDefault="00A57B36" w:rsidP="00A57B36">
            <w:pPr>
              <w:spacing w:after="0" w:line="240" w:lineRule="auto"/>
              <w:ind w:left="720"/>
              <w:textAlignment w:val="baseline"/>
              <w:rPr>
                <w:rFonts w:ascii="Arial" w:eastAsia="Times New Roman" w:hAnsi="Arial" w:cs="Arial"/>
                <w:sz w:val="24"/>
                <w:szCs w:val="24"/>
                <w:lang w:eastAsia="en-GB"/>
              </w:rPr>
            </w:pPr>
            <w:r w:rsidRPr="00A57B36">
              <w:rPr>
                <w:rFonts w:ascii="Arial" w:eastAsia="Times New Roman" w:hAnsi="Arial" w:cs="Arial"/>
                <w:sz w:val="24"/>
                <w:szCs w:val="24"/>
                <w:lang w:eastAsia="en-GB"/>
              </w:rPr>
              <w:t>Borrowing </w:t>
            </w:r>
          </w:p>
        </w:tc>
        <w:tc>
          <w:tcPr>
            <w:tcW w:w="1559" w:type="dxa"/>
            <w:shd w:val="clear" w:color="auto" w:fill="auto"/>
            <w:vAlign w:val="center"/>
            <w:hideMark/>
          </w:tcPr>
          <w:p w14:paraId="15ED4248" w14:textId="77777777" w:rsidR="00A57B36" w:rsidRPr="00A57B36" w:rsidRDefault="00A57B36" w:rsidP="00A57B36">
            <w:pPr>
              <w:spacing w:after="0" w:line="240" w:lineRule="auto"/>
              <w:jc w:val="center"/>
              <w:textAlignment w:val="baseline"/>
              <w:rPr>
                <w:rFonts w:ascii="Arial" w:eastAsia="Times New Roman" w:hAnsi="Arial" w:cs="Arial"/>
                <w:sz w:val="24"/>
                <w:szCs w:val="24"/>
                <w:lang w:eastAsia="en-GB"/>
              </w:rPr>
            </w:pPr>
            <w:r w:rsidRPr="00A57B36">
              <w:rPr>
                <w:rFonts w:ascii="Arial" w:eastAsia="Times New Roman" w:hAnsi="Arial" w:cs="Arial"/>
                <w:sz w:val="24"/>
                <w:szCs w:val="24"/>
                <w:lang w:eastAsia="en-GB"/>
              </w:rPr>
              <w:t>(£0.0m) </w:t>
            </w:r>
          </w:p>
        </w:tc>
        <w:tc>
          <w:tcPr>
            <w:tcW w:w="2693" w:type="dxa"/>
            <w:shd w:val="clear" w:color="auto" w:fill="auto"/>
            <w:hideMark/>
          </w:tcPr>
          <w:p w14:paraId="4A148797" w14:textId="77777777" w:rsidR="00A57B36" w:rsidRPr="00A57B36" w:rsidRDefault="00A57B36" w:rsidP="00A57B36">
            <w:pPr>
              <w:spacing w:after="0" w:line="240" w:lineRule="auto"/>
              <w:jc w:val="center"/>
              <w:textAlignment w:val="baseline"/>
              <w:rPr>
                <w:rFonts w:ascii="Arial" w:eastAsia="Times New Roman" w:hAnsi="Arial" w:cs="Arial"/>
                <w:sz w:val="24"/>
                <w:szCs w:val="24"/>
                <w:lang w:eastAsia="en-GB"/>
              </w:rPr>
            </w:pPr>
            <w:r w:rsidRPr="00A57B36">
              <w:rPr>
                <w:rFonts w:ascii="Arial" w:eastAsia="Times New Roman" w:hAnsi="Arial" w:cs="Arial"/>
                <w:sz w:val="24"/>
                <w:szCs w:val="24"/>
                <w:lang w:eastAsia="en-GB"/>
              </w:rPr>
              <w:t>+/-£0.0m </w:t>
            </w:r>
          </w:p>
        </w:tc>
      </w:tr>
    </w:tbl>
    <w:p w14:paraId="48AD2FC8" w14:textId="77777777" w:rsidR="00A57B36" w:rsidRPr="00A57B36" w:rsidRDefault="00A57B36" w:rsidP="00A57B36">
      <w:pPr>
        <w:pStyle w:val="ListParagraph"/>
        <w:spacing w:after="240" w:line="240" w:lineRule="auto"/>
        <w:contextualSpacing w:val="0"/>
        <w:rPr>
          <w:rFonts w:ascii="Arial" w:hAnsi="Arial" w:cs="Arial"/>
          <w:b/>
          <w:sz w:val="24"/>
          <w:szCs w:val="24"/>
        </w:rPr>
      </w:pPr>
    </w:p>
    <w:p w14:paraId="370EDCF4" w14:textId="77777777" w:rsidR="00951F2E" w:rsidRPr="00A57B36" w:rsidRDefault="0041119E" w:rsidP="00A57B36">
      <w:pPr>
        <w:pStyle w:val="ListParagraph"/>
        <w:spacing w:after="240" w:line="240" w:lineRule="auto"/>
        <w:contextualSpacing w:val="0"/>
        <w:rPr>
          <w:rFonts w:ascii="Arial" w:hAnsi="Arial" w:cs="Arial"/>
          <w:b/>
          <w:sz w:val="24"/>
          <w:szCs w:val="24"/>
        </w:rPr>
      </w:pPr>
      <w:r w:rsidRPr="00A57B36">
        <w:rPr>
          <w:rFonts w:ascii="Arial" w:hAnsi="Arial" w:cs="Arial"/>
          <w:b/>
          <w:sz w:val="24"/>
          <w:szCs w:val="24"/>
        </w:rPr>
        <w:t>M</w:t>
      </w:r>
      <w:r w:rsidR="00951F2E" w:rsidRPr="00A57B36">
        <w:rPr>
          <w:rFonts w:ascii="Arial" w:hAnsi="Arial" w:cs="Arial"/>
          <w:b/>
          <w:sz w:val="24"/>
          <w:szCs w:val="24"/>
        </w:rPr>
        <w:t>aturity Structure of Borrowing</w:t>
      </w:r>
    </w:p>
    <w:p w14:paraId="503F598D" w14:textId="77777777" w:rsidR="0041119E" w:rsidRPr="00A57B36" w:rsidRDefault="0041119E"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This indicator is set to control the </w:t>
      </w:r>
      <w:r w:rsidR="00951F2E" w:rsidRPr="00A57B36">
        <w:rPr>
          <w:rFonts w:ascii="Arial" w:hAnsi="Arial" w:cs="Arial"/>
          <w:sz w:val="24"/>
          <w:szCs w:val="24"/>
        </w:rPr>
        <w:t>OPCC</w:t>
      </w:r>
      <w:r w:rsidRPr="00A57B36">
        <w:rPr>
          <w:rFonts w:ascii="Arial" w:hAnsi="Arial" w:cs="Arial"/>
          <w:sz w:val="24"/>
          <w:szCs w:val="24"/>
        </w:rPr>
        <w:t xml:space="preserve">’s exposure to refinancing risk. </w:t>
      </w:r>
      <w:r w:rsidR="00951F2E" w:rsidRPr="00A57B36">
        <w:rPr>
          <w:rFonts w:ascii="Arial" w:hAnsi="Arial" w:cs="Arial"/>
          <w:sz w:val="24"/>
          <w:szCs w:val="24"/>
        </w:rPr>
        <w:t xml:space="preserve"> </w:t>
      </w:r>
      <w:r w:rsidRPr="00A57B36">
        <w:rPr>
          <w:rFonts w:ascii="Arial" w:hAnsi="Arial" w:cs="Arial"/>
          <w:sz w:val="24"/>
          <w:szCs w:val="24"/>
        </w:rPr>
        <w:t>The upper and lower limits on the maturity structure of fixed rate borrowing will be:</w:t>
      </w:r>
    </w:p>
    <w:tbl>
      <w:tblPr>
        <w:tblW w:w="0" w:type="auto"/>
        <w:tblInd w:w="660" w:type="dxa"/>
        <w:tblLook w:val="04A0" w:firstRow="1" w:lastRow="0" w:firstColumn="1" w:lastColumn="0" w:noHBand="0" w:noVBand="1"/>
      </w:tblPr>
      <w:tblGrid>
        <w:gridCol w:w="4621"/>
        <w:gridCol w:w="1157"/>
        <w:gridCol w:w="1157"/>
      </w:tblGrid>
      <w:tr w:rsidR="008E6106" w:rsidRPr="00A57B36" w14:paraId="307437F7" w14:textId="77777777" w:rsidTr="008E6106">
        <w:trPr>
          <w:trHeight w:val="340"/>
        </w:trPr>
        <w:tc>
          <w:tcPr>
            <w:tcW w:w="6935" w:type="dxa"/>
            <w:gridSpan w:val="3"/>
            <w:shd w:val="clear" w:color="auto" w:fill="auto"/>
            <w:vAlign w:val="center"/>
          </w:tcPr>
          <w:p w14:paraId="295B590E" w14:textId="592153A5" w:rsidR="008E6106" w:rsidRPr="00A57B36" w:rsidRDefault="008E6106" w:rsidP="00A57B36">
            <w:pPr>
              <w:keepNext/>
              <w:spacing w:after="240" w:line="240" w:lineRule="auto"/>
              <w:outlineLvl w:val="0"/>
              <w:rPr>
                <w:rFonts w:ascii="Arial" w:eastAsia="Times New Roman" w:hAnsi="Arial" w:cs="Arial"/>
                <w:b/>
                <w:bCs/>
                <w:sz w:val="24"/>
                <w:szCs w:val="24"/>
              </w:rPr>
            </w:pPr>
            <w:r w:rsidRPr="00A57B36">
              <w:rPr>
                <w:rFonts w:ascii="Arial" w:hAnsi="Arial" w:cs="Arial"/>
                <w:b/>
                <w:sz w:val="24"/>
                <w:szCs w:val="24"/>
              </w:rPr>
              <w:t>Table</w:t>
            </w:r>
            <w:r w:rsidR="00823306">
              <w:rPr>
                <w:rFonts w:ascii="Arial" w:hAnsi="Arial" w:cs="Arial"/>
                <w:b/>
                <w:sz w:val="24"/>
                <w:szCs w:val="24"/>
              </w:rPr>
              <w:t xml:space="preserve"> 7</w:t>
            </w:r>
            <w:r w:rsidRPr="00A57B36">
              <w:rPr>
                <w:rFonts w:ascii="Arial" w:hAnsi="Arial" w:cs="Arial"/>
                <w:b/>
                <w:sz w:val="24"/>
                <w:szCs w:val="24"/>
              </w:rPr>
              <w:t>: Maturity Structure of Borrowing</w:t>
            </w:r>
          </w:p>
        </w:tc>
      </w:tr>
      <w:tr w:rsidR="0041119E" w:rsidRPr="00A57B36" w14:paraId="20803098" w14:textId="77777777" w:rsidTr="00951F2E">
        <w:trPr>
          <w:trHeight w:val="340"/>
        </w:trPr>
        <w:tc>
          <w:tcPr>
            <w:tcW w:w="4621" w:type="dxa"/>
            <w:shd w:val="clear" w:color="auto" w:fill="auto"/>
            <w:vAlign w:val="center"/>
          </w:tcPr>
          <w:p w14:paraId="7593DC50" w14:textId="77777777" w:rsidR="0041119E" w:rsidRPr="00A57B36" w:rsidRDefault="0041119E" w:rsidP="00A57B36">
            <w:pPr>
              <w:keepNext/>
              <w:spacing w:after="0"/>
              <w:jc w:val="center"/>
              <w:rPr>
                <w:rFonts w:ascii="Arial" w:eastAsia="Times New Roman" w:hAnsi="Arial" w:cs="Arial"/>
                <w:bCs/>
                <w:sz w:val="24"/>
                <w:szCs w:val="24"/>
              </w:rPr>
            </w:pPr>
          </w:p>
        </w:tc>
        <w:tc>
          <w:tcPr>
            <w:tcW w:w="1157" w:type="dxa"/>
            <w:shd w:val="clear" w:color="auto" w:fill="auto"/>
            <w:vAlign w:val="center"/>
          </w:tcPr>
          <w:p w14:paraId="4477E43F" w14:textId="77777777" w:rsidR="0041119E" w:rsidRPr="00A57B36" w:rsidRDefault="0041119E" w:rsidP="00A57B36">
            <w:pPr>
              <w:keepNext/>
              <w:spacing w:after="0"/>
              <w:jc w:val="center"/>
              <w:rPr>
                <w:rFonts w:ascii="Arial" w:eastAsia="Times New Roman" w:hAnsi="Arial" w:cs="Arial"/>
                <w:b/>
                <w:bCs/>
                <w:sz w:val="24"/>
                <w:szCs w:val="24"/>
              </w:rPr>
            </w:pPr>
            <w:r w:rsidRPr="00A57B36">
              <w:rPr>
                <w:rFonts w:ascii="Arial" w:eastAsia="Times New Roman" w:hAnsi="Arial" w:cs="Arial"/>
                <w:b/>
                <w:bCs/>
                <w:sz w:val="24"/>
                <w:szCs w:val="24"/>
              </w:rPr>
              <w:t>Upper</w:t>
            </w:r>
          </w:p>
        </w:tc>
        <w:tc>
          <w:tcPr>
            <w:tcW w:w="1157" w:type="dxa"/>
            <w:shd w:val="clear" w:color="auto" w:fill="auto"/>
            <w:vAlign w:val="center"/>
          </w:tcPr>
          <w:p w14:paraId="467C100A" w14:textId="77777777" w:rsidR="0041119E" w:rsidRPr="00A57B36" w:rsidRDefault="0041119E" w:rsidP="00A57B36">
            <w:pPr>
              <w:keepNext/>
              <w:spacing w:after="0"/>
              <w:jc w:val="center"/>
              <w:rPr>
                <w:rFonts w:ascii="Arial" w:eastAsia="Times New Roman" w:hAnsi="Arial" w:cs="Arial"/>
                <w:b/>
                <w:bCs/>
                <w:sz w:val="24"/>
                <w:szCs w:val="24"/>
              </w:rPr>
            </w:pPr>
            <w:r w:rsidRPr="00A57B36">
              <w:rPr>
                <w:rFonts w:ascii="Arial" w:eastAsia="Times New Roman" w:hAnsi="Arial" w:cs="Arial"/>
                <w:b/>
                <w:bCs/>
                <w:sz w:val="24"/>
                <w:szCs w:val="24"/>
              </w:rPr>
              <w:t>Lower</w:t>
            </w:r>
          </w:p>
        </w:tc>
      </w:tr>
      <w:tr w:rsidR="00243E06" w:rsidRPr="00A57B36" w14:paraId="72F5C589" w14:textId="77777777" w:rsidTr="00951F2E">
        <w:trPr>
          <w:trHeight w:val="340"/>
        </w:trPr>
        <w:tc>
          <w:tcPr>
            <w:tcW w:w="4621" w:type="dxa"/>
            <w:shd w:val="clear" w:color="auto" w:fill="auto"/>
            <w:vAlign w:val="center"/>
          </w:tcPr>
          <w:p w14:paraId="70D4EC57" w14:textId="77777777" w:rsidR="00243E06" w:rsidRPr="00A57B36" w:rsidRDefault="00243E06" w:rsidP="00A57B36">
            <w:pPr>
              <w:keepNext/>
              <w:spacing w:after="0"/>
              <w:rPr>
                <w:rFonts w:ascii="Arial" w:eastAsia="Times New Roman" w:hAnsi="Arial" w:cs="Arial"/>
                <w:bCs/>
                <w:sz w:val="24"/>
                <w:szCs w:val="24"/>
              </w:rPr>
            </w:pPr>
            <w:r w:rsidRPr="00A57B36">
              <w:rPr>
                <w:rFonts w:ascii="Arial" w:eastAsia="Times New Roman" w:hAnsi="Arial" w:cs="Arial"/>
                <w:bCs/>
                <w:sz w:val="24"/>
                <w:szCs w:val="24"/>
              </w:rPr>
              <w:t>Under 12 months</w:t>
            </w:r>
          </w:p>
        </w:tc>
        <w:tc>
          <w:tcPr>
            <w:tcW w:w="1157" w:type="dxa"/>
            <w:shd w:val="clear" w:color="auto" w:fill="auto"/>
            <w:vAlign w:val="center"/>
          </w:tcPr>
          <w:p w14:paraId="337BBD7E" w14:textId="77777777" w:rsidR="00243E06" w:rsidRPr="000B7956" w:rsidRDefault="008E6106" w:rsidP="00A57B36">
            <w:pPr>
              <w:keepNext/>
              <w:spacing w:after="0"/>
              <w:jc w:val="center"/>
              <w:rPr>
                <w:rFonts w:ascii="Arial" w:hAnsi="Arial" w:cs="Arial"/>
                <w:sz w:val="24"/>
                <w:szCs w:val="24"/>
              </w:rPr>
            </w:pPr>
            <w:r w:rsidRPr="000B7956">
              <w:rPr>
                <w:rFonts w:ascii="Arial" w:hAnsi="Arial" w:cs="Arial"/>
                <w:sz w:val="24"/>
                <w:szCs w:val="24"/>
              </w:rPr>
              <w:t>50</w:t>
            </w:r>
            <w:r w:rsidR="00243E06" w:rsidRPr="000B7956">
              <w:rPr>
                <w:rFonts w:ascii="Arial" w:hAnsi="Arial" w:cs="Arial"/>
                <w:sz w:val="24"/>
                <w:szCs w:val="24"/>
              </w:rPr>
              <w:t>%</w:t>
            </w:r>
          </w:p>
        </w:tc>
        <w:tc>
          <w:tcPr>
            <w:tcW w:w="1157" w:type="dxa"/>
            <w:shd w:val="clear" w:color="auto" w:fill="auto"/>
            <w:vAlign w:val="center"/>
          </w:tcPr>
          <w:p w14:paraId="2D21563A" w14:textId="77777777" w:rsidR="00243E06" w:rsidRPr="00A57B36" w:rsidRDefault="008E6106" w:rsidP="00A57B36">
            <w:pPr>
              <w:keepNext/>
              <w:spacing w:after="0"/>
              <w:jc w:val="center"/>
              <w:rPr>
                <w:rFonts w:ascii="Arial" w:hAnsi="Arial" w:cs="Arial"/>
                <w:sz w:val="24"/>
                <w:szCs w:val="24"/>
              </w:rPr>
            </w:pPr>
            <w:r w:rsidRPr="00A57B36">
              <w:rPr>
                <w:rFonts w:ascii="Arial" w:hAnsi="Arial" w:cs="Arial"/>
                <w:sz w:val="24"/>
                <w:szCs w:val="24"/>
              </w:rPr>
              <w:t>0</w:t>
            </w:r>
            <w:r w:rsidR="00243E06" w:rsidRPr="00A57B36">
              <w:rPr>
                <w:rFonts w:ascii="Arial" w:hAnsi="Arial" w:cs="Arial"/>
                <w:sz w:val="24"/>
                <w:szCs w:val="24"/>
              </w:rPr>
              <w:t>%</w:t>
            </w:r>
          </w:p>
        </w:tc>
      </w:tr>
      <w:tr w:rsidR="00243E06" w:rsidRPr="00A57B36" w14:paraId="0C73A236" w14:textId="77777777" w:rsidTr="00951F2E">
        <w:trPr>
          <w:trHeight w:val="340"/>
        </w:trPr>
        <w:tc>
          <w:tcPr>
            <w:tcW w:w="4621" w:type="dxa"/>
            <w:shd w:val="clear" w:color="auto" w:fill="auto"/>
            <w:vAlign w:val="center"/>
          </w:tcPr>
          <w:p w14:paraId="59A80A23" w14:textId="77777777" w:rsidR="00243E06" w:rsidRPr="00A57B36" w:rsidRDefault="00243E06" w:rsidP="00A57B36">
            <w:pPr>
              <w:keepNext/>
              <w:spacing w:after="0"/>
              <w:rPr>
                <w:rFonts w:ascii="Arial" w:eastAsia="Times New Roman" w:hAnsi="Arial" w:cs="Arial"/>
                <w:bCs/>
                <w:sz w:val="24"/>
                <w:szCs w:val="24"/>
              </w:rPr>
            </w:pPr>
            <w:r w:rsidRPr="00A57B36">
              <w:rPr>
                <w:rFonts w:ascii="Arial" w:eastAsia="Times New Roman" w:hAnsi="Arial" w:cs="Arial"/>
                <w:bCs/>
                <w:sz w:val="24"/>
                <w:szCs w:val="24"/>
              </w:rPr>
              <w:t>12 months and within 24 months</w:t>
            </w:r>
          </w:p>
        </w:tc>
        <w:tc>
          <w:tcPr>
            <w:tcW w:w="1157" w:type="dxa"/>
            <w:shd w:val="clear" w:color="auto" w:fill="auto"/>
            <w:vAlign w:val="center"/>
          </w:tcPr>
          <w:p w14:paraId="1E99B3D0" w14:textId="77777777" w:rsidR="00243E06" w:rsidRPr="000B7956" w:rsidRDefault="008E6106" w:rsidP="00A57B36">
            <w:pPr>
              <w:keepNext/>
              <w:spacing w:after="0"/>
              <w:jc w:val="center"/>
              <w:rPr>
                <w:rFonts w:ascii="Arial" w:hAnsi="Arial" w:cs="Arial"/>
                <w:sz w:val="24"/>
                <w:szCs w:val="24"/>
              </w:rPr>
            </w:pPr>
            <w:r w:rsidRPr="000B7956">
              <w:rPr>
                <w:rFonts w:ascii="Arial" w:hAnsi="Arial" w:cs="Arial"/>
                <w:sz w:val="24"/>
                <w:szCs w:val="24"/>
              </w:rPr>
              <w:t>50</w:t>
            </w:r>
            <w:r w:rsidR="00243E06" w:rsidRPr="000B7956">
              <w:rPr>
                <w:rFonts w:ascii="Arial" w:hAnsi="Arial" w:cs="Arial"/>
                <w:sz w:val="24"/>
                <w:szCs w:val="24"/>
              </w:rPr>
              <w:t>%</w:t>
            </w:r>
          </w:p>
        </w:tc>
        <w:tc>
          <w:tcPr>
            <w:tcW w:w="1157" w:type="dxa"/>
            <w:shd w:val="clear" w:color="auto" w:fill="auto"/>
            <w:vAlign w:val="center"/>
          </w:tcPr>
          <w:p w14:paraId="0993F6E7" w14:textId="77777777" w:rsidR="00243E06" w:rsidRPr="00A57B36" w:rsidRDefault="008E6106" w:rsidP="00A57B36">
            <w:pPr>
              <w:keepNext/>
              <w:spacing w:after="0"/>
              <w:jc w:val="center"/>
              <w:rPr>
                <w:rFonts w:ascii="Arial" w:hAnsi="Arial" w:cs="Arial"/>
                <w:sz w:val="24"/>
                <w:szCs w:val="24"/>
              </w:rPr>
            </w:pPr>
            <w:r w:rsidRPr="00A57B36">
              <w:rPr>
                <w:rFonts w:ascii="Arial" w:hAnsi="Arial" w:cs="Arial"/>
                <w:sz w:val="24"/>
                <w:szCs w:val="24"/>
              </w:rPr>
              <w:t>0</w:t>
            </w:r>
            <w:r w:rsidR="00243E06" w:rsidRPr="00A57B36">
              <w:rPr>
                <w:rFonts w:ascii="Arial" w:hAnsi="Arial" w:cs="Arial"/>
                <w:sz w:val="24"/>
                <w:szCs w:val="24"/>
              </w:rPr>
              <w:t>%</w:t>
            </w:r>
          </w:p>
        </w:tc>
      </w:tr>
      <w:tr w:rsidR="00243E06" w:rsidRPr="00A57B36" w14:paraId="5EE41236" w14:textId="77777777" w:rsidTr="00951F2E">
        <w:trPr>
          <w:trHeight w:val="340"/>
        </w:trPr>
        <w:tc>
          <w:tcPr>
            <w:tcW w:w="4621" w:type="dxa"/>
            <w:shd w:val="clear" w:color="auto" w:fill="auto"/>
            <w:vAlign w:val="center"/>
          </w:tcPr>
          <w:p w14:paraId="4B229E20" w14:textId="77777777" w:rsidR="00243E06" w:rsidRPr="00A57B36" w:rsidRDefault="00243E06" w:rsidP="00A57B36">
            <w:pPr>
              <w:keepNext/>
              <w:spacing w:after="0"/>
              <w:rPr>
                <w:rFonts w:ascii="Arial" w:eastAsia="Times New Roman" w:hAnsi="Arial" w:cs="Arial"/>
                <w:bCs/>
                <w:sz w:val="24"/>
                <w:szCs w:val="24"/>
              </w:rPr>
            </w:pPr>
            <w:r w:rsidRPr="00A57B36">
              <w:rPr>
                <w:rFonts w:ascii="Arial" w:eastAsia="Times New Roman" w:hAnsi="Arial" w:cs="Arial"/>
                <w:bCs/>
                <w:sz w:val="24"/>
                <w:szCs w:val="24"/>
              </w:rPr>
              <w:t>24 months and within 5 years</w:t>
            </w:r>
          </w:p>
        </w:tc>
        <w:tc>
          <w:tcPr>
            <w:tcW w:w="1157" w:type="dxa"/>
            <w:shd w:val="clear" w:color="auto" w:fill="auto"/>
            <w:vAlign w:val="center"/>
          </w:tcPr>
          <w:p w14:paraId="0A19076C" w14:textId="77777777" w:rsidR="00243E06" w:rsidRPr="000B7956" w:rsidRDefault="008E6106" w:rsidP="00A57B36">
            <w:pPr>
              <w:keepNext/>
              <w:spacing w:after="0"/>
              <w:jc w:val="center"/>
              <w:rPr>
                <w:rFonts w:ascii="Arial" w:hAnsi="Arial" w:cs="Arial"/>
                <w:sz w:val="24"/>
                <w:szCs w:val="24"/>
              </w:rPr>
            </w:pPr>
            <w:r w:rsidRPr="000B7956">
              <w:rPr>
                <w:rFonts w:ascii="Arial" w:hAnsi="Arial" w:cs="Arial"/>
                <w:sz w:val="24"/>
                <w:szCs w:val="24"/>
              </w:rPr>
              <w:t>50</w:t>
            </w:r>
            <w:r w:rsidR="00243E06" w:rsidRPr="000B7956">
              <w:rPr>
                <w:rFonts w:ascii="Arial" w:hAnsi="Arial" w:cs="Arial"/>
                <w:sz w:val="24"/>
                <w:szCs w:val="24"/>
              </w:rPr>
              <w:t>%</w:t>
            </w:r>
          </w:p>
        </w:tc>
        <w:tc>
          <w:tcPr>
            <w:tcW w:w="1157" w:type="dxa"/>
            <w:shd w:val="clear" w:color="auto" w:fill="auto"/>
            <w:vAlign w:val="center"/>
          </w:tcPr>
          <w:p w14:paraId="7D3E6CE2" w14:textId="77777777" w:rsidR="00243E06" w:rsidRPr="00A57B36" w:rsidRDefault="008E6106" w:rsidP="00A57B36">
            <w:pPr>
              <w:keepNext/>
              <w:spacing w:after="0"/>
              <w:jc w:val="center"/>
              <w:rPr>
                <w:rFonts w:ascii="Arial" w:hAnsi="Arial" w:cs="Arial"/>
                <w:sz w:val="24"/>
                <w:szCs w:val="24"/>
              </w:rPr>
            </w:pPr>
            <w:r w:rsidRPr="00A57B36">
              <w:rPr>
                <w:rFonts w:ascii="Arial" w:hAnsi="Arial" w:cs="Arial"/>
                <w:sz w:val="24"/>
                <w:szCs w:val="24"/>
              </w:rPr>
              <w:t>0</w:t>
            </w:r>
            <w:r w:rsidR="00243E06" w:rsidRPr="00A57B36">
              <w:rPr>
                <w:rFonts w:ascii="Arial" w:hAnsi="Arial" w:cs="Arial"/>
                <w:sz w:val="24"/>
                <w:szCs w:val="24"/>
              </w:rPr>
              <w:t>%</w:t>
            </w:r>
          </w:p>
        </w:tc>
      </w:tr>
      <w:tr w:rsidR="008E6106" w:rsidRPr="00A57B36" w14:paraId="575A5E78" w14:textId="77777777" w:rsidTr="00951F2E">
        <w:trPr>
          <w:trHeight w:val="340"/>
        </w:trPr>
        <w:tc>
          <w:tcPr>
            <w:tcW w:w="4621" w:type="dxa"/>
            <w:shd w:val="clear" w:color="auto" w:fill="auto"/>
            <w:vAlign w:val="center"/>
          </w:tcPr>
          <w:p w14:paraId="6E9B820C" w14:textId="77777777" w:rsidR="00243E06" w:rsidRPr="00A57B36" w:rsidRDefault="00243E06" w:rsidP="00A57B36">
            <w:pPr>
              <w:keepNext/>
              <w:spacing w:after="0"/>
              <w:rPr>
                <w:rFonts w:ascii="Arial" w:eastAsia="Times New Roman" w:hAnsi="Arial" w:cs="Arial"/>
                <w:bCs/>
                <w:sz w:val="24"/>
                <w:szCs w:val="24"/>
              </w:rPr>
            </w:pPr>
            <w:r w:rsidRPr="00A57B36">
              <w:rPr>
                <w:rFonts w:ascii="Arial" w:eastAsia="Times New Roman" w:hAnsi="Arial" w:cs="Arial"/>
                <w:bCs/>
                <w:sz w:val="24"/>
                <w:szCs w:val="24"/>
              </w:rPr>
              <w:t>5 years and within 10 years</w:t>
            </w:r>
          </w:p>
        </w:tc>
        <w:tc>
          <w:tcPr>
            <w:tcW w:w="1157" w:type="dxa"/>
            <w:shd w:val="clear" w:color="auto" w:fill="auto"/>
            <w:vAlign w:val="center"/>
          </w:tcPr>
          <w:p w14:paraId="5ED8FDCB" w14:textId="77777777" w:rsidR="00243E06" w:rsidRPr="000B7956" w:rsidRDefault="008E6106" w:rsidP="00A57B36">
            <w:pPr>
              <w:keepNext/>
              <w:spacing w:after="0"/>
              <w:jc w:val="center"/>
              <w:rPr>
                <w:rFonts w:ascii="Arial" w:hAnsi="Arial" w:cs="Arial"/>
                <w:sz w:val="24"/>
                <w:szCs w:val="24"/>
              </w:rPr>
            </w:pPr>
            <w:r w:rsidRPr="000B7956">
              <w:rPr>
                <w:rFonts w:ascii="Arial" w:hAnsi="Arial" w:cs="Arial"/>
                <w:sz w:val="24"/>
                <w:szCs w:val="24"/>
              </w:rPr>
              <w:t>75</w:t>
            </w:r>
            <w:r w:rsidR="00243E06" w:rsidRPr="000B7956">
              <w:rPr>
                <w:rFonts w:ascii="Arial" w:hAnsi="Arial" w:cs="Arial"/>
                <w:sz w:val="24"/>
                <w:szCs w:val="24"/>
              </w:rPr>
              <w:t>%</w:t>
            </w:r>
          </w:p>
        </w:tc>
        <w:tc>
          <w:tcPr>
            <w:tcW w:w="1157" w:type="dxa"/>
            <w:shd w:val="clear" w:color="auto" w:fill="auto"/>
            <w:vAlign w:val="center"/>
          </w:tcPr>
          <w:p w14:paraId="458D4344" w14:textId="77777777" w:rsidR="00243E06" w:rsidRPr="00A57B36" w:rsidRDefault="008E6106" w:rsidP="00A57B36">
            <w:pPr>
              <w:keepNext/>
              <w:spacing w:after="0"/>
              <w:jc w:val="center"/>
              <w:rPr>
                <w:rFonts w:ascii="Arial" w:hAnsi="Arial" w:cs="Arial"/>
                <w:sz w:val="24"/>
                <w:szCs w:val="24"/>
              </w:rPr>
            </w:pPr>
            <w:r w:rsidRPr="00A57B36">
              <w:rPr>
                <w:rFonts w:ascii="Arial" w:hAnsi="Arial" w:cs="Arial"/>
                <w:sz w:val="24"/>
                <w:szCs w:val="24"/>
              </w:rPr>
              <w:t>0</w:t>
            </w:r>
            <w:r w:rsidR="00243E06" w:rsidRPr="00A57B36">
              <w:rPr>
                <w:rFonts w:ascii="Arial" w:hAnsi="Arial" w:cs="Arial"/>
                <w:sz w:val="24"/>
                <w:szCs w:val="24"/>
              </w:rPr>
              <w:t>%</w:t>
            </w:r>
          </w:p>
        </w:tc>
      </w:tr>
      <w:tr w:rsidR="008E6106" w:rsidRPr="00A57B36" w14:paraId="3D7A6020" w14:textId="77777777" w:rsidTr="00951F2E">
        <w:trPr>
          <w:trHeight w:val="340"/>
        </w:trPr>
        <w:tc>
          <w:tcPr>
            <w:tcW w:w="4621" w:type="dxa"/>
            <w:shd w:val="clear" w:color="auto" w:fill="auto"/>
            <w:vAlign w:val="center"/>
          </w:tcPr>
          <w:p w14:paraId="40E70878" w14:textId="77777777" w:rsidR="00243E06" w:rsidRPr="00A57B36" w:rsidRDefault="008E6106" w:rsidP="00A57B36">
            <w:pPr>
              <w:keepNext/>
              <w:spacing w:after="0"/>
              <w:rPr>
                <w:rFonts w:ascii="Arial" w:eastAsia="Times New Roman" w:hAnsi="Arial" w:cs="Arial"/>
                <w:bCs/>
                <w:i/>
                <w:sz w:val="24"/>
                <w:szCs w:val="24"/>
              </w:rPr>
            </w:pPr>
            <w:r w:rsidRPr="00A57B36">
              <w:rPr>
                <w:rFonts w:ascii="Arial" w:eastAsia="Times New Roman" w:hAnsi="Arial" w:cs="Arial"/>
                <w:bCs/>
                <w:sz w:val="24"/>
                <w:szCs w:val="24"/>
              </w:rPr>
              <w:t>10 years and within 20 years</w:t>
            </w:r>
          </w:p>
        </w:tc>
        <w:tc>
          <w:tcPr>
            <w:tcW w:w="1157" w:type="dxa"/>
            <w:shd w:val="clear" w:color="auto" w:fill="auto"/>
            <w:vAlign w:val="center"/>
          </w:tcPr>
          <w:p w14:paraId="7A3CCC7D" w14:textId="77777777" w:rsidR="00243E06" w:rsidRPr="000B7956" w:rsidRDefault="00983A84" w:rsidP="00A57B36">
            <w:pPr>
              <w:keepNext/>
              <w:spacing w:after="0"/>
              <w:jc w:val="center"/>
              <w:rPr>
                <w:rFonts w:ascii="Arial" w:hAnsi="Arial" w:cs="Arial"/>
                <w:sz w:val="24"/>
                <w:szCs w:val="24"/>
              </w:rPr>
            </w:pPr>
            <w:r w:rsidRPr="000B7956">
              <w:rPr>
                <w:rFonts w:ascii="Arial" w:hAnsi="Arial" w:cs="Arial"/>
                <w:sz w:val="24"/>
                <w:szCs w:val="24"/>
              </w:rPr>
              <w:t>10</w:t>
            </w:r>
            <w:r w:rsidR="008E6106" w:rsidRPr="000B7956">
              <w:rPr>
                <w:rFonts w:ascii="Arial" w:hAnsi="Arial" w:cs="Arial"/>
                <w:sz w:val="24"/>
                <w:szCs w:val="24"/>
              </w:rPr>
              <w:t>0</w:t>
            </w:r>
            <w:r w:rsidR="00243E06" w:rsidRPr="000B7956">
              <w:rPr>
                <w:rFonts w:ascii="Arial" w:hAnsi="Arial" w:cs="Arial"/>
                <w:sz w:val="24"/>
                <w:szCs w:val="24"/>
              </w:rPr>
              <w:t>%</w:t>
            </w:r>
          </w:p>
        </w:tc>
        <w:tc>
          <w:tcPr>
            <w:tcW w:w="1157" w:type="dxa"/>
            <w:shd w:val="clear" w:color="auto" w:fill="auto"/>
            <w:vAlign w:val="center"/>
          </w:tcPr>
          <w:p w14:paraId="097DE301" w14:textId="77777777" w:rsidR="00243E06" w:rsidRPr="00A57B36" w:rsidRDefault="008E6106" w:rsidP="00A57B36">
            <w:pPr>
              <w:keepNext/>
              <w:spacing w:after="0"/>
              <w:jc w:val="center"/>
              <w:rPr>
                <w:rFonts w:ascii="Arial" w:hAnsi="Arial" w:cs="Arial"/>
                <w:sz w:val="24"/>
                <w:szCs w:val="24"/>
              </w:rPr>
            </w:pPr>
            <w:r w:rsidRPr="00A57B36">
              <w:rPr>
                <w:rFonts w:ascii="Arial" w:hAnsi="Arial" w:cs="Arial"/>
                <w:sz w:val="24"/>
                <w:szCs w:val="24"/>
              </w:rPr>
              <w:t>0</w:t>
            </w:r>
            <w:r w:rsidR="00243E06" w:rsidRPr="00A57B36">
              <w:rPr>
                <w:rFonts w:ascii="Arial" w:hAnsi="Arial" w:cs="Arial"/>
                <w:sz w:val="24"/>
                <w:szCs w:val="24"/>
              </w:rPr>
              <w:t>%</w:t>
            </w:r>
          </w:p>
        </w:tc>
      </w:tr>
      <w:tr w:rsidR="008E6106" w:rsidRPr="00A57B36" w14:paraId="7E426E7F" w14:textId="77777777" w:rsidTr="00951F2E">
        <w:trPr>
          <w:trHeight w:val="340"/>
        </w:trPr>
        <w:tc>
          <w:tcPr>
            <w:tcW w:w="4621" w:type="dxa"/>
            <w:shd w:val="clear" w:color="auto" w:fill="auto"/>
            <w:vAlign w:val="center"/>
          </w:tcPr>
          <w:p w14:paraId="1AC67F66" w14:textId="77777777" w:rsidR="008E6106" w:rsidRPr="00A57B36" w:rsidRDefault="008E6106" w:rsidP="00A57B36">
            <w:pPr>
              <w:keepNext/>
              <w:spacing w:after="0"/>
              <w:rPr>
                <w:rFonts w:ascii="Arial" w:eastAsia="Times New Roman" w:hAnsi="Arial" w:cs="Arial"/>
                <w:bCs/>
                <w:sz w:val="24"/>
                <w:szCs w:val="24"/>
              </w:rPr>
            </w:pPr>
            <w:r w:rsidRPr="00A57B36">
              <w:rPr>
                <w:rFonts w:ascii="Arial" w:eastAsia="Times New Roman" w:hAnsi="Arial" w:cs="Arial"/>
                <w:bCs/>
                <w:sz w:val="24"/>
                <w:szCs w:val="24"/>
              </w:rPr>
              <w:t>20 years and above</w:t>
            </w:r>
          </w:p>
        </w:tc>
        <w:tc>
          <w:tcPr>
            <w:tcW w:w="1157" w:type="dxa"/>
            <w:shd w:val="clear" w:color="auto" w:fill="auto"/>
            <w:vAlign w:val="center"/>
          </w:tcPr>
          <w:p w14:paraId="4C122261" w14:textId="77777777" w:rsidR="008E6106" w:rsidRPr="000B7956" w:rsidRDefault="008E6106" w:rsidP="00A57B36">
            <w:pPr>
              <w:keepNext/>
              <w:spacing w:after="0"/>
              <w:jc w:val="center"/>
              <w:rPr>
                <w:rFonts w:ascii="Arial" w:hAnsi="Arial" w:cs="Arial"/>
                <w:sz w:val="24"/>
                <w:szCs w:val="24"/>
              </w:rPr>
            </w:pPr>
            <w:r w:rsidRPr="000B7956">
              <w:rPr>
                <w:rFonts w:ascii="Arial" w:hAnsi="Arial" w:cs="Arial"/>
                <w:sz w:val="24"/>
                <w:szCs w:val="24"/>
              </w:rPr>
              <w:t>100%</w:t>
            </w:r>
          </w:p>
        </w:tc>
        <w:tc>
          <w:tcPr>
            <w:tcW w:w="1157" w:type="dxa"/>
            <w:shd w:val="clear" w:color="auto" w:fill="auto"/>
            <w:vAlign w:val="center"/>
          </w:tcPr>
          <w:p w14:paraId="6EBDB129" w14:textId="77777777" w:rsidR="008E6106" w:rsidRPr="00A57B36" w:rsidRDefault="008E6106" w:rsidP="00A57B36">
            <w:pPr>
              <w:keepNext/>
              <w:spacing w:after="0"/>
              <w:jc w:val="center"/>
              <w:rPr>
                <w:rFonts w:ascii="Arial" w:hAnsi="Arial" w:cs="Arial"/>
                <w:sz w:val="24"/>
                <w:szCs w:val="24"/>
              </w:rPr>
            </w:pPr>
            <w:r w:rsidRPr="00A57B36">
              <w:rPr>
                <w:rFonts w:ascii="Arial" w:hAnsi="Arial" w:cs="Arial"/>
                <w:sz w:val="24"/>
                <w:szCs w:val="24"/>
              </w:rPr>
              <w:t>0%</w:t>
            </w:r>
          </w:p>
        </w:tc>
      </w:tr>
      <w:tr w:rsidR="00951F2E" w:rsidRPr="00A57B36" w14:paraId="4B85DCA4" w14:textId="77777777" w:rsidTr="00951F2E">
        <w:trPr>
          <w:trHeight w:val="340"/>
        </w:trPr>
        <w:tc>
          <w:tcPr>
            <w:tcW w:w="4621" w:type="dxa"/>
            <w:shd w:val="clear" w:color="auto" w:fill="auto"/>
            <w:vAlign w:val="center"/>
          </w:tcPr>
          <w:p w14:paraId="55960109" w14:textId="77777777" w:rsidR="00951F2E" w:rsidRPr="00A57B36" w:rsidRDefault="00951F2E" w:rsidP="00A57B36">
            <w:pPr>
              <w:keepNext/>
              <w:spacing w:after="0"/>
              <w:rPr>
                <w:rFonts w:ascii="Arial" w:eastAsia="Times New Roman" w:hAnsi="Arial" w:cs="Arial"/>
                <w:bCs/>
                <w:sz w:val="24"/>
                <w:szCs w:val="24"/>
              </w:rPr>
            </w:pPr>
          </w:p>
        </w:tc>
        <w:tc>
          <w:tcPr>
            <w:tcW w:w="1157" w:type="dxa"/>
            <w:shd w:val="clear" w:color="auto" w:fill="auto"/>
            <w:vAlign w:val="center"/>
          </w:tcPr>
          <w:p w14:paraId="76B29CB2" w14:textId="77777777" w:rsidR="00951F2E" w:rsidRPr="00A57B36" w:rsidRDefault="00951F2E" w:rsidP="00A57B36">
            <w:pPr>
              <w:keepNext/>
              <w:spacing w:after="0"/>
              <w:jc w:val="center"/>
              <w:rPr>
                <w:rFonts w:ascii="Arial" w:hAnsi="Arial" w:cs="Arial"/>
                <w:sz w:val="24"/>
                <w:szCs w:val="24"/>
              </w:rPr>
            </w:pPr>
          </w:p>
        </w:tc>
        <w:tc>
          <w:tcPr>
            <w:tcW w:w="1157" w:type="dxa"/>
            <w:shd w:val="clear" w:color="auto" w:fill="auto"/>
            <w:vAlign w:val="center"/>
          </w:tcPr>
          <w:p w14:paraId="3D323E1E" w14:textId="77777777" w:rsidR="00951F2E" w:rsidRPr="00A57B36" w:rsidRDefault="00951F2E" w:rsidP="00A57B36">
            <w:pPr>
              <w:keepNext/>
              <w:spacing w:after="0"/>
              <w:jc w:val="center"/>
              <w:rPr>
                <w:rFonts w:ascii="Arial" w:hAnsi="Arial" w:cs="Arial"/>
                <w:sz w:val="24"/>
                <w:szCs w:val="24"/>
              </w:rPr>
            </w:pPr>
          </w:p>
        </w:tc>
      </w:tr>
    </w:tbl>
    <w:p w14:paraId="696E4DF3" w14:textId="77777777" w:rsidR="00951F2E" w:rsidRPr="00A57B36" w:rsidRDefault="00A63498" w:rsidP="00A57B36">
      <w:pPr>
        <w:pStyle w:val="ListParagraph"/>
        <w:spacing w:after="240" w:line="240" w:lineRule="auto"/>
        <w:contextualSpacing w:val="0"/>
        <w:rPr>
          <w:rFonts w:ascii="Arial" w:hAnsi="Arial" w:cs="Arial"/>
          <w:b/>
          <w:sz w:val="24"/>
          <w:szCs w:val="24"/>
        </w:rPr>
      </w:pPr>
      <w:r w:rsidRPr="00A57B36">
        <w:rPr>
          <w:rFonts w:ascii="Arial" w:hAnsi="Arial" w:cs="Arial"/>
          <w:b/>
          <w:sz w:val="24"/>
          <w:szCs w:val="24"/>
        </w:rPr>
        <w:t>Principal S</w:t>
      </w:r>
      <w:r w:rsidR="0041119E" w:rsidRPr="00A57B36">
        <w:rPr>
          <w:rFonts w:ascii="Arial" w:hAnsi="Arial" w:cs="Arial"/>
          <w:b/>
          <w:sz w:val="24"/>
          <w:szCs w:val="24"/>
        </w:rPr>
        <w:t xml:space="preserve">ums </w:t>
      </w:r>
      <w:r w:rsidRPr="00A57B36">
        <w:rPr>
          <w:rFonts w:ascii="Arial" w:hAnsi="Arial" w:cs="Arial"/>
          <w:b/>
          <w:sz w:val="24"/>
          <w:szCs w:val="24"/>
        </w:rPr>
        <w:t>I</w:t>
      </w:r>
      <w:r w:rsidR="0041119E" w:rsidRPr="00A57B36">
        <w:rPr>
          <w:rFonts w:ascii="Arial" w:hAnsi="Arial" w:cs="Arial"/>
          <w:b/>
          <w:sz w:val="24"/>
          <w:szCs w:val="24"/>
        </w:rPr>
        <w:t xml:space="preserve">nvested for </w:t>
      </w:r>
      <w:r w:rsidRPr="00A57B36">
        <w:rPr>
          <w:rFonts w:ascii="Arial" w:hAnsi="Arial" w:cs="Arial"/>
          <w:b/>
          <w:sz w:val="24"/>
          <w:szCs w:val="24"/>
        </w:rPr>
        <w:t>P</w:t>
      </w:r>
      <w:r w:rsidR="0041119E" w:rsidRPr="00A57B36">
        <w:rPr>
          <w:rFonts w:ascii="Arial" w:hAnsi="Arial" w:cs="Arial"/>
          <w:b/>
          <w:sz w:val="24"/>
          <w:szCs w:val="24"/>
        </w:rPr>
        <w:t xml:space="preserve">eriods </w:t>
      </w:r>
      <w:r w:rsidRPr="00A57B36">
        <w:rPr>
          <w:rFonts w:ascii="Arial" w:hAnsi="Arial" w:cs="Arial"/>
          <w:b/>
          <w:sz w:val="24"/>
          <w:szCs w:val="24"/>
        </w:rPr>
        <w:t>L</w:t>
      </w:r>
      <w:r w:rsidR="0041119E" w:rsidRPr="00A57B36">
        <w:rPr>
          <w:rFonts w:ascii="Arial" w:hAnsi="Arial" w:cs="Arial"/>
          <w:b/>
          <w:sz w:val="24"/>
          <w:szCs w:val="24"/>
        </w:rPr>
        <w:t>onger than 364 days</w:t>
      </w:r>
    </w:p>
    <w:p w14:paraId="47B16354" w14:textId="77777777" w:rsidR="0041119E" w:rsidRPr="00A57B36" w:rsidRDefault="0041119E"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The purpose of this indicator is to control the </w:t>
      </w:r>
      <w:r w:rsidR="00951F2E" w:rsidRPr="00A57B36">
        <w:rPr>
          <w:rFonts w:ascii="Arial" w:hAnsi="Arial" w:cs="Arial"/>
          <w:sz w:val="24"/>
          <w:szCs w:val="24"/>
        </w:rPr>
        <w:t>OPCC</w:t>
      </w:r>
      <w:r w:rsidRPr="00A57B36">
        <w:rPr>
          <w:rFonts w:ascii="Arial" w:hAnsi="Arial" w:cs="Arial"/>
          <w:sz w:val="24"/>
          <w:szCs w:val="24"/>
        </w:rPr>
        <w:t>’s exposure to the risk of incurring losses by seeking early repayment of its investments.</w:t>
      </w:r>
      <w:r w:rsidR="00E07AAC" w:rsidRPr="00A57B36">
        <w:rPr>
          <w:rFonts w:ascii="Arial" w:hAnsi="Arial" w:cs="Arial"/>
          <w:sz w:val="24"/>
          <w:szCs w:val="24"/>
        </w:rPr>
        <w:t xml:space="preserve">  </w:t>
      </w:r>
      <w:r w:rsidRPr="00A57B36">
        <w:rPr>
          <w:rFonts w:ascii="Arial" w:hAnsi="Arial" w:cs="Arial"/>
          <w:sz w:val="24"/>
          <w:szCs w:val="24"/>
        </w:rPr>
        <w:t xml:space="preserve">The limits on the </w:t>
      </w:r>
      <w:r w:rsidR="009B53E7" w:rsidRPr="00A57B36">
        <w:rPr>
          <w:rFonts w:ascii="Arial" w:hAnsi="Arial" w:cs="Arial"/>
          <w:sz w:val="24"/>
          <w:szCs w:val="24"/>
        </w:rPr>
        <w:t>long-term</w:t>
      </w:r>
      <w:r w:rsidRPr="00A57B36">
        <w:rPr>
          <w:rFonts w:ascii="Arial" w:hAnsi="Arial" w:cs="Arial"/>
          <w:sz w:val="24"/>
          <w:szCs w:val="24"/>
        </w:rPr>
        <w:t xml:space="preserve"> principal sum invested to final maturities beyond the period end will be:</w:t>
      </w:r>
    </w:p>
    <w:tbl>
      <w:tblPr>
        <w:tblW w:w="0" w:type="auto"/>
        <w:tblInd w:w="660" w:type="dxa"/>
        <w:tblLayout w:type="fixed"/>
        <w:tblLook w:val="04A0" w:firstRow="1" w:lastRow="0" w:firstColumn="1" w:lastColumn="0" w:noHBand="0" w:noVBand="1"/>
      </w:tblPr>
      <w:tblGrid>
        <w:gridCol w:w="4835"/>
        <w:gridCol w:w="1134"/>
        <w:gridCol w:w="1134"/>
        <w:gridCol w:w="1134"/>
      </w:tblGrid>
      <w:tr w:rsidR="008E6106" w:rsidRPr="00A57B36" w14:paraId="59C5A3AA" w14:textId="77777777" w:rsidTr="008E6106">
        <w:trPr>
          <w:trHeight w:val="340"/>
        </w:trPr>
        <w:tc>
          <w:tcPr>
            <w:tcW w:w="8237" w:type="dxa"/>
            <w:gridSpan w:val="4"/>
            <w:shd w:val="clear" w:color="auto" w:fill="auto"/>
            <w:vAlign w:val="center"/>
          </w:tcPr>
          <w:p w14:paraId="7B3C779C" w14:textId="11057A73" w:rsidR="008E6106" w:rsidRPr="00A57B36" w:rsidRDefault="008E6106" w:rsidP="00A57B36">
            <w:pPr>
              <w:keepNext/>
              <w:spacing w:after="240" w:line="240" w:lineRule="auto"/>
              <w:outlineLvl w:val="0"/>
              <w:rPr>
                <w:rFonts w:ascii="Arial" w:eastAsia="Times New Roman" w:hAnsi="Arial" w:cs="Arial"/>
                <w:b/>
                <w:bCs/>
                <w:sz w:val="24"/>
                <w:szCs w:val="24"/>
              </w:rPr>
            </w:pPr>
            <w:r w:rsidRPr="00A57B36">
              <w:rPr>
                <w:rFonts w:ascii="Arial" w:hAnsi="Arial" w:cs="Arial"/>
                <w:b/>
                <w:sz w:val="24"/>
                <w:szCs w:val="24"/>
              </w:rPr>
              <w:t xml:space="preserve">Table </w:t>
            </w:r>
            <w:r w:rsidR="00823306">
              <w:rPr>
                <w:rFonts w:ascii="Arial" w:hAnsi="Arial" w:cs="Arial"/>
                <w:b/>
                <w:sz w:val="24"/>
                <w:szCs w:val="24"/>
              </w:rPr>
              <w:t>8</w:t>
            </w:r>
            <w:r w:rsidRPr="00A57B36">
              <w:rPr>
                <w:rFonts w:ascii="Arial" w:hAnsi="Arial" w:cs="Arial"/>
                <w:b/>
                <w:sz w:val="24"/>
                <w:szCs w:val="24"/>
              </w:rPr>
              <w:t>: Principles Sums Invested for Periods Longer than 364 days</w:t>
            </w:r>
          </w:p>
        </w:tc>
      </w:tr>
      <w:tr w:rsidR="00911679" w:rsidRPr="00A57B36" w14:paraId="5A31C904" w14:textId="77777777" w:rsidTr="008E6106">
        <w:trPr>
          <w:trHeight w:val="340"/>
        </w:trPr>
        <w:tc>
          <w:tcPr>
            <w:tcW w:w="4835" w:type="dxa"/>
            <w:shd w:val="clear" w:color="auto" w:fill="auto"/>
            <w:vAlign w:val="center"/>
          </w:tcPr>
          <w:p w14:paraId="0E24A4AD" w14:textId="77777777" w:rsidR="00911679" w:rsidRPr="00A57B36" w:rsidRDefault="00911679" w:rsidP="00A57B36">
            <w:pPr>
              <w:spacing w:after="0"/>
              <w:jc w:val="center"/>
              <w:rPr>
                <w:rFonts w:ascii="Arial" w:eastAsia="Times New Roman" w:hAnsi="Arial" w:cs="Arial"/>
                <w:bCs/>
                <w:sz w:val="24"/>
                <w:szCs w:val="24"/>
              </w:rPr>
            </w:pPr>
          </w:p>
        </w:tc>
        <w:tc>
          <w:tcPr>
            <w:tcW w:w="1134" w:type="dxa"/>
            <w:shd w:val="clear" w:color="auto" w:fill="auto"/>
            <w:vAlign w:val="center"/>
          </w:tcPr>
          <w:p w14:paraId="2ECE3440" w14:textId="1F2199EE" w:rsidR="00911679" w:rsidRPr="00A57B36" w:rsidRDefault="00710F32" w:rsidP="00A57B36">
            <w:pPr>
              <w:spacing w:after="0"/>
              <w:jc w:val="center"/>
              <w:rPr>
                <w:rFonts w:ascii="Arial" w:eastAsia="Times New Roman" w:hAnsi="Arial" w:cs="Arial"/>
                <w:b/>
                <w:bCs/>
                <w:sz w:val="24"/>
                <w:szCs w:val="24"/>
              </w:rPr>
            </w:pPr>
            <w:r w:rsidRPr="00A57B36">
              <w:rPr>
                <w:rFonts w:ascii="Arial" w:eastAsia="Times New Roman" w:hAnsi="Arial" w:cs="Arial"/>
                <w:b/>
                <w:bCs/>
                <w:sz w:val="24"/>
                <w:szCs w:val="24"/>
              </w:rPr>
              <w:t>20</w:t>
            </w:r>
            <w:r>
              <w:rPr>
                <w:rFonts w:ascii="Arial" w:eastAsia="Times New Roman" w:hAnsi="Arial" w:cs="Arial"/>
                <w:b/>
                <w:bCs/>
                <w:sz w:val="24"/>
                <w:szCs w:val="24"/>
              </w:rPr>
              <w:t>20</w:t>
            </w:r>
            <w:r w:rsidR="00911679" w:rsidRPr="00A57B36">
              <w:rPr>
                <w:rFonts w:ascii="Arial" w:eastAsia="Times New Roman" w:hAnsi="Arial" w:cs="Arial"/>
                <w:b/>
                <w:bCs/>
                <w:sz w:val="24"/>
                <w:szCs w:val="24"/>
              </w:rPr>
              <w:t>/</w:t>
            </w:r>
            <w:r>
              <w:rPr>
                <w:rFonts w:ascii="Arial" w:eastAsia="Times New Roman" w:hAnsi="Arial" w:cs="Arial"/>
                <w:b/>
                <w:bCs/>
                <w:sz w:val="24"/>
                <w:szCs w:val="24"/>
              </w:rPr>
              <w:t>21</w:t>
            </w:r>
          </w:p>
        </w:tc>
        <w:tc>
          <w:tcPr>
            <w:tcW w:w="1134" w:type="dxa"/>
            <w:shd w:val="clear" w:color="auto" w:fill="auto"/>
            <w:vAlign w:val="center"/>
          </w:tcPr>
          <w:p w14:paraId="37B745F4" w14:textId="74E24273" w:rsidR="00911679" w:rsidRPr="00A57B36" w:rsidRDefault="00710F32" w:rsidP="00A57B36">
            <w:pPr>
              <w:spacing w:after="0"/>
              <w:jc w:val="center"/>
              <w:rPr>
                <w:rFonts w:ascii="Arial" w:eastAsia="Times New Roman" w:hAnsi="Arial" w:cs="Arial"/>
                <w:b/>
                <w:bCs/>
                <w:sz w:val="24"/>
                <w:szCs w:val="24"/>
              </w:rPr>
            </w:pPr>
            <w:r w:rsidRPr="00A57B36">
              <w:rPr>
                <w:rFonts w:ascii="Arial" w:eastAsia="Times New Roman" w:hAnsi="Arial" w:cs="Arial"/>
                <w:b/>
                <w:bCs/>
                <w:sz w:val="24"/>
                <w:szCs w:val="24"/>
              </w:rPr>
              <w:t>20</w:t>
            </w:r>
            <w:r>
              <w:rPr>
                <w:rFonts w:ascii="Arial" w:eastAsia="Times New Roman" w:hAnsi="Arial" w:cs="Arial"/>
                <w:b/>
                <w:bCs/>
                <w:sz w:val="24"/>
                <w:szCs w:val="24"/>
              </w:rPr>
              <w:t>21</w:t>
            </w:r>
            <w:r w:rsidR="00911679" w:rsidRPr="00A57B36">
              <w:rPr>
                <w:rFonts w:ascii="Arial" w:eastAsia="Times New Roman" w:hAnsi="Arial" w:cs="Arial"/>
                <w:b/>
                <w:bCs/>
                <w:sz w:val="24"/>
                <w:szCs w:val="24"/>
              </w:rPr>
              <w:t>/</w:t>
            </w:r>
            <w:r w:rsidRPr="00A57B36">
              <w:rPr>
                <w:rFonts w:ascii="Arial" w:eastAsia="Times New Roman" w:hAnsi="Arial" w:cs="Arial"/>
                <w:b/>
                <w:bCs/>
                <w:sz w:val="24"/>
                <w:szCs w:val="24"/>
              </w:rPr>
              <w:t>2</w:t>
            </w:r>
            <w:r>
              <w:rPr>
                <w:rFonts w:ascii="Arial" w:eastAsia="Times New Roman" w:hAnsi="Arial" w:cs="Arial"/>
                <w:b/>
                <w:bCs/>
                <w:sz w:val="24"/>
                <w:szCs w:val="24"/>
              </w:rPr>
              <w:t>2</w:t>
            </w:r>
          </w:p>
        </w:tc>
        <w:tc>
          <w:tcPr>
            <w:tcW w:w="1134" w:type="dxa"/>
            <w:shd w:val="clear" w:color="auto" w:fill="auto"/>
            <w:vAlign w:val="center"/>
          </w:tcPr>
          <w:p w14:paraId="0D037F28" w14:textId="6ED9E66E" w:rsidR="00911679" w:rsidRPr="00A57B36" w:rsidRDefault="00710F32" w:rsidP="00A57B36">
            <w:pPr>
              <w:spacing w:after="0"/>
              <w:jc w:val="center"/>
              <w:rPr>
                <w:rFonts w:ascii="Arial" w:eastAsia="Times New Roman" w:hAnsi="Arial" w:cs="Arial"/>
                <w:b/>
                <w:bCs/>
                <w:sz w:val="24"/>
                <w:szCs w:val="24"/>
              </w:rPr>
            </w:pPr>
            <w:r w:rsidRPr="00A57B36">
              <w:rPr>
                <w:rFonts w:ascii="Arial" w:eastAsia="Times New Roman" w:hAnsi="Arial" w:cs="Arial"/>
                <w:b/>
                <w:bCs/>
                <w:sz w:val="24"/>
                <w:szCs w:val="24"/>
              </w:rPr>
              <w:t>202</w:t>
            </w:r>
            <w:r>
              <w:rPr>
                <w:rFonts w:ascii="Arial" w:eastAsia="Times New Roman" w:hAnsi="Arial" w:cs="Arial"/>
                <w:b/>
                <w:bCs/>
                <w:sz w:val="24"/>
                <w:szCs w:val="24"/>
              </w:rPr>
              <w:t>2</w:t>
            </w:r>
            <w:r w:rsidR="00911679" w:rsidRPr="00A57B36">
              <w:rPr>
                <w:rFonts w:ascii="Arial" w:eastAsia="Times New Roman" w:hAnsi="Arial" w:cs="Arial"/>
                <w:b/>
                <w:bCs/>
                <w:sz w:val="24"/>
                <w:szCs w:val="24"/>
              </w:rPr>
              <w:t>/</w:t>
            </w:r>
            <w:r w:rsidRPr="00A57B36">
              <w:rPr>
                <w:rFonts w:ascii="Arial" w:eastAsia="Times New Roman" w:hAnsi="Arial" w:cs="Arial"/>
                <w:b/>
                <w:bCs/>
                <w:sz w:val="24"/>
                <w:szCs w:val="24"/>
              </w:rPr>
              <w:t>2</w:t>
            </w:r>
            <w:r>
              <w:rPr>
                <w:rFonts w:ascii="Arial" w:eastAsia="Times New Roman" w:hAnsi="Arial" w:cs="Arial"/>
                <w:b/>
                <w:bCs/>
                <w:sz w:val="24"/>
                <w:szCs w:val="24"/>
              </w:rPr>
              <w:t>3</w:t>
            </w:r>
          </w:p>
        </w:tc>
      </w:tr>
      <w:tr w:rsidR="00A63498" w:rsidRPr="00A57B36" w14:paraId="7F5DCED2" w14:textId="77777777" w:rsidTr="008E6106">
        <w:trPr>
          <w:trHeight w:val="340"/>
        </w:trPr>
        <w:tc>
          <w:tcPr>
            <w:tcW w:w="4835" w:type="dxa"/>
            <w:shd w:val="clear" w:color="auto" w:fill="auto"/>
            <w:vAlign w:val="center"/>
          </w:tcPr>
          <w:p w14:paraId="42F99417" w14:textId="77777777" w:rsidR="00A63498" w:rsidRPr="00A57B36" w:rsidRDefault="00A63498" w:rsidP="00A57B36">
            <w:pPr>
              <w:spacing w:after="0"/>
              <w:rPr>
                <w:rFonts w:ascii="Arial" w:eastAsia="Times New Roman" w:hAnsi="Arial" w:cs="Arial"/>
                <w:bCs/>
                <w:sz w:val="24"/>
                <w:szCs w:val="24"/>
              </w:rPr>
            </w:pPr>
            <w:r w:rsidRPr="00A57B36">
              <w:rPr>
                <w:rFonts w:ascii="Arial" w:eastAsia="Times New Roman" w:hAnsi="Arial" w:cs="Arial"/>
                <w:bCs/>
                <w:sz w:val="24"/>
                <w:szCs w:val="24"/>
              </w:rPr>
              <w:t xml:space="preserve">Limit on principal invested beyond </w:t>
            </w:r>
            <w:r w:rsidR="00D16730" w:rsidRPr="00A57B36">
              <w:rPr>
                <w:rFonts w:ascii="Arial" w:eastAsia="Times New Roman" w:hAnsi="Arial" w:cs="Arial"/>
                <w:bCs/>
                <w:sz w:val="24"/>
                <w:szCs w:val="24"/>
              </w:rPr>
              <w:t xml:space="preserve">a </w:t>
            </w:r>
            <w:r w:rsidRPr="00A57B36">
              <w:rPr>
                <w:rFonts w:ascii="Arial" w:eastAsia="Times New Roman" w:hAnsi="Arial" w:cs="Arial"/>
                <w:bCs/>
                <w:sz w:val="24"/>
                <w:szCs w:val="24"/>
              </w:rPr>
              <w:t>year</w:t>
            </w:r>
          </w:p>
        </w:tc>
        <w:tc>
          <w:tcPr>
            <w:tcW w:w="1134" w:type="dxa"/>
            <w:shd w:val="clear" w:color="auto" w:fill="auto"/>
            <w:vAlign w:val="center"/>
          </w:tcPr>
          <w:p w14:paraId="7BB316EF" w14:textId="031BF716" w:rsidR="00A63498" w:rsidRPr="000B7956" w:rsidRDefault="00243E06" w:rsidP="00A57B36">
            <w:pPr>
              <w:spacing w:after="0"/>
              <w:jc w:val="center"/>
              <w:rPr>
                <w:rFonts w:ascii="Arial" w:eastAsia="Times New Roman" w:hAnsi="Arial" w:cs="Arial"/>
                <w:bCs/>
                <w:sz w:val="24"/>
                <w:szCs w:val="24"/>
              </w:rPr>
            </w:pPr>
            <w:r w:rsidRPr="000B7956">
              <w:rPr>
                <w:rFonts w:ascii="Arial" w:hAnsi="Arial" w:cs="Arial"/>
                <w:sz w:val="24"/>
                <w:szCs w:val="24"/>
              </w:rPr>
              <w:t>£</w:t>
            </w:r>
            <w:r w:rsidR="00820DF1">
              <w:rPr>
                <w:rFonts w:ascii="Arial" w:hAnsi="Arial" w:cs="Arial"/>
                <w:sz w:val="24"/>
                <w:szCs w:val="24"/>
              </w:rPr>
              <w:t>1</w:t>
            </w:r>
            <w:r w:rsidR="006A69A9" w:rsidRPr="000B7956">
              <w:rPr>
                <w:rFonts w:ascii="Arial" w:hAnsi="Arial" w:cs="Arial"/>
                <w:sz w:val="24"/>
                <w:szCs w:val="24"/>
              </w:rPr>
              <w:t>5</w:t>
            </w:r>
            <w:r w:rsidRPr="000B7956">
              <w:rPr>
                <w:rFonts w:ascii="Arial" w:hAnsi="Arial" w:cs="Arial"/>
                <w:sz w:val="24"/>
                <w:szCs w:val="24"/>
              </w:rPr>
              <w:t>m</w:t>
            </w:r>
          </w:p>
        </w:tc>
        <w:tc>
          <w:tcPr>
            <w:tcW w:w="1134" w:type="dxa"/>
            <w:shd w:val="clear" w:color="auto" w:fill="auto"/>
            <w:vAlign w:val="center"/>
          </w:tcPr>
          <w:p w14:paraId="2083D433" w14:textId="5EE0EB7C" w:rsidR="00A63498" w:rsidRPr="000B7956" w:rsidRDefault="00243E06" w:rsidP="00A57B36">
            <w:pPr>
              <w:spacing w:after="0"/>
              <w:jc w:val="center"/>
              <w:rPr>
                <w:rFonts w:ascii="Arial" w:eastAsia="Times New Roman" w:hAnsi="Arial" w:cs="Arial"/>
                <w:bCs/>
                <w:sz w:val="24"/>
                <w:szCs w:val="24"/>
              </w:rPr>
            </w:pPr>
            <w:r w:rsidRPr="000B7956">
              <w:rPr>
                <w:rFonts w:ascii="Arial" w:hAnsi="Arial" w:cs="Arial"/>
                <w:sz w:val="24"/>
                <w:szCs w:val="24"/>
              </w:rPr>
              <w:t>£</w:t>
            </w:r>
            <w:r w:rsidR="00820DF1">
              <w:rPr>
                <w:rFonts w:ascii="Arial" w:hAnsi="Arial" w:cs="Arial"/>
                <w:sz w:val="24"/>
                <w:szCs w:val="24"/>
              </w:rPr>
              <w:t>1</w:t>
            </w:r>
            <w:r w:rsidR="006A69A9" w:rsidRPr="000B7956">
              <w:rPr>
                <w:rFonts w:ascii="Arial" w:hAnsi="Arial" w:cs="Arial"/>
                <w:sz w:val="24"/>
                <w:szCs w:val="24"/>
              </w:rPr>
              <w:t>5</w:t>
            </w:r>
            <w:r w:rsidRPr="000B7956">
              <w:rPr>
                <w:rFonts w:ascii="Arial" w:hAnsi="Arial" w:cs="Arial"/>
                <w:sz w:val="24"/>
                <w:szCs w:val="24"/>
              </w:rPr>
              <w:t>m</w:t>
            </w:r>
          </w:p>
        </w:tc>
        <w:tc>
          <w:tcPr>
            <w:tcW w:w="1134" w:type="dxa"/>
            <w:shd w:val="clear" w:color="auto" w:fill="auto"/>
            <w:vAlign w:val="center"/>
          </w:tcPr>
          <w:p w14:paraId="7C70684A" w14:textId="5927DBBA" w:rsidR="00A63498" w:rsidRPr="002855C0" w:rsidRDefault="00243E06" w:rsidP="00A57B36">
            <w:pPr>
              <w:spacing w:after="0"/>
              <w:jc w:val="center"/>
              <w:rPr>
                <w:rFonts w:ascii="Arial" w:eastAsia="Times New Roman" w:hAnsi="Arial" w:cs="Arial"/>
                <w:bCs/>
                <w:sz w:val="24"/>
                <w:szCs w:val="24"/>
                <w:highlight w:val="yellow"/>
              </w:rPr>
            </w:pPr>
            <w:r w:rsidRPr="00D34A8C">
              <w:rPr>
                <w:rFonts w:ascii="Arial" w:hAnsi="Arial" w:cs="Arial"/>
                <w:sz w:val="24"/>
                <w:szCs w:val="24"/>
              </w:rPr>
              <w:t>£</w:t>
            </w:r>
            <w:r w:rsidR="000B7956" w:rsidRPr="00D34A8C">
              <w:rPr>
                <w:rFonts w:ascii="Arial" w:hAnsi="Arial" w:cs="Arial"/>
                <w:sz w:val="24"/>
                <w:szCs w:val="24"/>
              </w:rPr>
              <w:t>1</w:t>
            </w:r>
            <w:r w:rsidR="006A69A9" w:rsidRPr="00D34A8C">
              <w:rPr>
                <w:rFonts w:ascii="Arial" w:hAnsi="Arial" w:cs="Arial"/>
                <w:sz w:val="24"/>
                <w:szCs w:val="24"/>
              </w:rPr>
              <w:t>5</w:t>
            </w:r>
            <w:r w:rsidRPr="00D34A8C">
              <w:rPr>
                <w:rFonts w:ascii="Arial" w:hAnsi="Arial" w:cs="Arial"/>
                <w:sz w:val="24"/>
                <w:szCs w:val="24"/>
              </w:rPr>
              <w:t>m</w:t>
            </w:r>
          </w:p>
        </w:tc>
      </w:tr>
      <w:tr w:rsidR="003E4544" w:rsidRPr="00A57B36" w14:paraId="1FEAEC9E" w14:textId="77777777" w:rsidTr="008E6106">
        <w:trPr>
          <w:trHeight w:val="340"/>
        </w:trPr>
        <w:tc>
          <w:tcPr>
            <w:tcW w:w="4835" w:type="dxa"/>
            <w:shd w:val="clear" w:color="auto" w:fill="auto"/>
            <w:vAlign w:val="center"/>
          </w:tcPr>
          <w:p w14:paraId="4CD45CE1" w14:textId="77777777" w:rsidR="003E4544" w:rsidRPr="00A57B36" w:rsidRDefault="003E4544" w:rsidP="00A57B36">
            <w:pPr>
              <w:spacing w:after="0"/>
              <w:rPr>
                <w:rFonts w:ascii="Arial" w:eastAsia="Times New Roman" w:hAnsi="Arial" w:cs="Arial"/>
                <w:bCs/>
                <w:sz w:val="24"/>
                <w:szCs w:val="24"/>
              </w:rPr>
            </w:pPr>
          </w:p>
        </w:tc>
        <w:tc>
          <w:tcPr>
            <w:tcW w:w="1134" w:type="dxa"/>
            <w:shd w:val="clear" w:color="auto" w:fill="auto"/>
            <w:vAlign w:val="center"/>
          </w:tcPr>
          <w:p w14:paraId="09FBF0B1" w14:textId="77777777" w:rsidR="003E4544" w:rsidRPr="00A57B36" w:rsidRDefault="003E4544" w:rsidP="00A57B36">
            <w:pPr>
              <w:spacing w:after="0"/>
              <w:jc w:val="center"/>
              <w:rPr>
                <w:rFonts w:ascii="Arial" w:hAnsi="Arial" w:cs="Arial"/>
                <w:sz w:val="24"/>
                <w:szCs w:val="24"/>
              </w:rPr>
            </w:pPr>
          </w:p>
        </w:tc>
        <w:tc>
          <w:tcPr>
            <w:tcW w:w="1134" w:type="dxa"/>
            <w:shd w:val="clear" w:color="auto" w:fill="auto"/>
            <w:vAlign w:val="center"/>
          </w:tcPr>
          <w:p w14:paraId="214D7EAF" w14:textId="77777777" w:rsidR="003E4544" w:rsidRPr="00A57B36" w:rsidRDefault="003E4544" w:rsidP="00A57B36">
            <w:pPr>
              <w:spacing w:after="0"/>
              <w:jc w:val="center"/>
              <w:rPr>
                <w:rFonts w:ascii="Arial" w:hAnsi="Arial" w:cs="Arial"/>
                <w:sz w:val="24"/>
                <w:szCs w:val="24"/>
              </w:rPr>
            </w:pPr>
          </w:p>
        </w:tc>
        <w:tc>
          <w:tcPr>
            <w:tcW w:w="1134" w:type="dxa"/>
            <w:shd w:val="clear" w:color="auto" w:fill="auto"/>
            <w:vAlign w:val="center"/>
          </w:tcPr>
          <w:p w14:paraId="3501C4E2" w14:textId="77777777" w:rsidR="003E4544" w:rsidRPr="00A57B36" w:rsidRDefault="003E4544" w:rsidP="00A57B36">
            <w:pPr>
              <w:spacing w:after="0"/>
              <w:jc w:val="center"/>
              <w:rPr>
                <w:rFonts w:ascii="Arial" w:hAnsi="Arial" w:cs="Arial"/>
                <w:sz w:val="24"/>
                <w:szCs w:val="24"/>
              </w:rPr>
            </w:pPr>
          </w:p>
        </w:tc>
      </w:tr>
    </w:tbl>
    <w:p w14:paraId="12842D10" w14:textId="53F8639C" w:rsidR="008F749A" w:rsidRPr="00A57B36" w:rsidRDefault="00916196" w:rsidP="00A57B36">
      <w:pPr>
        <w:keepNext/>
        <w:numPr>
          <w:ilvl w:val="0"/>
          <w:numId w:val="27"/>
        </w:numPr>
        <w:tabs>
          <w:tab w:val="num" w:pos="720"/>
        </w:tabs>
        <w:spacing w:after="240" w:line="240" w:lineRule="auto"/>
        <w:ind w:left="431" w:hanging="431"/>
        <w:outlineLvl w:val="0"/>
        <w:rPr>
          <w:rFonts w:ascii="Arial" w:hAnsi="Arial" w:cs="Arial"/>
          <w:b/>
          <w:sz w:val="24"/>
        </w:rPr>
      </w:pPr>
      <w:r>
        <w:rPr>
          <w:rFonts w:ascii="Arial" w:hAnsi="Arial" w:cs="Arial"/>
          <w:b/>
          <w:sz w:val="24"/>
        </w:rPr>
        <w:t>Related Matters</w:t>
      </w:r>
    </w:p>
    <w:p w14:paraId="73C1731C" w14:textId="7CF403D0" w:rsidR="00291777" w:rsidRPr="00A57B36" w:rsidRDefault="00724BD0" w:rsidP="00A57B36">
      <w:pPr>
        <w:pStyle w:val="ListParagraph"/>
        <w:numPr>
          <w:ilvl w:val="1"/>
          <w:numId w:val="27"/>
        </w:numPr>
        <w:spacing w:after="240" w:line="240" w:lineRule="auto"/>
        <w:ind w:left="720" w:hanging="720"/>
        <w:contextualSpacing w:val="0"/>
        <w:rPr>
          <w:rFonts w:ascii="Arial" w:hAnsi="Arial" w:cs="Arial"/>
          <w:sz w:val="24"/>
          <w:szCs w:val="24"/>
        </w:rPr>
      </w:pPr>
      <w:r w:rsidRPr="00724BD0">
        <w:rPr>
          <w:rFonts w:ascii="Arial" w:hAnsi="Arial" w:cs="Arial"/>
          <w:sz w:val="24"/>
          <w:szCs w:val="24"/>
        </w:rPr>
        <w:t xml:space="preserve">The CIPFA Code requires the </w:t>
      </w:r>
      <w:r>
        <w:rPr>
          <w:rFonts w:ascii="Arial" w:hAnsi="Arial" w:cs="Arial"/>
          <w:sz w:val="24"/>
          <w:szCs w:val="24"/>
        </w:rPr>
        <w:t>OPCC</w:t>
      </w:r>
      <w:r w:rsidRPr="00724BD0">
        <w:rPr>
          <w:rFonts w:ascii="Arial" w:hAnsi="Arial" w:cs="Arial"/>
          <w:sz w:val="24"/>
          <w:szCs w:val="24"/>
        </w:rPr>
        <w:t xml:space="preserve"> to include the following in its treasury management strategy</w:t>
      </w:r>
      <w:r w:rsidR="00291777" w:rsidRPr="00A57B36">
        <w:rPr>
          <w:rFonts w:ascii="Arial" w:hAnsi="Arial" w:cs="Arial"/>
          <w:sz w:val="24"/>
          <w:szCs w:val="24"/>
        </w:rPr>
        <w:t>.</w:t>
      </w:r>
    </w:p>
    <w:p w14:paraId="5F69F121" w14:textId="77777777" w:rsidR="00951F2E" w:rsidRPr="00A57B36" w:rsidRDefault="00F57541" w:rsidP="00A57B36">
      <w:pPr>
        <w:pStyle w:val="ListParagraph"/>
        <w:spacing w:after="240" w:line="240" w:lineRule="auto"/>
        <w:contextualSpacing w:val="0"/>
        <w:rPr>
          <w:rFonts w:ascii="Arial" w:hAnsi="Arial" w:cs="Arial"/>
          <w:b/>
          <w:sz w:val="24"/>
          <w:szCs w:val="24"/>
        </w:rPr>
      </w:pPr>
      <w:r w:rsidRPr="00A57B36">
        <w:rPr>
          <w:rFonts w:ascii="Arial" w:hAnsi="Arial" w:cs="Arial"/>
          <w:b/>
          <w:sz w:val="24"/>
          <w:szCs w:val="24"/>
        </w:rPr>
        <w:t>Policy on Use of Financial Derivatives</w:t>
      </w:r>
    </w:p>
    <w:p w14:paraId="7E5477D8" w14:textId="77777777" w:rsidR="00F57541" w:rsidRPr="00A57B36" w:rsidRDefault="00F57541"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In the absence of any </w:t>
      </w:r>
      <w:r w:rsidR="00C50D93" w:rsidRPr="00A57B36">
        <w:rPr>
          <w:rFonts w:ascii="Arial" w:hAnsi="Arial" w:cs="Arial"/>
          <w:sz w:val="24"/>
          <w:szCs w:val="24"/>
        </w:rPr>
        <w:t xml:space="preserve">explicit </w:t>
      </w:r>
      <w:r w:rsidRPr="00A57B36">
        <w:rPr>
          <w:rFonts w:ascii="Arial" w:hAnsi="Arial" w:cs="Arial"/>
          <w:sz w:val="24"/>
          <w:szCs w:val="24"/>
        </w:rPr>
        <w:t xml:space="preserve">legal power to do so, the </w:t>
      </w:r>
      <w:r w:rsidR="00951F2E" w:rsidRPr="00A57B36">
        <w:rPr>
          <w:rFonts w:ascii="Arial" w:hAnsi="Arial" w:cs="Arial"/>
          <w:sz w:val="24"/>
          <w:szCs w:val="24"/>
        </w:rPr>
        <w:t>OPCC</w:t>
      </w:r>
      <w:r w:rsidRPr="00A57B36">
        <w:rPr>
          <w:rFonts w:ascii="Arial" w:hAnsi="Arial" w:cs="Arial"/>
          <w:sz w:val="24"/>
          <w:szCs w:val="24"/>
        </w:rPr>
        <w:t xml:space="preserve"> will not use standalone financial derivatives (such as swaps, forwards, futures and options).  Derivatives embedded into loans and investments</w:t>
      </w:r>
      <w:r w:rsidR="00421F9E" w:rsidRPr="00A57B36">
        <w:rPr>
          <w:rFonts w:ascii="Arial" w:hAnsi="Arial" w:cs="Arial"/>
          <w:sz w:val="24"/>
          <w:szCs w:val="24"/>
        </w:rPr>
        <w:t>, including pooled funds</w:t>
      </w:r>
      <w:r w:rsidR="00A0283A" w:rsidRPr="00A57B36">
        <w:rPr>
          <w:rFonts w:ascii="Arial" w:hAnsi="Arial" w:cs="Arial"/>
          <w:sz w:val="24"/>
          <w:szCs w:val="24"/>
        </w:rPr>
        <w:t xml:space="preserve"> and forward starting transactions</w:t>
      </w:r>
      <w:r w:rsidR="00421F9E" w:rsidRPr="00A57B36">
        <w:rPr>
          <w:rFonts w:ascii="Arial" w:hAnsi="Arial" w:cs="Arial"/>
          <w:sz w:val="24"/>
          <w:szCs w:val="24"/>
        </w:rPr>
        <w:t>,</w:t>
      </w:r>
      <w:r w:rsidRPr="00A57B36">
        <w:rPr>
          <w:rFonts w:ascii="Arial" w:hAnsi="Arial" w:cs="Arial"/>
          <w:sz w:val="24"/>
          <w:szCs w:val="24"/>
        </w:rPr>
        <w:t xml:space="preserve"> may be used, and the risks that they present will be managed in line with the overall treasury risk management strategy.</w:t>
      </w:r>
    </w:p>
    <w:p w14:paraId="09869926" w14:textId="77777777" w:rsidR="00951F2E" w:rsidRPr="00A57B36" w:rsidRDefault="009F0773" w:rsidP="00A57B36">
      <w:pPr>
        <w:pStyle w:val="ListParagraph"/>
        <w:spacing w:after="240" w:line="240" w:lineRule="auto"/>
        <w:contextualSpacing w:val="0"/>
        <w:rPr>
          <w:rFonts w:ascii="Arial" w:hAnsi="Arial" w:cs="Arial"/>
          <w:b/>
          <w:sz w:val="24"/>
          <w:szCs w:val="24"/>
        </w:rPr>
      </w:pPr>
      <w:r w:rsidRPr="00A57B36">
        <w:rPr>
          <w:rFonts w:ascii="Arial" w:hAnsi="Arial" w:cs="Arial"/>
          <w:b/>
          <w:sz w:val="24"/>
          <w:szCs w:val="24"/>
        </w:rPr>
        <w:t xml:space="preserve">Investment </w:t>
      </w:r>
      <w:r w:rsidR="00D930E0" w:rsidRPr="00A57B36">
        <w:rPr>
          <w:rFonts w:ascii="Arial" w:hAnsi="Arial" w:cs="Arial"/>
          <w:b/>
          <w:sz w:val="24"/>
          <w:szCs w:val="24"/>
        </w:rPr>
        <w:t>Training</w:t>
      </w:r>
    </w:p>
    <w:p w14:paraId="0BAE0E11" w14:textId="77777777" w:rsidR="008D3CCA" w:rsidRPr="00A57B36" w:rsidRDefault="008D3CCA"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The needs of the </w:t>
      </w:r>
      <w:r w:rsidR="00951F2E" w:rsidRPr="00A57B36">
        <w:rPr>
          <w:rFonts w:ascii="Arial" w:hAnsi="Arial" w:cs="Arial"/>
          <w:sz w:val="24"/>
          <w:szCs w:val="24"/>
        </w:rPr>
        <w:t>OPCC</w:t>
      </w:r>
      <w:r w:rsidRPr="00A57B36">
        <w:rPr>
          <w:rFonts w:ascii="Arial" w:hAnsi="Arial" w:cs="Arial"/>
          <w:sz w:val="24"/>
          <w:szCs w:val="24"/>
        </w:rPr>
        <w:t xml:space="preserve">’s treasury management staff for training in investment management are assessed </w:t>
      </w:r>
      <w:r w:rsidR="00951F2E" w:rsidRPr="00A57B36">
        <w:rPr>
          <w:rFonts w:ascii="Arial" w:hAnsi="Arial" w:cs="Arial"/>
          <w:sz w:val="24"/>
          <w:szCs w:val="24"/>
        </w:rPr>
        <w:t>annually</w:t>
      </w:r>
      <w:r w:rsidRPr="00A57B36">
        <w:rPr>
          <w:rFonts w:ascii="Arial" w:hAnsi="Arial" w:cs="Arial"/>
          <w:sz w:val="24"/>
          <w:szCs w:val="24"/>
        </w:rPr>
        <w:t xml:space="preserve"> as part of the staff appraisal process, and additionally when the responsibilities of individual members of staff change.</w:t>
      </w:r>
    </w:p>
    <w:p w14:paraId="2F5E4BB0" w14:textId="77777777" w:rsidR="008D3CCA" w:rsidRPr="00A57B36" w:rsidRDefault="008D3CCA"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Staff regularly attend training courses, seminars and conferences provided by </w:t>
      </w:r>
      <w:proofErr w:type="spellStart"/>
      <w:r w:rsidRPr="00A57B36">
        <w:rPr>
          <w:rFonts w:ascii="Arial" w:hAnsi="Arial" w:cs="Arial"/>
          <w:sz w:val="24"/>
          <w:szCs w:val="24"/>
        </w:rPr>
        <w:t>Arlingclose</w:t>
      </w:r>
      <w:proofErr w:type="spellEnd"/>
      <w:r w:rsidRPr="00A57B36">
        <w:rPr>
          <w:rFonts w:ascii="Arial" w:hAnsi="Arial" w:cs="Arial"/>
          <w:sz w:val="24"/>
          <w:szCs w:val="24"/>
        </w:rPr>
        <w:t xml:space="preserve"> and CIPFA. </w:t>
      </w:r>
      <w:r w:rsidR="00951F2E" w:rsidRPr="00A57B36">
        <w:rPr>
          <w:rFonts w:ascii="Arial" w:hAnsi="Arial" w:cs="Arial"/>
          <w:sz w:val="24"/>
          <w:szCs w:val="24"/>
        </w:rPr>
        <w:t xml:space="preserve"> </w:t>
      </w:r>
      <w:r w:rsidRPr="00A57B36">
        <w:rPr>
          <w:rFonts w:ascii="Arial" w:hAnsi="Arial" w:cs="Arial"/>
          <w:sz w:val="24"/>
          <w:szCs w:val="24"/>
        </w:rPr>
        <w:t>Relevant staff are also encouraged to study professional qualifications from CIPFA, and other appropriate organisations.</w:t>
      </w:r>
    </w:p>
    <w:p w14:paraId="4F8A6A8A" w14:textId="791B4AC8" w:rsidR="00951F2E" w:rsidRPr="00A57B36" w:rsidRDefault="00951F2E"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 xml:space="preserve">CIPFA’s Code of Practice requires that the OPCC ensures that all members tasked with treasury management responsibilities, including scrutiny of the treasury management function, receive appropriate training relevant to their needs and </w:t>
      </w:r>
      <w:r w:rsidR="00BC61B4" w:rsidRPr="00A57B36">
        <w:rPr>
          <w:rFonts w:ascii="Arial" w:hAnsi="Arial" w:cs="Arial"/>
          <w:sz w:val="24"/>
          <w:szCs w:val="24"/>
        </w:rPr>
        <w:t xml:space="preserve">understand fully their roles and responsibilities.  All </w:t>
      </w:r>
      <w:r w:rsidR="008407B6" w:rsidRPr="00A57B36">
        <w:rPr>
          <w:rFonts w:ascii="Arial" w:hAnsi="Arial" w:cs="Arial"/>
          <w:sz w:val="24"/>
          <w:szCs w:val="24"/>
        </w:rPr>
        <w:t xml:space="preserve">Joint Audit Committee </w:t>
      </w:r>
      <w:r w:rsidR="00BC61B4" w:rsidRPr="00A57B36">
        <w:rPr>
          <w:rFonts w:ascii="Arial" w:hAnsi="Arial" w:cs="Arial"/>
          <w:sz w:val="24"/>
          <w:szCs w:val="24"/>
        </w:rPr>
        <w:t xml:space="preserve">members were invited to a workshop presented by </w:t>
      </w:r>
      <w:proofErr w:type="spellStart"/>
      <w:r w:rsidR="00BC61B4" w:rsidRPr="00A57B36">
        <w:rPr>
          <w:rFonts w:ascii="Arial" w:hAnsi="Arial" w:cs="Arial"/>
          <w:sz w:val="24"/>
          <w:szCs w:val="24"/>
        </w:rPr>
        <w:t>Arlingclose</w:t>
      </w:r>
      <w:proofErr w:type="spellEnd"/>
      <w:r w:rsidR="00BC61B4" w:rsidRPr="00A57B36">
        <w:rPr>
          <w:rFonts w:ascii="Arial" w:hAnsi="Arial" w:cs="Arial"/>
          <w:sz w:val="24"/>
          <w:szCs w:val="24"/>
        </w:rPr>
        <w:t xml:space="preserve"> on 2</w:t>
      </w:r>
      <w:r w:rsidR="001C219D">
        <w:rPr>
          <w:rFonts w:ascii="Arial" w:hAnsi="Arial" w:cs="Arial"/>
          <w:sz w:val="24"/>
          <w:szCs w:val="24"/>
        </w:rPr>
        <w:t>2</w:t>
      </w:r>
      <w:r w:rsidR="00BC61B4" w:rsidRPr="00A57B36">
        <w:rPr>
          <w:rFonts w:ascii="Arial" w:hAnsi="Arial" w:cs="Arial"/>
          <w:sz w:val="24"/>
          <w:szCs w:val="24"/>
        </w:rPr>
        <w:t xml:space="preserve"> November 201</w:t>
      </w:r>
      <w:r w:rsidR="00F82767">
        <w:rPr>
          <w:rFonts w:ascii="Arial" w:hAnsi="Arial" w:cs="Arial"/>
          <w:sz w:val="24"/>
          <w:szCs w:val="24"/>
        </w:rPr>
        <w:t>9</w:t>
      </w:r>
      <w:r w:rsidR="00BC61B4" w:rsidRPr="00A57B36">
        <w:rPr>
          <w:rFonts w:ascii="Arial" w:hAnsi="Arial" w:cs="Arial"/>
          <w:sz w:val="24"/>
          <w:szCs w:val="24"/>
        </w:rPr>
        <w:t xml:space="preserve">, which gave an update on treasury matters.  A further </w:t>
      </w:r>
      <w:proofErr w:type="spellStart"/>
      <w:r w:rsidR="00BC61B4" w:rsidRPr="00A57B36">
        <w:rPr>
          <w:rFonts w:ascii="Arial" w:hAnsi="Arial" w:cs="Arial"/>
          <w:sz w:val="24"/>
          <w:szCs w:val="24"/>
        </w:rPr>
        <w:t>Arlingclose</w:t>
      </w:r>
      <w:proofErr w:type="spellEnd"/>
      <w:r w:rsidR="00BC61B4" w:rsidRPr="00A57B36">
        <w:rPr>
          <w:rFonts w:ascii="Arial" w:hAnsi="Arial" w:cs="Arial"/>
          <w:sz w:val="24"/>
          <w:szCs w:val="24"/>
        </w:rPr>
        <w:t xml:space="preserve"> workshop has been planned for </w:t>
      </w:r>
      <w:r w:rsidR="001F4EA7" w:rsidRPr="00A57B36">
        <w:rPr>
          <w:rFonts w:ascii="Arial" w:hAnsi="Arial" w:cs="Arial"/>
          <w:sz w:val="24"/>
          <w:szCs w:val="24"/>
        </w:rPr>
        <w:t>November 20</w:t>
      </w:r>
      <w:r w:rsidR="00F82767">
        <w:rPr>
          <w:rFonts w:ascii="Arial" w:hAnsi="Arial" w:cs="Arial"/>
          <w:sz w:val="24"/>
          <w:szCs w:val="24"/>
        </w:rPr>
        <w:t>20</w:t>
      </w:r>
      <w:r w:rsidR="00BC61B4" w:rsidRPr="00A57B36">
        <w:rPr>
          <w:rFonts w:ascii="Arial" w:hAnsi="Arial" w:cs="Arial"/>
          <w:sz w:val="24"/>
          <w:szCs w:val="24"/>
        </w:rPr>
        <w:t>.</w:t>
      </w:r>
    </w:p>
    <w:p w14:paraId="0C26148A" w14:textId="77777777" w:rsidR="00BC61B4" w:rsidRPr="00A57B36" w:rsidRDefault="009F0773" w:rsidP="00A57B36">
      <w:pPr>
        <w:pStyle w:val="ListParagraph"/>
        <w:spacing w:after="240" w:line="240" w:lineRule="auto"/>
        <w:contextualSpacing w:val="0"/>
        <w:rPr>
          <w:rFonts w:ascii="Arial" w:hAnsi="Arial" w:cs="Arial"/>
          <w:b/>
          <w:sz w:val="24"/>
          <w:szCs w:val="24"/>
        </w:rPr>
      </w:pPr>
      <w:r w:rsidRPr="00A57B36">
        <w:rPr>
          <w:rFonts w:ascii="Arial" w:hAnsi="Arial" w:cs="Arial"/>
          <w:b/>
          <w:sz w:val="24"/>
          <w:szCs w:val="24"/>
        </w:rPr>
        <w:t>Investment</w:t>
      </w:r>
      <w:r w:rsidR="00AB44DD" w:rsidRPr="00A57B36">
        <w:rPr>
          <w:rFonts w:ascii="Arial" w:hAnsi="Arial" w:cs="Arial"/>
          <w:b/>
          <w:sz w:val="24"/>
          <w:szCs w:val="24"/>
        </w:rPr>
        <w:t xml:space="preserve"> </w:t>
      </w:r>
      <w:r w:rsidR="00D930E0" w:rsidRPr="00A57B36">
        <w:rPr>
          <w:rFonts w:ascii="Arial" w:hAnsi="Arial" w:cs="Arial"/>
          <w:b/>
          <w:sz w:val="24"/>
          <w:szCs w:val="24"/>
        </w:rPr>
        <w:t>Advis</w:t>
      </w:r>
      <w:r w:rsidR="008D3CCA" w:rsidRPr="00A57B36">
        <w:rPr>
          <w:rFonts w:ascii="Arial" w:hAnsi="Arial" w:cs="Arial"/>
          <w:b/>
          <w:sz w:val="24"/>
          <w:szCs w:val="24"/>
        </w:rPr>
        <w:t>e</w:t>
      </w:r>
      <w:r w:rsidR="00D930E0" w:rsidRPr="00A57B36">
        <w:rPr>
          <w:rFonts w:ascii="Arial" w:hAnsi="Arial" w:cs="Arial"/>
          <w:b/>
          <w:sz w:val="24"/>
          <w:szCs w:val="24"/>
        </w:rPr>
        <w:t>rs</w:t>
      </w:r>
    </w:p>
    <w:p w14:paraId="2BEEB4E5" w14:textId="2C65A409" w:rsidR="00D930E0" w:rsidRDefault="00BC61B4" w:rsidP="00A57B36">
      <w:pPr>
        <w:pStyle w:val="ListParagraph"/>
        <w:numPr>
          <w:ilvl w:val="1"/>
          <w:numId w:val="27"/>
        </w:numPr>
        <w:spacing w:after="240" w:line="240" w:lineRule="auto"/>
        <w:ind w:left="720" w:hanging="720"/>
        <w:contextualSpacing w:val="0"/>
        <w:rPr>
          <w:rFonts w:ascii="Arial" w:hAnsi="Arial" w:cs="Arial"/>
          <w:sz w:val="24"/>
          <w:szCs w:val="24"/>
        </w:rPr>
      </w:pPr>
      <w:r w:rsidRPr="00A57B36">
        <w:rPr>
          <w:rFonts w:ascii="Arial" w:hAnsi="Arial" w:cs="Arial"/>
          <w:sz w:val="24"/>
          <w:szCs w:val="24"/>
        </w:rPr>
        <w:t>The OPCC</w:t>
      </w:r>
      <w:r w:rsidR="00D20E41" w:rsidRPr="00A57B36">
        <w:rPr>
          <w:rFonts w:ascii="Arial" w:hAnsi="Arial" w:cs="Arial"/>
          <w:sz w:val="24"/>
          <w:szCs w:val="24"/>
        </w:rPr>
        <w:t xml:space="preserve"> </w:t>
      </w:r>
      <w:r w:rsidR="008D3CCA" w:rsidRPr="00A57B36">
        <w:rPr>
          <w:rFonts w:ascii="Arial" w:hAnsi="Arial" w:cs="Arial"/>
          <w:sz w:val="24"/>
          <w:szCs w:val="24"/>
        </w:rPr>
        <w:t>has appointed</w:t>
      </w:r>
      <w:r w:rsidR="00D20E41" w:rsidRPr="00A57B36">
        <w:rPr>
          <w:rFonts w:ascii="Arial" w:hAnsi="Arial" w:cs="Arial"/>
          <w:sz w:val="24"/>
          <w:szCs w:val="24"/>
        </w:rPr>
        <w:t xml:space="preserve"> </w:t>
      </w:r>
      <w:proofErr w:type="spellStart"/>
      <w:r w:rsidR="00D20E41" w:rsidRPr="00A57B36">
        <w:rPr>
          <w:rFonts w:ascii="Arial" w:hAnsi="Arial" w:cs="Arial"/>
          <w:sz w:val="24"/>
          <w:szCs w:val="24"/>
        </w:rPr>
        <w:t>Arlingclose</w:t>
      </w:r>
      <w:proofErr w:type="spellEnd"/>
      <w:r w:rsidR="00D20E41" w:rsidRPr="00A57B36">
        <w:rPr>
          <w:rFonts w:ascii="Arial" w:hAnsi="Arial" w:cs="Arial"/>
          <w:sz w:val="24"/>
          <w:szCs w:val="24"/>
        </w:rPr>
        <w:t xml:space="preserve"> </w:t>
      </w:r>
      <w:r w:rsidR="008D3CCA" w:rsidRPr="00A57B36">
        <w:rPr>
          <w:rFonts w:ascii="Arial" w:hAnsi="Arial" w:cs="Arial"/>
          <w:sz w:val="24"/>
          <w:szCs w:val="24"/>
        </w:rPr>
        <w:t xml:space="preserve">Limited </w:t>
      </w:r>
      <w:r w:rsidR="00D20E41" w:rsidRPr="00A57B36">
        <w:rPr>
          <w:rFonts w:ascii="Arial" w:hAnsi="Arial" w:cs="Arial"/>
          <w:sz w:val="24"/>
          <w:szCs w:val="24"/>
        </w:rPr>
        <w:t xml:space="preserve">as </w:t>
      </w:r>
      <w:r w:rsidR="008D3CCA" w:rsidRPr="00A57B36">
        <w:rPr>
          <w:rFonts w:ascii="Arial" w:hAnsi="Arial" w:cs="Arial"/>
          <w:sz w:val="24"/>
          <w:szCs w:val="24"/>
        </w:rPr>
        <w:t>t</w:t>
      </w:r>
      <w:r w:rsidR="00D20E41" w:rsidRPr="00A57B36">
        <w:rPr>
          <w:rFonts w:ascii="Arial" w:hAnsi="Arial" w:cs="Arial"/>
          <w:sz w:val="24"/>
          <w:szCs w:val="24"/>
        </w:rPr>
        <w:t xml:space="preserve">reasury </w:t>
      </w:r>
      <w:r w:rsidR="008D3CCA" w:rsidRPr="00A57B36">
        <w:rPr>
          <w:rFonts w:ascii="Arial" w:hAnsi="Arial" w:cs="Arial"/>
          <w:sz w:val="24"/>
          <w:szCs w:val="24"/>
        </w:rPr>
        <w:t>m</w:t>
      </w:r>
      <w:r w:rsidR="00D20E41" w:rsidRPr="00A57B36">
        <w:rPr>
          <w:rFonts w:ascii="Arial" w:hAnsi="Arial" w:cs="Arial"/>
          <w:sz w:val="24"/>
          <w:szCs w:val="24"/>
        </w:rPr>
        <w:t xml:space="preserve">anagement </w:t>
      </w:r>
      <w:r w:rsidR="008D3CCA" w:rsidRPr="00A57B36">
        <w:rPr>
          <w:rFonts w:ascii="Arial" w:hAnsi="Arial" w:cs="Arial"/>
          <w:sz w:val="24"/>
          <w:szCs w:val="24"/>
        </w:rPr>
        <w:t>a</w:t>
      </w:r>
      <w:r w:rsidR="00D20E41" w:rsidRPr="00A57B36">
        <w:rPr>
          <w:rFonts w:ascii="Arial" w:hAnsi="Arial" w:cs="Arial"/>
          <w:sz w:val="24"/>
          <w:szCs w:val="24"/>
        </w:rPr>
        <w:t>dvis</w:t>
      </w:r>
      <w:r w:rsidR="008D3CCA" w:rsidRPr="00A57B36">
        <w:rPr>
          <w:rFonts w:ascii="Arial" w:hAnsi="Arial" w:cs="Arial"/>
          <w:sz w:val="24"/>
          <w:szCs w:val="24"/>
        </w:rPr>
        <w:t>e</w:t>
      </w:r>
      <w:r w:rsidR="00D20E41" w:rsidRPr="00A57B36">
        <w:rPr>
          <w:rFonts w:ascii="Arial" w:hAnsi="Arial" w:cs="Arial"/>
          <w:sz w:val="24"/>
          <w:szCs w:val="24"/>
        </w:rPr>
        <w:t xml:space="preserve">rs and receives </w:t>
      </w:r>
      <w:r w:rsidR="008D3CCA" w:rsidRPr="00A57B36">
        <w:rPr>
          <w:rFonts w:ascii="Arial" w:hAnsi="Arial" w:cs="Arial"/>
          <w:sz w:val="24"/>
          <w:szCs w:val="24"/>
        </w:rPr>
        <w:t xml:space="preserve">specific advice on investment, debt and capital finance issues. </w:t>
      </w:r>
      <w:r w:rsidRPr="00A57B36">
        <w:rPr>
          <w:rFonts w:ascii="Arial" w:hAnsi="Arial" w:cs="Arial"/>
          <w:sz w:val="24"/>
          <w:szCs w:val="24"/>
        </w:rPr>
        <w:t xml:space="preserve"> </w:t>
      </w:r>
      <w:r w:rsidR="008D3CCA" w:rsidRPr="00A57B36">
        <w:rPr>
          <w:rFonts w:ascii="Arial" w:hAnsi="Arial" w:cs="Arial"/>
          <w:sz w:val="24"/>
          <w:szCs w:val="24"/>
        </w:rPr>
        <w:t xml:space="preserve">The quality of this service is controlled </w:t>
      </w:r>
      <w:r w:rsidRPr="00A57B36">
        <w:rPr>
          <w:rFonts w:ascii="Arial" w:hAnsi="Arial" w:cs="Arial"/>
          <w:sz w:val="24"/>
          <w:szCs w:val="24"/>
        </w:rPr>
        <w:t xml:space="preserve">through quarterly review meetings with </w:t>
      </w:r>
      <w:proofErr w:type="spellStart"/>
      <w:r w:rsidRPr="00A57B36">
        <w:rPr>
          <w:rFonts w:ascii="Arial" w:hAnsi="Arial" w:cs="Arial"/>
          <w:sz w:val="24"/>
          <w:szCs w:val="24"/>
        </w:rPr>
        <w:t>Arlingclose</w:t>
      </w:r>
      <w:proofErr w:type="spellEnd"/>
      <w:r w:rsidR="004B4F03" w:rsidRPr="00A57B36">
        <w:rPr>
          <w:rFonts w:ascii="Arial" w:hAnsi="Arial" w:cs="Arial"/>
          <w:sz w:val="24"/>
          <w:szCs w:val="24"/>
        </w:rPr>
        <w:t>, the Chief Finance Officer and h</w:t>
      </w:r>
      <w:r w:rsidR="001F4EA7" w:rsidRPr="00A57B36">
        <w:rPr>
          <w:rFonts w:ascii="Arial" w:hAnsi="Arial" w:cs="Arial"/>
          <w:sz w:val="24"/>
          <w:szCs w:val="24"/>
        </w:rPr>
        <w:t>is</w:t>
      </w:r>
      <w:r w:rsidR="004B4F03" w:rsidRPr="00A57B36">
        <w:rPr>
          <w:rFonts w:ascii="Arial" w:hAnsi="Arial" w:cs="Arial"/>
          <w:sz w:val="24"/>
          <w:szCs w:val="24"/>
        </w:rPr>
        <w:t xml:space="preserve"> staff</w:t>
      </w:r>
      <w:r w:rsidRPr="00A57B36">
        <w:rPr>
          <w:rFonts w:ascii="Arial" w:hAnsi="Arial" w:cs="Arial"/>
          <w:sz w:val="24"/>
          <w:szCs w:val="24"/>
        </w:rPr>
        <w:t>.</w:t>
      </w:r>
    </w:p>
    <w:p w14:paraId="3E5D3B0E" w14:textId="1ED2111B" w:rsidR="0025322A" w:rsidRPr="0025322A" w:rsidRDefault="0025322A" w:rsidP="0025322A">
      <w:pPr>
        <w:pStyle w:val="ListParagraph"/>
        <w:spacing w:after="240" w:line="240" w:lineRule="auto"/>
        <w:contextualSpacing w:val="0"/>
        <w:rPr>
          <w:rFonts w:ascii="Arial" w:hAnsi="Arial" w:cs="Arial"/>
          <w:b/>
          <w:bCs/>
          <w:sz w:val="24"/>
          <w:szCs w:val="24"/>
        </w:rPr>
      </w:pPr>
      <w:r>
        <w:rPr>
          <w:rFonts w:ascii="Arial" w:hAnsi="Arial" w:cs="Arial"/>
          <w:b/>
          <w:bCs/>
          <w:sz w:val="24"/>
          <w:szCs w:val="24"/>
        </w:rPr>
        <w:t>Markets in Financial Instruments Directive</w:t>
      </w:r>
    </w:p>
    <w:p w14:paraId="5252B9C5" w14:textId="2B90A168" w:rsidR="0025322A" w:rsidRPr="00A57B36" w:rsidRDefault="0025322A" w:rsidP="00A57B36">
      <w:pPr>
        <w:pStyle w:val="ListParagraph"/>
        <w:numPr>
          <w:ilvl w:val="1"/>
          <w:numId w:val="27"/>
        </w:numPr>
        <w:spacing w:after="240" w:line="240" w:lineRule="auto"/>
        <w:ind w:left="720" w:hanging="720"/>
        <w:contextualSpacing w:val="0"/>
        <w:rPr>
          <w:rFonts w:ascii="Arial" w:hAnsi="Arial" w:cs="Arial"/>
          <w:sz w:val="24"/>
          <w:szCs w:val="24"/>
        </w:rPr>
      </w:pPr>
      <w:r>
        <w:rPr>
          <w:rFonts w:ascii="Arial" w:hAnsi="Arial" w:cs="Arial"/>
          <w:sz w:val="24"/>
          <w:szCs w:val="24"/>
        </w:rPr>
        <w:t>The OPCC has opted up to professional client status with its providers of financial services, allowing it access to a greater range of services but without the greater regulatory protections afforded to individuals and smaller companies. Given the size and range of the OPCC’s treasury management activities, the Chief Financial Officer believes this to be the most appropriate status.</w:t>
      </w:r>
    </w:p>
    <w:p w14:paraId="0432BB70" w14:textId="412CA9A6" w:rsidR="00386078" w:rsidRDefault="00502854" w:rsidP="00386078">
      <w:pPr>
        <w:pStyle w:val="Heading3"/>
        <w:spacing w:before="120" w:after="120"/>
        <w:jc w:val="right"/>
      </w:pPr>
      <w:r>
        <w:br w:type="page"/>
      </w:r>
      <w:r w:rsidR="00386078">
        <w:t>Appendix A</w:t>
      </w:r>
    </w:p>
    <w:p w14:paraId="139C4117" w14:textId="040D1030" w:rsidR="001F4EA7" w:rsidRPr="00E40BA7" w:rsidRDefault="001F4EA7" w:rsidP="001F4EA7">
      <w:pPr>
        <w:pStyle w:val="Heading3"/>
        <w:spacing w:before="120" w:after="120"/>
      </w:pPr>
      <w:proofErr w:type="spellStart"/>
      <w:r w:rsidRPr="00E40BA7">
        <w:t>Arlingclose</w:t>
      </w:r>
      <w:proofErr w:type="spellEnd"/>
      <w:r w:rsidRPr="00E40BA7">
        <w:t xml:space="preserve"> Economic </w:t>
      </w:r>
      <w:r w:rsidR="00432E41">
        <w:t>and</w:t>
      </w:r>
      <w:r w:rsidRPr="00E40BA7">
        <w:t xml:space="preserve"> Interest Rate Forecast </w:t>
      </w:r>
      <w:r w:rsidR="00161704">
        <w:t>January 2020</w:t>
      </w:r>
      <w:r w:rsidRPr="00E40BA7">
        <w:t xml:space="preserve"> </w:t>
      </w:r>
    </w:p>
    <w:p w14:paraId="6C79C647" w14:textId="77777777" w:rsidR="001F4EA7" w:rsidRPr="00E40BA7" w:rsidRDefault="001F4EA7" w:rsidP="001F4EA7">
      <w:pPr>
        <w:spacing w:after="240"/>
        <w:rPr>
          <w:rFonts w:ascii="Arial" w:hAnsi="Arial" w:cs="Arial"/>
          <w:sz w:val="24"/>
          <w:szCs w:val="24"/>
        </w:rPr>
      </w:pPr>
      <w:r w:rsidRPr="00E40BA7">
        <w:rPr>
          <w:rFonts w:ascii="Arial" w:hAnsi="Arial" w:cs="Arial"/>
          <w:sz w:val="24"/>
          <w:szCs w:val="24"/>
        </w:rPr>
        <w:t xml:space="preserve">Underlying assumptions: </w:t>
      </w:r>
    </w:p>
    <w:p w14:paraId="61EF85CA" w14:textId="77777777" w:rsidR="00132DE8" w:rsidRPr="00132DE8" w:rsidRDefault="00132DE8" w:rsidP="00132DE8">
      <w:pPr>
        <w:numPr>
          <w:ilvl w:val="0"/>
          <w:numId w:val="49"/>
        </w:numPr>
        <w:spacing w:after="240"/>
        <w:rPr>
          <w:rFonts w:ascii="Arial" w:hAnsi="Arial" w:cs="Arial"/>
          <w:sz w:val="24"/>
          <w:szCs w:val="24"/>
        </w:rPr>
      </w:pPr>
      <w:r w:rsidRPr="00132DE8">
        <w:rPr>
          <w:rFonts w:ascii="Arial" w:hAnsi="Arial" w:cs="Arial"/>
          <w:sz w:val="24"/>
          <w:szCs w:val="24"/>
        </w:rPr>
        <w:t>The global economy has entered a period of weaker growth in response to political issues.  The UK economy continues to experience slower growth due to both Brexit uncertainty and the downturn in global activity.  In response, global and UK interest rate expectations are low.</w:t>
      </w:r>
    </w:p>
    <w:p w14:paraId="3CEC8D12" w14:textId="77777777" w:rsidR="00132DE8" w:rsidRPr="00132DE8" w:rsidRDefault="00132DE8" w:rsidP="00132DE8">
      <w:pPr>
        <w:numPr>
          <w:ilvl w:val="0"/>
          <w:numId w:val="49"/>
        </w:numPr>
        <w:spacing w:after="240"/>
        <w:rPr>
          <w:rFonts w:ascii="Arial" w:hAnsi="Arial" w:cs="Arial"/>
          <w:sz w:val="24"/>
          <w:szCs w:val="24"/>
        </w:rPr>
      </w:pPr>
      <w:r w:rsidRPr="00132DE8">
        <w:rPr>
          <w:rFonts w:ascii="Arial" w:hAnsi="Arial" w:cs="Arial"/>
          <w:sz w:val="24"/>
          <w:szCs w:val="24"/>
        </w:rPr>
        <w:t>Some improvement in global economic data and a more positive outlook for US / China trade negotiations has prompted worst case economic scenarios to be pared back.</w:t>
      </w:r>
    </w:p>
    <w:p w14:paraId="59ECBA96" w14:textId="77777777" w:rsidR="00132DE8" w:rsidRPr="00132DE8" w:rsidRDefault="00132DE8" w:rsidP="00132DE8">
      <w:pPr>
        <w:numPr>
          <w:ilvl w:val="0"/>
          <w:numId w:val="49"/>
        </w:numPr>
        <w:spacing w:after="240"/>
        <w:rPr>
          <w:rFonts w:ascii="Arial" w:hAnsi="Arial" w:cs="Arial"/>
          <w:sz w:val="24"/>
          <w:szCs w:val="24"/>
        </w:rPr>
      </w:pPr>
      <w:r w:rsidRPr="00132DE8">
        <w:rPr>
          <w:rFonts w:ascii="Arial" w:hAnsi="Arial" w:cs="Arial"/>
          <w:sz w:val="24"/>
          <w:szCs w:val="24"/>
        </w:rPr>
        <w:t>The new Conservative UK government will progress with achieving Brexit on 31 January 2020.  The more stable political environment will prompt a partial return in business and household confidence in the short term, but the subsequent limited Brexit transitionary period, which the government is seeking to enforce, will create additional economic uncertainty.</w:t>
      </w:r>
    </w:p>
    <w:p w14:paraId="69BEFE88" w14:textId="77777777" w:rsidR="00132DE8" w:rsidRPr="00132DE8" w:rsidRDefault="00132DE8" w:rsidP="00132DE8">
      <w:pPr>
        <w:numPr>
          <w:ilvl w:val="0"/>
          <w:numId w:val="49"/>
        </w:numPr>
        <w:spacing w:after="240"/>
        <w:rPr>
          <w:rFonts w:ascii="Arial" w:hAnsi="Arial" w:cs="Arial"/>
          <w:sz w:val="24"/>
          <w:szCs w:val="24"/>
        </w:rPr>
      </w:pPr>
      <w:r w:rsidRPr="00132DE8">
        <w:rPr>
          <w:rFonts w:ascii="Arial" w:hAnsi="Arial" w:cs="Arial"/>
          <w:sz w:val="24"/>
          <w:szCs w:val="24"/>
        </w:rPr>
        <w:t>UK economic growth has stalled in Quarter 4 and inflation is running below the target of 1.5%.  The inflationary consequences of the relatively tight labour market have yet to manifest, while slower global growth should reduce the prospect of externally driven pressure, although escalating geopolitical turmoil could continue to push up oil prices.</w:t>
      </w:r>
    </w:p>
    <w:p w14:paraId="5F3792C7" w14:textId="77777777" w:rsidR="00132DE8" w:rsidRPr="00132DE8" w:rsidRDefault="00132DE8" w:rsidP="00132DE8">
      <w:pPr>
        <w:numPr>
          <w:ilvl w:val="0"/>
          <w:numId w:val="49"/>
        </w:numPr>
        <w:spacing w:after="240"/>
        <w:rPr>
          <w:rFonts w:ascii="Arial" w:hAnsi="Arial" w:cs="Arial"/>
          <w:sz w:val="24"/>
          <w:szCs w:val="24"/>
        </w:rPr>
      </w:pPr>
      <w:r w:rsidRPr="00132DE8">
        <w:rPr>
          <w:rFonts w:ascii="Arial" w:hAnsi="Arial" w:cs="Arial"/>
          <w:sz w:val="24"/>
          <w:szCs w:val="24"/>
        </w:rPr>
        <w:t>The first few months of 2020 will indicate whether the economy benefits from restored confidence.  The Government will undertake substantial fiscal easing in 2020/21, which should help support growth in the event of a downturn in private sector activity.</w:t>
      </w:r>
    </w:p>
    <w:p w14:paraId="7206C14B" w14:textId="77777777" w:rsidR="00132DE8" w:rsidRPr="00132DE8" w:rsidRDefault="00132DE8" w:rsidP="00132DE8">
      <w:pPr>
        <w:numPr>
          <w:ilvl w:val="0"/>
          <w:numId w:val="49"/>
        </w:numPr>
        <w:spacing w:after="240"/>
        <w:rPr>
          <w:rFonts w:ascii="Arial" w:hAnsi="Arial" w:cs="Arial"/>
          <w:sz w:val="24"/>
          <w:szCs w:val="24"/>
        </w:rPr>
      </w:pPr>
      <w:r w:rsidRPr="00132DE8">
        <w:rPr>
          <w:rFonts w:ascii="Arial" w:hAnsi="Arial" w:cs="Arial"/>
          <w:sz w:val="24"/>
          <w:szCs w:val="24"/>
        </w:rPr>
        <w:t>The weak outlook for the UK economy and current low inflation have placed pressure on the Monetary Policy Committee (MPC) to loosen monetary policy.  Two MPC members voted for an immediate cut in the last two MPC meetings of 2019.  The evolution of the economic data and political moves over the next few months will inform policy, but upside risks to the Bank Rate are very limited.</w:t>
      </w:r>
    </w:p>
    <w:p w14:paraId="7E2E9528" w14:textId="77777777" w:rsidR="00386078" w:rsidRDefault="00132DE8" w:rsidP="0003417F">
      <w:pPr>
        <w:numPr>
          <w:ilvl w:val="0"/>
          <w:numId w:val="49"/>
        </w:numPr>
        <w:spacing w:after="240"/>
        <w:rPr>
          <w:rFonts w:ascii="Arial" w:hAnsi="Arial" w:cs="Arial"/>
          <w:sz w:val="24"/>
          <w:szCs w:val="24"/>
        </w:rPr>
      </w:pPr>
      <w:r w:rsidRPr="00386078">
        <w:rPr>
          <w:rFonts w:ascii="Arial" w:hAnsi="Arial" w:cs="Arial"/>
          <w:sz w:val="24"/>
          <w:szCs w:val="24"/>
        </w:rPr>
        <w:t>Central bank actions and geopolitical risks will produce significant volatility in financial markets, including bond markets.</w:t>
      </w:r>
    </w:p>
    <w:p w14:paraId="575DF657" w14:textId="58F65BDA" w:rsidR="001F4EA7" w:rsidRPr="00386078" w:rsidRDefault="001F4EA7" w:rsidP="00386078">
      <w:pPr>
        <w:spacing w:after="240"/>
        <w:ind w:left="360"/>
        <w:rPr>
          <w:rFonts w:ascii="Arial" w:hAnsi="Arial" w:cs="Arial"/>
          <w:sz w:val="24"/>
          <w:szCs w:val="24"/>
        </w:rPr>
      </w:pPr>
      <w:r w:rsidRPr="00386078">
        <w:rPr>
          <w:rFonts w:ascii="Arial" w:hAnsi="Arial" w:cs="Arial"/>
          <w:sz w:val="24"/>
          <w:szCs w:val="24"/>
        </w:rPr>
        <w:t xml:space="preserve">Forecast: </w:t>
      </w:r>
    </w:p>
    <w:p w14:paraId="4E0CFB4A" w14:textId="77777777" w:rsidR="00AC747E" w:rsidRPr="00AC747E" w:rsidRDefault="00AC747E" w:rsidP="00AC747E">
      <w:pPr>
        <w:numPr>
          <w:ilvl w:val="0"/>
          <w:numId w:val="50"/>
        </w:numPr>
        <w:spacing w:after="240"/>
        <w:rPr>
          <w:rFonts w:ascii="Arial" w:hAnsi="Arial" w:cs="Arial"/>
          <w:sz w:val="24"/>
          <w:szCs w:val="24"/>
        </w:rPr>
      </w:pPr>
      <w:r w:rsidRPr="00AC747E">
        <w:rPr>
          <w:rFonts w:ascii="Arial" w:hAnsi="Arial" w:cs="Arial"/>
          <w:sz w:val="24"/>
          <w:szCs w:val="24"/>
        </w:rPr>
        <w:t>We have maintained our Bank Rate forecast at 0.75% for the foreseeable future. Substantial risks to this forecast remain, arising primarily from the Government’s policy around Brexit and the transitionary period.</w:t>
      </w:r>
    </w:p>
    <w:p w14:paraId="631129FC" w14:textId="77777777" w:rsidR="00AC747E" w:rsidRPr="00AC747E" w:rsidRDefault="00AC747E" w:rsidP="00AC747E">
      <w:pPr>
        <w:numPr>
          <w:ilvl w:val="0"/>
          <w:numId w:val="50"/>
        </w:numPr>
        <w:spacing w:after="240"/>
        <w:rPr>
          <w:rFonts w:ascii="Arial" w:hAnsi="Arial" w:cs="Arial"/>
          <w:sz w:val="24"/>
          <w:szCs w:val="24"/>
        </w:rPr>
      </w:pPr>
      <w:proofErr w:type="spellStart"/>
      <w:r w:rsidRPr="00AC747E">
        <w:rPr>
          <w:rFonts w:ascii="Arial" w:hAnsi="Arial" w:cs="Arial"/>
          <w:sz w:val="24"/>
          <w:szCs w:val="24"/>
        </w:rPr>
        <w:t>Arlingclose</w:t>
      </w:r>
      <w:proofErr w:type="spellEnd"/>
      <w:r w:rsidRPr="00AC747E">
        <w:rPr>
          <w:rFonts w:ascii="Arial" w:hAnsi="Arial" w:cs="Arial"/>
          <w:sz w:val="24"/>
          <w:szCs w:val="24"/>
        </w:rPr>
        <w:t xml:space="preserve"> judges that the risks are weighted to the downside.</w:t>
      </w:r>
    </w:p>
    <w:p w14:paraId="24849C2A" w14:textId="77777777" w:rsidR="00AC747E" w:rsidRPr="00AC747E" w:rsidRDefault="00AC747E" w:rsidP="00AC747E">
      <w:pPr>
        <w:numPr>
          <w:ilvl w:val="0"/>
          <w:numId w:val="50"/>
        </w:numPr>
        <w:spacing w:after="240"/>
        <w:rPr>
          <w:rFonts w:ascii="Arial" w:hAnsi="Arial" w:cs="Arial"/>
          <w:sz w:val="24"/>
          <w:szCs w:val="24"/>
        </w:rPr>
      </w:pPr>
      <w:r w:rsidRPr="00AC747E">
        <w:rPr>
          <w:rFonts w:ascii="Arial" w:hAnsi="Arial" w:cs="Arial"/>
          <w:sz w:val="24"/>
          <w:szCs w:val="24"/>
        </w:rPr>
        <w:t>Gilt yields remain low due to the soft UK and global economic outlooks.  US monetary policy and UK government spending will be key influences alongside UK monetary policy.</w:t>
      </w:r>
    </w:p>
    <w:p w14:paraId="0E67B527" w14:textId="77777777" w:rsidR="00AC747E" w:rsidRPr="00AC747E" w:rsidRDefault="00AC747E" w:rsidP="00AC747E">
      <w:pPr>
        <w:numPr>
          <w:ilvl w:val="0"/>
          <w:numId w:val="50"/>
        </w:numPr>
        <w:spacing w:after="240"/>
        <w:rPr>
          <w:rFonts w:ascii="Arial" w:hAnsi="Arial" w:cs="Arial"/>
          <w:sz w:val="24"/>
          <w:szCs w:val="24"/>
        </w:rPr>
      </w:pPr>
      <w:r w:rsidRPr="00AC747E">
        <w:rPr>
          <w:rFonts w:ascii="Arial" w:hAnsi="Arial" w:cs="Arial"/>
          <w:sz w:val="24"/>
          <w:szCs w:val="24"/>
        </w:rPr>
        <w:t>We expect gilt yields to remain at relatively low levels for the foreseeable future and judge the risks to be broadly balanced.</w:t>
      </w:r>
    </w:p>
    <w:p w14:paraId="06449200" w14:textId="2B3796D2" w:rsidR="00BC61B4" w:rsidRDefault="00E40BA7" w:rsidP="00E40BA7">
      <w:pPr>
        <w:spacing w:after="240"/>
        <w:rPr>
          <w:rFonts w:ascii="Arial" w:hAnsi="Arial" w:cs="Arial"/>
          <w:sz w:val="24"/>
          <w:szCs w:val="24"/>
        </w:rPr>
      </w:pPr>
      <w:r w:rsidRPr="00E40BA7">
        <w:rPr>
          <w:rFonts w:ascii="Arial" w:hAnsi="Arial" w:cs="Arial"/>
          <w:sz w:val="24"/>
          <w:szCs w:val="24"/>
        </w:rPr>
        <w:t xml:space="preserve"> </w:t>
      </w:r>
      <w:r w:rsidR="00F0645C">
        <w:rPr>
          <w:noProof/>
        </w:rPr>
        <w:pict w14:anchorId="76EE3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453pt;height:303.6pt;visibility:visible;mso-wrap-style:square">
            <v:imagedata r:id="rId15" o:title=""/>
          </v:shape>
        </w:pict>
      </w:r>
    </w:p>
    <w:p w14:paraId="32758264" w14:textId="77777777" w:rsidR="00947AB1" w:rsidRPr="00EF5863" w:rsidRDefault="00947AB1" w:rsidP="00947AB1">
      <w:pPr>
        <w:pStyle w:val="ListParagraph"/>
        <w:ind w:left="0"/>
        <w:rPr>
          <w:rFonts w:ascii="Arial" w:hAnsi="Arial" w:cs="Arial"/>
          <w:noProof/>
        </w:rPr>
      </w:pPr>
      <w:r w:rsidRPr="00EF5863">
        <w:rPr>
          <w:rFonts w:ascii="Arial" w:hAnsi="Arial" w:cs="Arial"/>
          <w:noProof/>
        </w:rPr>
        <w:t>PWLB Certainty Rate (Maturity Loans) = Gilt yield + 1.80%</w:t>
      </w:r>
    </w:p>
    <w:p w14:paraId="6117F737" w14:textId="77777777" w:rsidR="00947AB1" w:rsidRPr="00EF5863" w:rsidRDefault="00947AB1" w:rsidP="00947AB1">
      <w:pPr>
        <w:pStyle w:val="ListParagraph"/>
        <w:ind w:left="0"/>
        <w:contextualSpacing w:val="0"/>
        <w:rPr>
          <w:rFonts w:ascii="Arial" w:hAnsi="Arial" w:cs="Arial"/>
          <w:noProof/>
        </w:rPr>
      </w:pPr>
      <w:r w:rsidRPr="00EF5863">
        <w:rPr>
          <w:rFonts w:ascii="Arial" w:hAnsi="Arial" w:cs="Arial"/>
          <w:noProof/>
        </w:rPr>
        <w:t>PWLB Local Infrastructure Rate (Maturity Loans) = Gilt yield + 0.60%</w:t>
      </w:r>
    </w:p>
    <w:p w14:paraId="48B59C99" w14:textId="77777777" w:rsidR="00947AB1" w:rsidRDefault="00947AB1" w:rsidP="00947AB1">
      <w:pPr>
        <w:rPr>
          <w:rFonts w:ascii="Arial" w:hAnsi="Arial" w:cs="Arial"/>
          <w:sz w:val="24"/>
          <w:szCs w:val="24"/>
        </w:rPr>
      </w:pPr>
    </w:p>
    <w:p w14:paraId="6B36617B" w14:textId="7A457D4F" w:rsidR="00947AB1" w:rsidRPr="00947AB1" w:rsidRDefault="00947AB1" w:rsidP="00947AB1">
      <w:pPr>
        <w:rPr>
          <w:rFonts w:ascii="Arial" w:hAnsi="Arial" w:cs="Arial"/>
          <w:sz w:val="24"/>
          <w:szCs w:val="24"/>
          <w:highlight w:val="yellow"/>
        </w:rPr>
        <w:sectPr w:rsidR="00947AB1" w:rsidRPr="00947AB1" w:rsidSect="00DB2D78">
          <w:headerReference w:type="default" r:id="rId16"/>
          <w:pgSz w:w="11906" w:h="16838"/>
          <w:pgMar w:top="1440" w:right="1440" w:bottom="1440" w:left="1440" w:header="708" w:footer="708" w:gutter="0"/>
          <w:cols w:space="708"/>
          <w:docGrid w:linePitch="360"/>
        </w:sectPr>
      </w:pPr>
    </w:p>
    <w:p w14:paraId="204697BC" w14:textId="54CECA34" w:rsidR="00F144F1" w:rsidRPr="00E40BA7" w:rsidRDefault="00F144F1" w:rsidP="00BC61B4">
      <w:pPr>
        <w:pStyle w:val="ListParagraph"/>
        <w:spacing w:after="240" w:line="240" w:lineRule="auto"/>
        <w:ind w:left="0"/>
        <w:contextualSpacing w:val="0"/>
        <w:rPr>
          <w:rFonts w:ascii="Arial" w:hAnsi="Arial" w:cs="Arial"/>
          <w:b/>
          <w:sz w:val="24"/>
          <w:szCs w:val="24"/>
        </w:rPr>
      </w:pPr>
      <w:r w:rsidRPr="00E40BA7">
        <w:rPr>
          <w:rFonts w:ascii="Arial" w:hAnsi="Arial" w:cs="Arial"/>
          <w:b/>
          <w:sz w:val="24"/>
          <w:szCs w:val="24"/>
        </w:rPr>
        <w:t>Existing Inves</w:t>
      </w:r>
      <w:r w:rsidR="00243E06" w:rsidRPr="00E40BA7">
        <w:rPr>
          <w:rFonts w:ascii="Arial" w:hAnsi="Arial" w:cs="Arial"/>
          <w:b/>
          <w:sz w:val="24"/>
          <w:szCs w:val="24"/>
        </w:rPr>
        <w:t>tment &amp; Debt Portfolio Position</w:t>
      </w:r>
      <w:r w:rsidR="00BC61B4" w:rsidRPr="00E40BA7">
        <w:rPr>
          <w:rFonts w:ascii="Arial" w:hAnsi="Arial" w:cs="Arial"/>
          <w:b/>
          <w:sz w:val="24"/>
          <w:szCs w:val="24"/>
        </w:rPr>
        <w:t xml:space="preserve"> at 3</w:t>
      </w:r>
      <w:r w:rsidR="00534F29" w:rsidRPr="00E40BA7">
        <w:rPr>
          <w:rFonts w:ascii="Arial" w:hAnsi="Arial" w:cs="Arial"/>
          <w:b/>
          <w:sz w:val="24"/>
          <w:szCs w:val="24"/>
        </w:rPr>
        <w:t>0</w:t>
      </w:r>
      <w:r w:rsidR="00BC61B4" w:rsidRPr="00E40BA7">
        <w:rPr>
          <w:rFonts w:ascii="Arial" w:hAnsi="Arial" w:cs="Arial"/>
          <w:b/>
          <w:sz w:val="24"/>
          <w:szCs w:val="24"/>
        </w:rPr>
        <w:t xml:space="preserve"> </w:t>
      </w:r>
      <w:r w:rsidR="00534F29" w:rsidRPr="00E40BA7">
        <w:rPr>
          <w:rFonts w:ascii="Arial" w:hAnsi="Arial" w:cs="Arial"/>
          <w:b/>
          <w:sz w:val="24"/>
          <w:szCs w:val="24"/>
        </w:rPr>
        <w:t>Nov</w:t>
      </w:r>
      <w:r w:rsidR="00BC61B4" w:rsidRPr="00E40BA7">
        <w:rPr>
          <w:rFonts w:ascii="Arial" w:hAnsi="Arial" w:cs="Arial"/>
          <w:b/>
          <w:sz w:val="24"/>
          <w:szCs w:val="24"/>
        </w:rPr>
        <w:t>ember 201</w:t>
      </w:r>
      <w:r w:rsidR="00F82767">
        <w:rPr>
          <w:rFonts w:ascii="Arial" w:hAnsi="Arial" w:cs="Arial"/>
          <w:b/>
          <w:sz w:val="24"/>
          <w:szCs w:val="24"/>
        </w:rPr>
        <w:t>9</w:t>
      </w:r>
    </w:p>
    <w:tbl>
      <w:tblPr>
        <w:tblW w:w="10491" w:type="dxa"/>
        <w:tblInd w:w="-318" w:type="dxa"/>
        <w:tblLayout w:type="fixed"/>
        <w:tblLook w:val="0000" w:firstRow="0" w:lastRow="0" w:firstColumn="0" w:lastColumn="0" w:noHBand="0" w:noVBand="0"/>
      </w:tblPr>
      <w:tblGrid>
        <w:gridCol w:w="3402"/>
        <w:gridCol w:w="1417"/>
        <w:gridCol w:w="1417"/>
        <w:gridCol w:w="1417"/>
        <w:gridCol w:w="1417"/>
        <w:gridCol w:w="1421"/>
      </w:tblGrid>
      <w:tr w:rsidR="00534F29" w:rsidRPr="00350B56" w14:paraId="279D9442" w14:textId="77777777" w:rsidTr="008842B4">
        <w:trPr>
          <w:cantSplit/>
          <w:trHeight w:val="254"/>
        </w:trPr>
        <w:tc>
          <w:tcPr>
            <w:tcW w:w="10491" w:type="dxa"/>
            <w:gridSpan w:val="6"/>
          </w:tcPr>
          <w:p w14:paraId="4F37B813" w14:textId="77777777" w:rsidR="00534F29" w:rsidRPr="009D376A" w:rsidRDefault="00534F29" w:rsidP="00534F29">
            <w:pPr>
              <w:keepNext/>
              <w:spacing w:after="0"/>
              <w:rPr>
                <w:rFonts w:ascii="Arial" w:hAnsi="Arial" w:cs="Arial"/>
              </w:rPr>
            </w:pPr>
            <w:r w:rsidRPr="009D376A">
              <w:rPr>
                <w:rFonts w:ascii="Arial" w:hAnsi="Arial" w:cs="Arial"/>
              </w:rPr>
              <w:t>Investment Position (Treasury Investments)</w:t>
            </w:r>
          </w:p>
        </w:tc>
      </w:tr>
      <w:tr w:rsidR="00534F29" w:rsidRPr="00350B56" w14:paraId="1953563E" w14:textId="77777777" w:rsidTr="008842B4">
        <w:trPr>
          <w:cantSplit/>
          <w:trHeight w:val="2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D7C45" w14:textId="77777777" w:rsidR="00534F29" w:rsidRPr="009D376A" w:rsidRDefault="00534F29" w:rsidP="00534F29">
            <w:pPr>
              <w:keepNext/>
              <w:spacing w:after="0" w:line="280" w:lineRule="atLeast"/>
              <w:jc w:val="both"/>
              <w:rPr>
                <w:rFonts w:ascii="Arial" w:hAnsi="Arial" w:cs="Arial"/>
              </w:rPr>
            </w:pPr>
            <w:r w:rsidRPr="009D376A">
              <w:rPr>
                <w:rFonts w:ascii="Arial" w:hAnsi="Arial" w:cs="Arial"/>
              </w:rPr>
              <w:t>Investments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54A2B" w14:textId="78C42E02" w:rsidR="00534F29" w:rsidRPr="00BA26D4" w:rsidRDefault="00534F29" w:rsidP="00534F29">
            <w:pPr>
              <w:keepNext/>
              <w:spacing w:after="0"/>
              <w:jc w:val="right"/>
              <w:rPr>
                <w:rFonts w:ascii="Arial" w:hAnsi="Arial" w:cs="Arial"/>
              </w:rPr>
            </w:pPr>
            <w:r w:rsidRPr="001C3E7F">
              <w:rPr>
                <w:rFonts w:ascii="Arial" w:hAnsi="Arial" w:cs="Arial"/>
              </w:rPr>
              <w:t>3</w:t>
            </w:r>
            <w:r w:rsidRPr="006F3169">
              <w:rPr>
                <w:rFonts w:ascii="Arial" w:hAnsi="Arial" w:cs="Arial"/>
              </w:rPr>
              <w:t>0</w:t>
            </w:r>
            <w:r w:rsidRPr="00BA26D4">
              <w:rPr>
                <w:rFonts w:ascii="Arial" w:hAnsi="Arial" w:cs="Arial"/>
              </w:rPr>
              <w:t>/09/201</w:t>
            </w:r>
            <w:r w:rsidR="00F82767">
              <w:rPr>
                <w:rFonts w:ascii="Arial" w:hAnsi="Arial" w:cs="Arial"/>
              </w:rPr>
              <w:t>9</w:t>
            </w:r>
            <w:r w:rsidRPr="00BA26D4">
              <w:rPr>
                <w:rFonts w:ascii="Arial" w:hAnsi="Arial" w:cs="Arial"/>
              </w:rPr>
              <w:t xml:space="preserve">  </w:t>
            </w:r>
            <w:r w:rsidRPr="00BA26D4">
              <w:rPr>
                <w:rFonts w:ascii="Arial" w:hAnsi="Arial" w:cs="Arial"/>
              </w:rPr>
              <w:br/>
              <w:t>Balance</w:t>
            </w:r>
            <w:r w:rsidRPr="00BA26D4">
              <w:rPr>
                <w:rFonts w:ascii="Arial" w:hAnsi="Arial" w:cs="Arial"/>
              </w:rPr>
              <w:br/>
              <w:t>£m</w:t>
            </w:r>
          </w:p>
        </w:tc>
        <w:tc>
          <w:tcPr>
            <w:tcW w:w="1417" w:type="dxa"/>
            <w:tcBorders>
              <w:top w:val="single" w:sz="4" w:space="0" w:color="auto"/>
              <w:left w:val="single" w:sz="4" w:space="0" w:color="auto"/>
              <w:bottom w:val="single" w:sz="4" w:space="0" w:color="auto"/>
              <w:right w:val="single" w:sz="4" w:space="0" w:color="auto"/>
            </w:tcBorders>
            <w:vAlign w:val="bottom"/>
          </w:tcPr>
          <w:p w14:paraId="161B2B11" w14:textId="77777777" w:rsidR="00534F29" w:rsidRPr="001C3E7F" w:rsidRDefault="00534F29" w:rsidP="00534F29">
            <w:pPr>
              <w:keepNext/>
              <w:spacing w:after="0"/>
              <w:jc w:val="right"/>
              <w:rPr>
                <w:rFonts w:ascii="Arial" w:hAnsi="Arial" w:cs="Arial"/>
              </w:rPr>
            </w:pPr>
            <w:r w:rsidRPr="001C3E7F">
              <w:rPr>
                <w:rFonts w:ascii="Arial" w:hAnsi="Arial" w:cs="Arial"/>
              </w:rPr>
              <w:t>Movement</w:t>
            </w:r>
            <w:r w:rsidRPr="001C3E7F">
              <w:rPr>
                <w:rFonts w:ascii="Arial" w:hAnsi="Arial" w:cs="Arial"/>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FDDAE" w14:textId="62201812" w:rsidR="00534F29" w:rsidRPr="00BA26D4" w:rsidRDefault="00534F29" w:rsidP="00534F29">
            <w:pPr>
              <w:keepNext/>
              <w:spacing w:after="0"/>
              <w:jc w:val="right"/>
              <w:rPr>
                <w:rFonts w:ascii="Arial" w:hAnsi="Arial" w:cs="Arial"/>
              </w:rPr>
            </w:pPr>
            <w:r w:rsidRPr="001C3E7F">
              <w:rPr>
                <w:rFonts w:ascii="Arial" w:hAnsi="Arial" w:cs="Arial"/>
              </w:rPr>
              <w:t>3</w:t>
            </w:r>
            <w:r w:rsidRPr="006F3169">
              <w:rPr>
                <w:rFonts w:ascii="Arial" w:hAnsi="Arial" w:cs="Arial"/>
              </w:rPr>
              <w:t>0</w:t>
            </w:r>
            <w:r w:rsidRPr="00BA26D4">
              <w:rPr>
                <w:rFonts w:ascii="Arial" w:hAnsi="Arial" w:cs="Arial"/>
              </w:rPr>
              <w:t>/</w:t>
            </w:r>
            <w:r>
              <w:rPr>
                <w:rFonts w:ascii="Arial" w:hAnsi="Arial" w:cs="Arial"/>
              </w:rPr>
              <w:t>11</w:t>
            </w:r>
            <w:r w:rsidRPr="00BA26D4">
              <w:rPr>
                <w:rFonts w:ascii="Arial" w:hAnsi="Arial" w:cs="Arial"/>
              </w:rPr>
              <w:t>/201</w:t>
            </w:r>
            <w:r w:rsidR="00F82767">
              <w:rPr>
                <w:rFonts w:ascii="Arial" w:hAnsi="Arial" w:cs="Arial"/>
              </w:rPr>
              <w:t>9</w:t>
            </w:r>
            <w:r w:rsidRPr="00BA26D4">
              <w:rPr>
                <w:rFonts w:ascii="Arial" w:hAnsi="Arial" w:cs="Arial"/>
              </w:rPr>
              <w:t xml:space="preserve">  </w:t>
            </w:r>
            <w:r w:rsidRPr="00BA26D4">
              <w:rPr>
                <w:rFonts w:ascii="Arial" w:hAnsi="Arial" w:cs="Arial"/>
              </w:rPr>
              <w:br/>
              <w:t>Balance</w:t>
            </w:r>
            <w:r w:rsidRPr="00BA26D4">
              <w:rPr>
                <w:rFonts w:ascii="Arial" w:hAnsi="Arial" w:cs="Arial"/>
              </w:rPr>
              <w:br/>
              <w:t>£m</w:t>
            </w:r>
          </w:p>
        </w:tc>
        <w:tc>
          <w:tcPr>
            <w:tcW w:w="1417" w:type="dxa"/>
            <w:tcBorders>
              <w:top w:val="single" w:sz="4" w:space="0" w:color="auto"/>
              <w:left w:val="single" w:sz="4" w:space="0" w:color="auto"/>
              <w:bottom w:val="single" w:sz="4" w:space="0" w:color="auto"/>
              <w:right w:val="single" w:sz="4" w:space="0" w:color="auto"/>
            </w:tcBorders>
          </w:tcPr>
          <w:p w14:paraId="31F82006" w14:textId="66E68734" w:rsidR="00534F29" w:rsidRPr="00BA26D4" w:rsidRDefault="00534F29" w:rsidP="00534F29">
            <w:pPr>
              <w:keepNext/>
              <w:spacing w:after="0"/>
              <w:jc w:val="right"/>
              <w:rPr>
                <w:rFonts w:ascii="Arial" w:hAnsi="Arial" w:cs="Arial"/>
              </w:rPr>
            </w:pPr>
            <w:r w:rsidRPr="00BA26D4">
              <w:rPr>
                <w:rFonts w:ascii="Arial" w:hAnsi="Arial" w:cs="Arial"/>
              </w:rPr>
              <w:t>30/</w:t>
            </w:r>
            <w:r>
              <w:rPr>
                <w:rFonts w:ascii="Arial" w:hAnsi="Arial" w:cs="Arial"/>
              </w:rPr>
              <w:t>11</w:t>
            </w:r>
            <w:r w:rsidRPr="00BA26D4">
              <w:rPr>
                <w:rFonts w:ascii="Arial" w:hAnsi="Arial" w:cs="Arial"/>
              </w:rPr>
              <w:t>/201</w:t>
            </w:r>
            <w:r w:rsidR="00F82767">
              <w:rPr>
                <w:rFonts w:ascii="Arial" w:hAnsi="Arial" w:cs="Arial"/>
              </w:rPr>
              <w:t>9</w:t>
            </w:r>
            <w:r w:rsidRPr="00BA26D4">
              <w:rPr>
                <w:rFonts w:ascii="Arial" w:hAnsi="Arial" w:cs="Arial"/>
              </w:rPr>
              <w:br/>
              <w:t>Rate</w:t>
            </w:r>
            <w:r w:rsidRPr="00BA26D4">
              <w:rPr>
                <w:rFonts w:ascii="Arial" w:hAnsi="Arial" w:cs="Arial"/>
              </w:rPr>
              <w:br/>
              <w:t>%</w:t>
            </w:r>
          </w:p>
        </w:tc>
        <w:tc>
          <w:tcPr>
            <w:tcW w:w="1421" w:type="dxa"/>
            <w:tcBorders>
              <w:top w:val="single" w:sz="4" w:space="0" w:color="auto"/>
              <w:left w:val="single" w:sz="4" w:space="0" w:color="auto"/>
              <w:bottom w:val="single" w:sz="4" w:space="0" w:color="auto"/>
              <w:right w:val="single" w:sz="4" w:space="0" w:color="auto"/>
            </w:tcBorders>
          </w:tcPr>
          <w:p w14:paraId="16F1486B" w14:textId="3D7987BF" w:rsidR="00534F29" w:rsidRPr="00BA26D4" w:rsidRDefault="00534F29" w:rsidP="00534F29">
            <w:pPr>
              <w:keepNext/>
              <w:spacing w:after="0"/>
              <w:jc w:val="right"/>
              <w:rPr>
                <w:rFonts w:ascii="Arial" w:hAnsi="Arial" w:cs="Arial"/>
              </w:rPr>
            </w:pPr>
            <w:r w:rsidRPr="00BA26D4">
              <w:rPr>
                <w:rFonts w:ascii="Arial" w:hAnsi="Arial" w:cs="Arial"/>
              </w:rPr>
              <w:t>30/</w:t>
            </w:r>
            <w:r>
              <w:rPr>
                <w:rFonts w:ascii="Arial" w:hAnsi="Arial" w:cs="Arial"/>
              </w:rPr>
              <w:t>11/</w:t>
            </w:r>
            <w:r w:rsidRPr="00BA26D4">
              <w:rPr>
                <w:rFonts w:ascii="Arial" w:hAnsi="Arial" w:cs="Arial"/>
              </w:rPr>
              <w:t>201</w:t>
            </w:r>
            <w:r w:rsidR="00F82767">
              <w:rPr>
                <w:rFonts w:ascii="Arial" w:hAnsi="Arial" w:cs="Arial"/>
              </w:rPr>
              <w:t>9</w:t>
            </w:r>
            <w:r w:rsidRPr="00BA26D4">
              <w:rPr>
                <w:rFonts w:ascii="Arial" w:hAnsi="Arial" w:cs="Arial"/>
              </w:rPr>
              <w:br/>
              <w:t>WAM*</w:t>
            </w:r>
          </w:p>
          <w:p w14:paraId="4173FA3A" w14:textId="77777777" w:rsidR="00534F29" w:rsidRPr="00BA26D4" w:rsidRDefault="00534F29" w:rsidP="00534F29">
            <w:pPr>
              <w:keepNext/>
              <w:spacing w:after="0"/>
              <w:jc w:val="right"/>
              <w:rPr>
                <w:rFonts w:ascii="Arial" w:hAnsi="Arial" w:cs="Arial"/>
              </w:rPr>
            </w:pPr>
            <w:r w:rsidRPr="00BA26D4">
              <w:rPr>
                <w:rFonts w:ascii="Arial" w:hAnsi="Arial" w:cs="Arial"/>
              </w:rPr>
              <w:t>years</w:t>
            </w:r>
          </w:p>
        </w:tc>
      </w:tr>
      <w:tr w:rsidR="00534F29" w:rsidRPr="00350B56" w14:paraId="5482753C"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053D4" w14:textId="77777777" w:rsidR="00534F29" w:rsidRPr="009D376A" w:rsidRDefault="00534F29" w:rsidP="00534F29">
            <w:pPr>
              <w:keepNext/>
              <w:spacing w:after="0"/>
              <w:rPr>
                <w:rFonts w:ascii="Arial" w:hAnsi="Arial" w:cs="Arial"/>
                <w:bCs/>
                <w:color w:val="C00000"/>
              </w:rPr>
            </w:pPr>
            <w:r w:rsidRPr="009D376A">
              <w:rPr>
                <w:rFonts w:ascii="Arial" w:hAnsi="Arial" w:cs="Arial"/>
                <w:bCs/>
              </w:rPr>
              <w:t xml:space="preserve">Short term investments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CB48C" w14:textId="77777777" w:rsidR="00534F29" w:rsidRPr="009D376A" w:rsidRDefault="00534F29" w:rsidP="00534F29">
            <w:pPr>
              <w:keepNext/>
              <w:spacing w:after="0"/>
              <w:jc w:val="righ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4FE7321B" w14:textId="77777777" w:rsidR="00534F29" w:rsidRPr="009D376A" w:rsidRDefault="00534F29" w:rsidP="00534F29">
            <w:pPr>
              <w:keepNext/>
              <w:spacing w:after="0"/>
              <w:jc w:val="righ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A0814" w14:textId="77777777" w:rsidR="00534F29" w:rsidRPr="009D376A" w:rsidRDefault="00534F29" w:rsidP="00534F29">
            <w:pPr>
              <w:keepNext/>
              <w:spacing w:after="0"/>
              <w:jc w:val="righ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2B94D20A" w14:textId="77777777" w:rsidR="00534F29" w:rsidRPr="002C58FD" w:rsidRDefault="00534F29" w:rsidP="00534F29">
            <w:pPr>
              <w:keepNext/>
              <w:spacing w:after="0"/>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074A9D55" w14:textId="77777777" w:rsidR="00534F29" w:rsidRPr="002C58FD" w:rsidRDefault="00534F29" w:rsidP="00534F29">
            <w:pPr>
              <w:keepNext/>
              <w:spacing w:after="0"/>
              <w:jc w:val="right"/>
              <w:rPr>
                <w:rFonts w:ascii="Arial" w:hAnsi="Arial" w:cs="Arial"/>
              </w:rPr>
            </w:pPr>
          </w:p>
        </w:tc>
      </w:tr>
      <w:tr w:rsidR="00534F29" w:rsidRPr="00350B56" w14:paraId="2E603F66"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850D8" w14:textId="77777777" w:rsidR="00534F29" w:rsidRPr="009D376A" w:rsidRDefault="00534F29" w:rsidP="00534F29">
            <w:pPr>
              <w:keepNext/>
              <w:numPr>
                <w:ilvl w:val="0"/>
                <w:numId w:val="43"/>
              </w:numPr>
              <w:tabs>
                <w:tab w:val="left" w:pos="288"/>
              </w:tabs>
              <w:spacing w:after="0" w:line="240" w:lineRule="auto"/>
              <w:ind w:left="318" w:hanging="284"/>
              <w:rPr>
                <w:rFonts w:ascii="Arial" w:hAnsi="Arial" w:cs="Arial"/>
                <w:bCs/>
              </w:rPr>
            </w:pPr>
            <w:r w:rsidRPr="009D376A">
              <w:rPr>
                <w:rFonts w:ascii="Arial" w:hAnsi="Arial" w:cs="Arial"/>
                <w:bCs/>
              </w:rPr>
              <w:t xml:space="preserve">Banks and Building Societies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24457" w14:textId="77777777" w:rsidR="00534F29" w:rsidRPr="009D376A" w:rsidRDefault="00534F29" w:rsidP="00534F29">
            <w:pPr>
              <w:keepNext/>
              <w:spacing w:after="0"/>
              <w:jc w:val="righ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0024773B" w14:textId="77777777" w:rsidR="00534F29" w:rsidRPr="009D376A" w:rsidRDefault="00534F29" w:rsidP="00534F29">
            <w:pPr>
              <w:keepNext/>
              <w:spacing w:after="0"/>
              <w:jc w:val="righ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EB9B3" w14:textId="77777777" w:rsidR="00534F29" w:rsidRPr="009D376A" w:rsidRDefault="00534F29" w:rsidP="00534F29">
            <w:pPr>
              <w:keepNext/>
              <w:spacing w:after="0"/>
              <w:jc w:val="righ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7426C265" w14:textId="77777777" w:rsidR="00534F29" w:rsidRPr="002C58FD" w:rsidRDefault="00534F29" w:rsidP="00534F29">
            <w:pPr>
              <w:keepNext/>
              <w:spacing w:after="0"/>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0DFC9802" w14:textId="77777777" w:rsidR="00534F29" w:rsidRPr="002C58FD" w:rsidRDefault="00534F29" w:rsidP="00534F29">
            <w:pPr>
              <w:keepNext/>
              <w:spacing w:after="0"/>
              <w:jc w:val="right"/>
              <w:rPr>
                <w:rFonts w:ascii="Arial" w:hAnsi="Arial" w:cs="Arial"/>
              </w:rPr>
            </w:pPr>
          </w:p>
        </w:tc>
      </w:tr>
      <w:tr w:rsidR="00534F29" w:rsidRPr="00350B56" w14:paraId="6D0DAE49"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CE826" w14:textId="77777777" w:rsidR="00534F29" w:rsidRPr="009D376A" w:rsidRDefault="00534F29" w:rsidP="00842BD8">
            <w:pPr>
              <w:keepNext/>
              <w:numPr>
                <w:ilvl w:val="0"/>
                <w:numId w:val="43"/>
              </w:numPr>
              <w:spacing w:after="0" w:line="240" w:lineRule="auto"/>
              <w:rPr>
                <w:rFonts w:ascii="Arial" w:hAnsi="Arial" w:cs="Arial"/>
                <w:bCs/>
              </w:rPr>
            </w:pPr>
            <w:r w:rsidRPr="009D376A">
              <w:rPr>
                <w:rFonts w:ascii="Arial" w:hAnsi="Arial" w:cs="Arial"/>
                <w:bCs/>
              </w:rPr>
              <w:t>Unsecured</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2C735" w14:textId="45AAA288" w:rsidR="00534F29" w:rsidRPr="00417C21" w:rsidRDefault="00534F29" w:rsidP="00534F29">
            <w:pPr>
              <w:keepNext/>
              <w:spacing w:after="0"/>
              <w:jc w:val="right"/>
              <w:rPr>
                <w:rFonts w:ascii="Arial" w:hAnsi="Arial" w:cs="Arial"/>
              </w:rPr>
            </w:pPr>
            <w:r w:rsidRPr="00417C21">
              <w:rPr>
                <w:rFonts w:ascii="Arial" w:hAnsi="Arial" w:cs="Arial"/>
              </w:rPr>
              <w:t>1</w:t>
            </w:r>
            <w:r w:rsidR="00226E7D" w:rsidRPr="00417C21">
              <w:rPr>
                <w:rFonts w:ascii="Arial" w:hAnsi="Arial" w:cs="Arial"/>
              </w:rPr>
              <w:t>9</w:t>
            </w:r>
            <w:r w:rsidRPr="00417C21">
              <w:rPr>
                <w:rFonts w:ascii="Arial" w:hAnsi="Arial" w:cs="Arial"/>
              </w:rPr>
              <w:t>.2</w:t>
            </w:r>
          </w:p>
        </w:tc>
        <w:tc>
          <w:tcPr>
            <w:tcW w:w="1417" w:type="dxa"/>
            <w:tcBorders>
              <w:top w:val="single" w:sz="4" w:space="0" w:color="auto"/>
              <w:left w:val="single" w:sz="4" w:space="0" w:color="auto"/>
              <w:bottom w:val="single" w:sz="4" w:space="0" w:color="auto"/>
              <w:right w:val="single" w:sz="4" w:space="0" w:color="auto"/>
            </w:tcBorders>
            <w:vAlign w:val="center"/>
          </w:tcPr>
          <w:p w14:paraId="69710814" w14:textId="4EE8A017" w:rsidR="00534F29" w:rsidRPr="00306F8A" w:rsidRDefault="00534F29" w:rsidP="00534F29">
            <w:pPr>
              <w:keepNext/>
              <w:spacing w:after="0"/>
              <w:jc w:val="right"/>
              <w:rPr>
                <w:rFonts w:ascii="Arial" w:hAnsi="Arial" w:cs="Arial"/>
              </w:rPr>
            </w:pPr>
            <w:r w:rsidRPr="00306F8A">
              <w:rPr>
                <w:rFonts w:ascii="Arial" w:hAnsi="Arial" w:cs="Arial"/>
              </w:rPr>
              <w:t>(</w:t>
            </w:r>
            <w:r w:rsidR="006C51C3" w:rsidRPr="00306F8A">
              <w:rPr>
                <w:rFonts w:ascii="Arial" w:hAnsi="Arial" w:cs="Arial"/>
              </w:rPr>
              <w:t>4</w:t>
            </w:r>
            <w:r w:rsidRPr="00306F8A">
              <w:rPr>
                <w:rFonts w:ascii="Arial" w:hAnsi="Arial" w:cs="Aria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FE093" w14:textId="39578E2E" w:rsidR="00534F29" w:rsidRPr="00A514DE" w:rsidRDefault="00417C21" w:rsidP="00534F29">
            <w:pPr>
              <w:keepNext/>
              <w:spacing w:after="0"/>
              <w:jc w:val="right"/>
              <w:rPr>
                <w:rFonts w:ascii="Arial" w:hAnsi="Arial" w:cs="Arial"/>
              </w:rPr>
            </w:pPr>
            <w:r w:rsidRPr="00A514DE">
              <w:rPr>
                <w:rFonts w:ascii="Arial" w:hAnsi="Arial" w:cs="Arial"/>
              </w:rPr>
              <w:t>15</w:t>
            </w:r>
            <w:r w:rsidR="00534F29" w:rsidRPr="00A514DE">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vAlign w:val="center"/>
          </w:tcPr>
          <w:p w14:paraId="0367442B" w14:textId="14251B3C" w:rsidR="00534F29" w:rsidRPr="00E74BBD" w:rsidRDefault="00534F29" w:rsidP="00534F29">
            <w:pPr>
              <w:keepNext/>
              <w:spacing w:after="0"/>
              <w:jc w:val="right"/>
              <w:rPr>
                <w:rFonts w:ascii="Arial" w:hAnsi="Arial" w:cs="Arial"/>
              </w:rPr>
            </w:pPr>
            <w:r w:rsidRPr="00E74BBD">
              <w:rPr>
                <w:rFonts w:ascii="Arial" w:hAnsi="Arial" w:cs="Arial"/>
              </w:rPr>
              <w:t>0.</w:t>
            </w:r>
            <w:r w:rsidR="009B207D" w:rsidRPr="00E74BBD">
              <w:rPr>
                <w:rFonts w:ascii="Arial" w:hAnsi="Arial" w:cs="Arial"/>
              </w:rPr>
              <w:t>86</w:t>
            </w:r>
          </w:p>
        </w:tc>
        <w:tc>
          <w:tcPr>
            <w:tcW w:w="1421" w:type="dxa"/>
            <w:tcBorders>
              <w:top w:val="single" w:sz="4" w:space="0" w:color="auto"/>
              <w:left w:val="single" w:sz="4" w:space="0" w:color="auto"/>
              <w:bottom w:val="single" w:sz="4" w:space="0" w:color="auto"/>
              <w:right w:val="single" w:sz="4" w:space="0" w:color="auto"/>
            </w:tcBorders>
            <w:vAlign w:val="center"/>
          </w:tcPr>
          <w:p w14:paraId="2BAED427" w14:textId="1D2FA162" w:rsidR="00534F29" w:rsidRPr="00E74BBD" w:rsidRDefault="00534F29" w:rsidP="00534F29">
            <w:pPr>
              <w:keepNext/>
              <w:spacing w:after="0"/>
              <w:jc w:val="right"/>
              <w:rPr>
                <w:rFonts w:ascii="Arial" w:hAnsi="Arial" w:cs="Arial"/>
              </w:rPr>
            </w:pPr>
            <w:r w:rsidRPr="00E74BBD">
              <w:rPr>
                <w:rFonts w:ascii="Arial" w:hAnsi="Arial" w:cs="Arial"/>
              </w:rPr>
              <w:t>0.</w:t>
            </w:r>
            <w:r w:rsidR="00E40BA7" w:rsidRPr="00E74BBD">
              <w:rPr>
                <w:rFonts w:ascii="Arial" w:hAnsi="Arial" w:cs="Arial"/>
              </w:rPr>
              <w:t>1</w:t>
            </w:r>
            <w:r w:rsidR="00E74BBD" w:rsidRPr="00E74BBD">
              <w:rPr>
                <w:rFonts w:ascii="Arial" w:hAnsi="Arial" w:cs="Arial"/>
              </w:rPr>
              <w:t>0</w:t>
            </w:r>
          </w:p>
        </w:tc>
      </w:tr>
      <w:tr w:rsidR="00534F29" w:rsidRPr="00350B56" w14:paraId="5D98D349"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429B8" w14:textId="77777777" w:rsidR="00534F29" w:rsidRPr="009D376A" w:rsidRDefault="00534F29" w:rsidP="00534F29">
            <w:pPr>
              <w:keepNext/>
              <w:numPr>
                <w:ilvl w:val="0"/>
                <w:numId w:val="43"/>
              </w:numPr>
              <w:spacing w:after="0" w:line="240" w:lineRule="auto"/>
              <w:rPr>
                <w:rFonts w:ascii="Arial" w:hAnsi="Arial" w:cs="Arial"/>
                <w:bCs/>
              </w:rPr>
            </w:pPr>
            <w:r w:rsidRPr="009D376A">
              <w:rPr>
                <w:rFonts w:ascii="Arial" w:hAnsi="Arial" w:cs="Arial"/>
                <w:bCs/>
              </w:rPr>
              <w:t>Secured</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153C9" w14:textId="4B518420" w:rsidR="00534F29" w:rsidRPr="00417C21" w:rsidRDefault="00226E7D" w:rsidP="00534F29">
            <w:pPr>
              <w:keepNext/>
              <w:spacing w:after="0"/>
              <w:jc w:val="right"/>
              <w:rPr>
                <w:rFonts w:ascii="Arial" w:hAnsi="Arial" w:cs="Arial"/>
              </w:rPr>
            </w:pPr>
            <w:r w:rsidRPr="00417C21">
              <w:rPr>
                <w:rFonts w:ascii="Arial" w:hAnsi="Arial" w:cs="Arial"/>
              </w:rPr>
              <w:t>10</w:t>
            </w:r>
            <w:r w:rsidR="00534F29" w:rsidRPr="00417C21">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vAlign w:val="center"/>
          </w:tcPr>
          <w:p w14:paraId="7597F49F" w14:textId="6DDB7A88" w:rsidR="00534F29" w:rsidRPr="00306F8A" w:rsidRDefault="006C51C3" w:rsidP="00534F29">
            <w:pPr>
              <w:keepNext/>
              <w:spacing w:after="0"/>
              <w:jc w:val="right"/>
              <w:rPr>
                <w:rFonts w:ascii="Arial" w:hAnsi="Arial" w:cs="Arial"/>
              </w:rPr>
            </w:pPr>
            <w:r w:rsidRPr="00306F8A">
              <w:rPr>
                <w:rFonts w:ascii="Arial" w:hAnsi="Arial" w:cs="Arial"/>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07737" w14:textId="60F5B04B" w:rsidR="00534F29" w:rsidRPr="00A514DE" w:rsidRDefault="00417C21" w:rsidP="00534F29">
            <w:pPr>
              <w:keepNext/>
              <w:spacing w:after="0"/>
              <w:jc w:val="right"/>
              <w:rPr>
                <w:rFonts w:ascii="Arial" w:hAnsi="Arial" w:cs="Arial"/>
              </w:rPr>
            </w:pPr>
            <w:r w:rsidRPr="00A514DE">
              <w:rPr>
                <w:rFonts w:ascii="Arial" w:hAnsi="Arial" w:cs="Arial"/>
              </w:rPr>
              <w:t>11</w:t>
            </w:r>
            <w:r w:rsidR="00534F29" w:rsidRPr="00A514DE">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vAlign w:val="center"/>
          </w:tcPr>
          <w:p w14:paraId="7E3A51C4" w14:textId="455A61A6" w:rsidR="00534F29" w:rsidRPr="00E74BBD" w:rsidRDefault="00534F29" w:rsidP="00534F29">
            <w:pPr>
              <w:keepNext/>
              <w:spacing w:after="0"/>
              <w:jc w:val="right"/>
              <w:rPr>
                <w:rFonts w:ascii="Arial" w:hAnsi="Arial" w:cs="Arial"/>
              </w:rPr>
            </w:pPr>
            <w:r w:rsidRPr="00E74BBD">
              <w:rPr>
                <w:rFonts w:ascii="Arial" w:hAnsi="Arial" w:cs="Arial"/>
              </w:rPr>
              <w:t>0.</w:t>
            </w:r>
            <w:r w:rsidR="009B207D" w:rsidRPr="00E74BBD">
              <w:rPr>
                <w:rFonts w:ascii="Arial" w:hAnsi="Arial" w:cs="Arial"/>
              </w:rPr>
              <w:t>86</w:t>
            </w:r>
          </w:p>
        </w:tc>
        <w:tc>
          <w:tcPr>
            <w:tcW w:w="1421" w:type="dxa"/>
            <w:tcBorders>
              <w:top w:val="single" w:sz="4" w:space="0" w:color="auto"/>
              <w:left w:val="single" w:sz="4" w:space="0" w:color="auto"/>
              <w:bottom w:val="single" w:sz="4" w:space="0" w:color="auto"/>
              <w:right w:val="single" w:sz="4" w:space="0" w:color="auto"/>
            </w:tcBorders>
            <w:vAlign w:val="center"/>
          </w:tcPr>
          <w:p w14:paraId="1E5FD5C6" w14:textId="3BE263CE" w:rsidR="00534F29" w:rsidRPr="00E74BBD" w:rsidRDefault="00534F29" w:rsidP="00534F29">
            <w:pPr>
              <w:keepNext/>
              <w:spacing w:after="0"/>
              <w:jc w:val="right"/>
              <w:rPr>
                <w:rFonts w:ascii="Arial" w:hAnsi="Arial" w:cs="Arial"/>
              </w:rPr>
            </w:pPr>
            <w:r w:rsidRPr="00E74BBD">
              <w:rPr>
                <w:rFonts w:ascii="Arial" w:hAnsi="Arial" w:cs="Arial"/>
              </w:rPr>
              <w:t>0.</w:t>
            </w:r>
            <w:r w:rsidR="00E40BA7" w:rsidRPr="00E74BBD">
              <w:rPr>
                <w:rFonts w:ascii="Arial" w:hAnsi="Arial" w:cs="Arial"/>
              </w:rPr>
              <w:t>3</w:t>
            </w:r>
            <w:r w:rsidR="00E74BBD" w:rsidRPr="00E74BBD">
              <w:rPr>
                <w:rFonts w:ascii="Arial" w:hAnsi="Arial" w:cs="Arial"/>
              </w:rPr>
              <w:t>3</w:t>
            </w:r>
          </w:p>
        </w:tc>
      </w:tr>
      <w:tr w:rsidR="00534F29" w:rsidRPr="00350B56" w14:paraId="6A46468F"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E86DD" w14:textId="2446E220" w:rsidR="00534F29" w:rsidRPr="009D376A" w:rsidRDefault="00842BD8" w:rsidP="00534F29">
            <w:pPr>
              <w:keepNext/>
              <w:numPr>
                <w:ilvl w:val="0"/>
                <w:numId w:val="43"/>
              </w:numPr>
              <w:spacing w:after="0" w:line="240" w:lineRule="auto"/>
              <w:ind w:left="318" w:hanging="284"/>
              <w:rPr>
                <w:rFonts w:ascii="Arial" w:hAnsi="Arial" w:cs="Arial"/>
                <w:bCs/>
              </w:rPr>
            </w:pPr>
            <w:r>
              <w:rPr>
                <w:rFonts w:ascii="Arial" w:hAnsi="Arial" w:cs="Arial"/>
                <w:bCs/>
              </w:rPr>
              <w:t>Treasury Bills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8A2FA" w14:textId="7037C116" w:rsidR="00534F29" w:rsidRPr="00417C21" w:rsidRDefault="00B40193" w:rsidP="00534F29">
            <w:pPr>
              <w:keepNext/>
              <w:spacing w:after="0"/>
              <w:jc w:val="right"/>
              <w:rPr>
                <w:rFonts w:ascii="Arial" w:hAnsi="Arial" w:cs="Arial"/>
              </w:rPr>
            </w:pPr>
            <w:r w:rsidRPr="00417C21">
              <w:rPr>
                <w:rFonts w:ascii="Arial" w:hAnsi="Arial" w:cs="Arial"/>
              </w:rPr>
              <w:t>6.5</w:t>
            </w:r>
          </w:p>
        </w:tc>
        <w:tc>
          <w:tcPr>
            <w:tcW w:w="1417" w:type="dxa"/>
            <w:tcBorders>
              <w:top w:val="single" w:sz="4" w:space="0" w:color="auto"/>
              <w:left w:val="single" w:sz="4" w:space="0" w:color="auto"/>
              <w:bottom w:val="single" w:sz="4" w:space="0" w:color="auto"/>
              <w:right w:val="single" w:sz="4" w:space="0" w:color="auto"/>
            </w:tcBorders>
            <w:vAlign w:val="center"/>
          </w:tcPr>
          <w:p w14:paraId="355130BB" w14:textId="405451BE" w:rsidR="00534F29" w:rsidRPr="00306F8A" w:rsidRDefault="00534F29" w:rsidP="00534F29">
            <w:pPr>
              <w:keepNext/>
              <w:spacing w:after="0"/>
              <w:jc w:val="right"/>
              <w:rPr>
                <w:rFonts w:ascii="Arial" w:hAnsi="Arial" w:cs="Arial"/>
              </w:rPr>
            </w:pPr>
            <w:r w:rsidRPr="00306F8A">
              <w:rPr>
                <w:rFonts w:ascii="Arial" w:hAnsi="Arial" w:cs="Arial"/>
              </w:rPr>
              <w:t>(</w:t>
            </w:r>
            <w:r w:rsidR="006C51C3" w:rsidRPr="00306F8A">
              <w:rPr>
                <w:rFonts w:ascii="Arial" w:hAnsi="Arial" w:cs="Arial"/>
              </w:rPr>
              <w:t>0</w:t>
            </w:r>
            <w:r w:rsidRPr="00306F8A">
              <w:rPr>
                <w:rFonts w:ascii="Arial" w:hAnsi="Arial" w:cs="Arial"/>
              </w:rPr>
              <w:t>.</w:t>
            </w:r>
            <w:r w:rsidR="006C51C3" w:rsidRPr="00306F8A">
              <w:rPr>
                <w:rFonts w:ascii="Arial" w:hAnsi="Arial" w:cs="Arial"/>
              </w:rPr>
              <w:t>5</w:t>
            </w:r>
            <w:r w:rsidRPr="00306F8A">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73C98" w14:textId="014D5960" w:rsidR="00534F29" w:rsidRPr="00A514DE" w:rsidRDefault="00297FCC" w:rsidP="00534F29">
            <w:pPr>
              <w:keepNext/>
              <w:spacing w:after="0"/>
              <w:jc w:val="right"/>
              <w:rPr>
                <w:rFonts w:ascii="Arial" w:hAnsi="Arial" w:cs="Arial"/>
              </w:rPr>
            </w:pPr>
            <w:r w:rsidRPr="00A514DE">
              <w:rPr>
                <w:rFonts w:ascii="Arial" w:hAnsi="Arial" w:cs="Arial"/>
              </w:rPr>
              <w:t>6.0</w:t>
            </w:r>
          </w:p>
        </w:tc>
        <w:tc>
          <w:tcPr>
            <w:tcW w:w="1417" w:type="dxa"/>
            <w:tcBorders>
              <w:top w:val="single" w:sz="4" w:space="0" w:color="auto"/>
              <w:left w:val="single" w:sz="4" w:space="0" w:color="auto"/>
              <w:bottom w:val="single" w:sz="4" w:space="0" w:color="auto"/>
              <w:right w:val="single" w:sz="4" w:space="0" w:color="auto"/>
            </w:tcBorders>
            <w:vAlign w:val="center"/>
          </w:tcPr>
          <w:p w14:paraId="246C51B6" w14:textId="1F82C645" w:rsidR="00534F29" w:rsidRPr="00E74BBD" w:rsidRDefault="00534F29" w:rsidP="00534F29">
            <w:pPr>
              <w:keepNext/>
              <w:spacing w:after="0"/>
              <w:jc w:val="right"/>
              <w:rPr>
                <w:rFonts w:ascii="Arial" w:hAnsi="Arial" w:cs="Arial"/>
              </w:rPr>
            </w:pPr>
            <w:r w:rsidRPr="00E74BBD">
              <w:rPr>
                <w:rFonts w:ascii="Arial" w:hAnsi="Arial" w:cs="Arial"/>
              </w:rPr>
              <w:t>0.</w:t>
            </w:r>
            <w:r w:rsidR="00E40BA7" w:rsidRPr="00E74BBD">
              <w:rPr>
                <w:rFonts w:ascii="Arial" w:hAnsi="Arial" w:cs="Arial"/>
              </w:rPr>
              <w:t>7</w:t>
            </w:r>
            <w:r w:rsidR="009B207D" w:rsidRPr="00E74BBD">
              <w:rPr>
                <w:rFonts w:ascii="Arial" w:hAnsi="Arial" w:cs="Arial"/>
              </w:rPr>
              <w:t>1</w:t>
            </w:r>
          </w:p>
        </w:tc>
        <w:tc>
          <w:tcPr>
            <w:tcW w:w="1421" w:type="dxa"/>
            <w:tcBorders>
              <w:top w:val="single" w:sz="4" w:space="0" w:color="auto"/>
              <w:left w:val="single" w:sz="4" w:space="0" w:color="auto"/>
              <w:bottom w:val="single" w:sz="4" w:space="0" w:color="auto"/>
              <w:right w:val="single" w:sz="4" w:space="0" w:color="auto"/>
            </w:tcBorders>
            <w:vAlign w:val="center"/>
          </w:tcPr>
          <w:p w14:paraId="6A877953" w14:textId="62F42DD0" w:rsidR="00534F29" w:rsidRPr="00E74BBD" w:rsidRDefault="00534F29" w:rsidP="00534F29">
            <w:pPr>
              <w:keepNext/>
              <w:spacing w:after="0"/>
              <w:jc w:val="right"/>
              <w:rPr>
                <w:rFonts w:ascii="Arial" w:hAnsi="Arial" w:cs="Arial"/>
              </w:rPr>
            </w:pPr>
            <w:r w:rsidRPr="00E74BBD">
              <w:rPr>
                <w:rFonts w:ascii="Arial" w:hAnsi="Arial" w:cs="Arial"/>
              </w:rPr>
              <w:t>0.</w:t>
            </w:r>
            <w:r w:rsidR="00E74BBD" w:rsidRPr="00E74BBD">
              <w:rPr>
                <w:rFonts w:ascii="Arial" w:hAnsi="Arial" w:cs="Arial"/>
              </w:rPr>
              <w:t>19</w:t>
            </w:r>
          </w:p>
        </w:tc>
      </w:tr>
      <w:tr w:rsidR="00534F29" w:rsidRPr="00350B56" w14:paraId="0955D359"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DBAE3" w14:textId="2800BC03" w:rsidR="00534F29" w:rsidRPr="009D376A" w:rsidRDefault="00C57AD2" w:rsidP="00534F29">
            <w:pPr>
              <w:keepNext/>
              <w:numPr>
                <w:ilvl w:val="0"/>
                <w:numId w:val="43"/>
              </w:numPr>
              <w:spacing w:after="0" w:line="240" w:lineRule="auto"/>
              <w:ind w:left="318" w:hanging="284"/>
              <w:rPr>
                <w:rFonts w:ascii="Arial" w:hAnsi="Arial" w:cs="Arial"/>
                <w:bCs/>
              </w:rPr>
            </w:pPr>
            <w:r w:rsidRPr="009D376A">
              <w:rPr>
                <w:rFonts w:ascii="Arial" w:hAnsi="Arial" w:cs="Arial"/>
                <w:bCs/>
              </w:rPr>
              <w:t>Money Market Funds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74F43" w14:textId="78A64AC6" w:rsidR="00534F29" w:rsidRPr="00417C21" w:rsidRDefault="0014064C" w:rsidP="00534F29">
            <w:pPr>
              <w:keepNext/>
              <w:spacing w:after="0"/>
              <w:jc w:val="right"/>
              <w:rPr>
                <w:rFonts w:ascii="Arial" w:hAnsi="Arial" w:cs="Arial"/>
              </w:rPr>
            </w:pPr>
            <w:r w:rsidRPr="00417C21">
              <w:rPr>
                <w:rFonts w:ascii="Arial" w:hAnsi="Arial" w:cs="Arial"/>
              </w:rPr>
              <w:t>18.4</w:t>
            </w:r>
          </w:p>
        </w:tc>
        <w:tc>
          <w:tcPr>
            <w:tcW w:w="1417" w:type="dxa"/>
            <w:tcBorders>
              <w:top w:val="single" w:sz="4" w:space="0" w:color="auto"/>
              <w:left w:val="single" w:sz="4" w:space="0" w:color="auto"/>
              <w:bottom w:val="single" w:sz="4" w:space="0" w:color="auto"/>
              <w:right w:val="single" w:sz="4" w:space="0" w:color="auto"/>
            </w:tcBorders>
            <w:vAlign w:val="center"/>
          </w:tcPr>
          <w:p w14:paraId="6B388B0A" w14:textId="4F6A1857" w:rsidR="00534F29" w:rsidRPr="00306F8A" w:rsidRDefault="00534F29" w:rsidP="00534F29">
            <w:pPr>
              <w:keepNext/>
              <w:spacing w:after="0"/>
              <w:jc w:val="right"/>
              <w:rPr>
                <w:rFonts w:ascii="Arial" w:hAnsi="Arial" w:cs="Arial"/>
              </w:rPr>
            </w:pPr>
            <w:r w:rsidRPr="00306F8A">
              <w:rPr>
                <w:rFonts w:ascii="Arial" w:hAnsi="Arial" w:cs="Arial"/>
              </w:rPr>
              <w:t>(</w:t>
            </w:r>
            <w:r w:rsidR="0094705C" w:rsidRPr="00306F8A">
              <w:rPr>
                <w:rFonts w:ascii="Arial" w:hAnsi="Arial" w:cs="Arial"/>
              </w:rPr>
              <w:t>15</w:t>
            </w:r>
            <w:r w:rsidRPr="00306F8A">
              <w:rPr>
                <w:rFonts w:ascii="Arial" w:hAnsi="Arial" w:cs="Arial"/>
              </w:rPr>
              <w:t>.</w:t>
            </w:r>
            <w:r w:rsidR="0094705C" w:rsidRPr="00306F8A">
              <w:rPr>
                <w:rFonts w:ascii="Arial" w:hAnsi="Arial" w:cs="Arial"/>
              </w:rPr>
              <w:t>8</w:t>
            </w:r>
            <w:r w:rsidRPr="00306F8A">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AE655" w14:textId="0AC75F81" w:rsidR="00534F29" w:rsidRPr="00A514DE" w:rsidRDefault="00297FCC" w:rsidP="00534F29">
            <w:pPr>
              <w:keepNext/>
              <w:spacing w:after="0"/>
              <w:jc w:val="right"/>
              <w:rPr>
                <w:rFonts w:ascii="Arial" w:hAnsi="Arial" w:cs="Arial"/>
              </w:rPr>
            </w:pPr>
            <w:r w:rsidRPr="00A514DE">
              <w:rPr>
                <w:rFonts w:ascii="Arial" w:hAnsi="Arial" w:cs="Arial"/>
              </w:rPr>
              <w:t>2.6</w:t>
            </w:r>
          </w:p>
        </w:tc>
        <w:tc>
          <w:tcPr>
            <w:tcW w:w="1417" w:type="dxa"/>
            <w:tcBorders>
              <w:top w:val="single" w:sz="4" w:space="0" w:color="auto"/>
              <w:left w:val="single" w:sz="4" w:space="0" w:color="auto"/>
              <w:bottom w:val="single" w:sz="4" w:space="0" w:color="auto"/>
              <w:right w:val="single" w:sz="4" w:space="0" w:color="auto"/>
            </w:tcBorders>
            <w:vAlign w:val="center"/>
          </w:tcPr>
          <w:p w14:paraId="35A333B4" w14:textId="62C9334E" w:rsidR="00534F29" w:rsidRPr="00E74BBD" w:rsidRDefault="00534F29" w:rsidP="00534F29">
            <w:pPr>
              <w:keepNext/>
              <w:spacing w:after="0"/>
              <w:jc w:val="right"/>
              <w:rPr>
                <w:rFonts w:ascii="Arial" w:hAnsi="Arial" w:cs="Arial"/>
              </w:rPr>
            </w:pPr>
            <w:r w:rsidRPr="00E74BBD">
              <w:rPr>
                <w:rFonts w:ascii="Arial" w:hAnsi="Arial" w:cs="Arial"/>
              </w:rPr>
              <w:t>0.</w:t>
            </w:r>
            <w:r w:rsidR="00E40BA7" w:rsidRPr="00E74BBD">
              <w:rPr>
                <w:rFonts w:ascii="Arial" w:hAnsi="Arial" w:cs="Arial"/>
              </w:rPr>
              <w:t>7</w:t>
            </w:r>
            <w:r w:rsidR="009B207D" w:rsidRPr="00E74BBD">
              <w:rPr>
                <w:rFonts w:ascii="Arial" w:hAnsi="Arial" w:cs="Arial"/>
              </w:rPr>
              <w:t>3</w:t>
            </w:r>
          </w:p>
        </w:tc>
        <w:tc>
          <w:tcPr>
            <w:tcW w:w="1421" w:type="dxa"/>
            <w:tcBorders>
              <w:top w:val="single" w:sz="4" w:space="0" w:color="auto"/>
              <w:left w:val="single" w:sz="4" w:space="0" w:color="auto"/>
              <w:bottom w:val="single" w:sz="4" w:space="0" w:color="auto"/>
              <w:right w:val="single" w:sz="4" w:space="0" w:color="auto"/>
            </w:tcBorders>
            <w:vAlign w:val="center"/>
          </w:tcPr>
          <w:p w14:paraId="51035EBA" w14:textId="2A367AA3" w:rsidR="00534F29" w:rsidRPr="00E74BBD" w:rsidRDefault="00534F29" w:rsidP="00534F29">
            <w:pPr>
              <w:keepNext/>
              <w:spacing w:after="0"/>
              <w:jc w:val="right"/>
              <w:rPr>
                <w:rFonts w:ascii="Arial" w:hAnsi="Arial" w:cs="Arial"/>
              </w:rPr>
            </w:pPr>
            <w:r w:rsidRPr="00E74BBD">
              <w:rPr>
                <w:rFonts w:ascii="Arial" w:hAnsi="Arial" w:cs="Arial"/>
              </w:rPr>
              <w:t>0.</w:t>
            </w:r>
            <w:r w:rsidR="00E74BBD" w:rsidRPr="00E74BBD">
              <w:rPr>
                <w:rFonts w:ascii="Arial" w:hAnsi="Arial" w:cs="Arial"/>
              </w:rPr>
              <w:t>00</w:t>
            </w:r>
          </w:p>
        </w:tc>
      </w:tr>
      <w:tr w:rsidR="00534F29" w:rsidRPr="00350B56" w14:paraId="71DD7799"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9C5A3" w14:textId="1279539E" w:rsidR="00534F29" w:rsidRPr="009D376A" w:rsidRDefault="00C57AD2" w:rsidP="00534F29">
            <w:pPr>
              <w:keepNext/>
              <w:numPr>
                <w:ilvl w:val="0"/>
                <w:numId w:val="43"/>
              </w:numPr>
              <w:spacing w:after="0" w:line="240" w:lineRule="auto"/>
              <w:ind w:left="318" w:hanging="284"/>
              <w:rPr>
                <w:rFonts w:ascii="Arial" w:hAnsi="Arial" w:cs="Arial"/>
                <w:bCs/>
              </w:rPr>
            </w:pPr>
            <w:r w:rsidRPr="009D376A">
              <w:rPr>
                <w:rFonts w:ascii="Arial" w:hAnsi="Arial" w:cs="Arial"/>
                <w:bCs/>
              </w:rPr>
              <w:t>Local Authorities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FE2EA" w14:textId="785D28FD" w:rsidR="00534F29" w:rsidRPr="00417C21" w:rsidRDefault="0014064C" w:rsidP="00534F29">
            <w:pPr>
              <w:keepNext/>
              <w:spacing w:after="0"/>
              <w:jc w:val="right"/>
              <w:rPr>
                <w:rFonts w:ascii="Arial" w:hAnsi="Arial" w:cs="Arial"/>
              </w:rPr>
            </w:pPr>
            <w:r w:rsidRPr="00417C21">
              <w:rPr>
                <w:rFonts w:ascii="Arial" w:hAnsi="Arial" w:cs="Arial"/>
              </w:rPr>
              <w:t>13.0</w:t>
            </w:r>
          </w:p>
        </w:tc>
        <w:tc>
          <w:tcPr>
            <w:tcW w:w="1417" w:type="dxa"/>
            <w:tcBorders>
              <w:top w:val="single" w:sz="4" w:space="0" w:color="auto"/>
              <w:left w:val="single" w:sz="4" w:space="0" w:color="auto"/>
              <w:bottom w:val="single" w:sz="4" w:space="0" w:color="auto"/>
              <w:right w:val="single" w:sz="4" w:space="0" w:color="auto"/>
            </w:tcBorders>
            <w:vAlign w:val="center"/>
          </w:tcPr>
          <w:p w14:paraId="17F13002" w14:textId="5049A400" w:rsidR="00534F29" w:rsidRPr="00306F8A" w:rsidRDefault="00705948" w:rsidP="00534F29">
            <w:pPr>
              <w:keepNext/>
              <w:spacing w:after="0"/>
              <w:jc w:val="right"/>
              <w:rPr>
                <w:rFonts w:ascii="Arial" w:hAnsi="Arial" w:cs="Arial"/>
              </w:rPr>
            </w:pPr>
            <w:r w:rsidRPr="00306F8A">
              <w:rPr>
                <w:rFonts w:ascii="Arial" w:hAnsi="Arial" w:cs="Arial"/>
              </w:rPr>
              <w:t>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B8017" w14:textId="3E715BE3" w:rsidR="00534F29" w:rsidRPr="00A514DE" w:rsidRDefault="00A514DE" w:rsidP="00534F29">
            <w:pPr>
              <w:keepNext/>
              <w:spacing w:after="0"/>
              <w:jc w:val="right"/>
              <w:rPr>
                <w:rFonts w:ascii="Arial" w:hAnsi="Arial" w:cs="Arial"/>
              </w:rPr>
            </w:pPr>
            <w:r w:rsidRPr="00A514DE">
              <w:rPr>
                <w:rFonts w:ascii="Arial" w:hAnsi="Arial" w:cs="Arial"/>
              </w:rPr>
              <w:t>21.5</w:t>
            </w:r>
          </w:p>
        </w:tc>
        <w:tc>
          <w:tcPr>
            <w:tcW w:w="1417" w:type="dxa"/>
            <w:tcBorders>
              <w:top w:val="single" w:sz="4" w:space="0" w:color="auto"/>
              <w:left w:val="single" w:sz="4" w:space="0" w:color="auto"/>
              <w:bottom w:val="single" w:sz="4" w:space="0" w:color="auto"/>
              <w:right w:val="single" w:sz="4" w:space="0" w:color="auto"/>
            </w:tcBorders>
            <w:vAlign w:val="center"/>
          </w:tcPr>
          <w:p w14:paraId="0BFDB126" w14:textId="50159636" w:rsidR="00534F29" w:rsidRPr="00E74BBD" w:rsidRDefault="00534F29" w:rsidP="00534F29">
            <w:pPr>
              <w:keepNext/>
              <w:spacing w:after="0"/>
              <w:jc w:val="right"/>
              <w:rPr>
                <w:rFonts w:ascii="Arial" w:hAnsi="Arial" w:cs="Arial"/>
              </w:rPr>
            </w:pPr>
            <w:r w:rsidRPr="00E74BBD">
              <w:rPr>
                <w:rFonts w:ascii="Arial" w:hAnsi="Arial" w:cs="Arial"/>
              </w:rPr>
              <w:t>0.</w:t>
            </w:r>
            <w:r w:rsidR="00971DBE" w:rsidRPr="00E74BBD">
              <w:rPr>
                <w:rFonts w:ascii="Arial" w:hAnsi="Arial" w:cs="Arial"/>
              </w:rPr>
              <w:t>8</w:t>
            </w:r>
            <w:r w:rsidR="00E40BA7" w:rsidRPr="00E74BBD">
              <w:rPr>
                <w:rFonts w:ascii="Arial" w:hAnsi="Arial" w:cs="Arial"/>
              </w:rPr>
              <w:t>6</w:t>
            </w:r>
          </w:p>
        </w:tc>
        <w:tc>
          <w:tcPr>
            <w:tcW w:w="1421" w:type="dxa"/>
            <w:tcBorders>
              <w:top w:val="single" w:sz="4" w:space="0" w:color="auto"/>
              <w:left w:val="single" w:sz="4" w:space="0" w:color="auto"/>
              <w:bottom w:val="single" w:sz="4" w:space="0" w:color="auto"/>
              <w:right w:val="single" w:sz="4" w:space="0" w:color="auto"/>
            </w:tcBorders>
            <w:vAlign w:val="center"/>
          </w:tcPr>
          <w:p w14:paraId="1E81BA86" w14:textId="1F9E0E18" w:rsidR="00534F29" w:rsidRPr="00E74BBD" w:rsidRDefault="00534F29" w:rsidP="00534F29">
            <w:pPr>
              <w:keepNext/>
              <w:spacing w:after="0"/>
              <w:jc w:val="right"/>
              <w:rPr>
                <w:rFonts w:ascii="Arial" w:hAnsi="Arial" w:cs="Arial"/>
              </w:rPr>
            </w:pPr>
            <w:r w:rsidRPr="00E74BBD">
              <w:rPr>
                <w:rFonts w:ascii="Arial" w:hAnsi="Arial" w:cs="Arial"/>
              </w:rPr>
              <w:t>0.</w:t>
            </w:r>
            <w:r w:rsidR="00E74BBD" w:rsidRPr="00E74BBD">
              <w:rPr>
                <w:rFonts w:ascii="Arial" w:hAnsi="Arial" w:cs="Arial"/>
              </w:rPr>
              <w:t>38</w:t>
            </w:r>
          </w:p>
        </w:tc>
      </w:tr>
      <w:tr w:rsidR="00534F29" w:rsidRPr="00350B56" w14:paraId="05FA44DC"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22F60" w14:textId="77777777" w:rsidR="00534F29" w:rsidRPr="009D376A" w:rsidRDefault="00534F29" w:rsidP="00534F29">
            <w:pPr>
              <w:keepNext/>
              <w:spacing w:after="0"/>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06D62" w14:textId="3975C58D" w:rsidR="00534F29" w:rsidRPr="00417C21" w:rsidRDefault="0014064C" w:rsidP="00534F29">
            <w:pPr>
              <w:keepNext/>
              <w:spacing w:after="0"/>
              <w:jc w:val="right"/>
              <w:rPr>
                <w:rFonts w:ascii="Arial" w:hAnsi="Arial" w:cs="Arial"/>
                <w:b/>
              </w:rPr>
            </w:pPr>
            <w:r w:rsidRPr="00417C21">
              <w:rPr>
                <w:rFonts w:ascii="Arial" w:hAnsi="Arial" w:cs="Arial"/>
                <w:b/>
              </w:rPr>
              <w:t>67.6</w:t>
            </w:r>
          </w:p>
        </w:tc>
        <w:tc>
          <w:tcPr>
            <w:tcW w:w="1417" w:type="dxa"/>
            <w:tcBorders>
              <w:top w:val="single" w:sz="4" w:space="0" w:color="auto"/>
              <w:left w:val="single" w:sz="4" w:space="0" w:color="auto"/>
              <w:bottom w:val="single" w:sz="4" w:space="0" w:color="auto"/>
              <w:right w:val="single" w:sz="4" w:space="0" w:color="auto"/>
            </w:tcBorders>
            <w:vAlign w:val="center"/>
          </w:tcPr>
          <w:p w14:paraId="3D113DF1" w14:textId="285C4FE6" w:rsidR="00534F29" w:rsidRPr="00306F8A" w:rsidRDefault="00534F29" w:rsidP="00534F29">
            <w:pPr>
              <w:keepNext/>
              <w:spacing w:after="0"/>
              <w:jc w:val="right"/>
              <w:rPr>
                <w:rFonts w:ascii="Arial" w:hAnsi="Arial" w:cs="Arial"/>
                <w:b/>
              </w:rPr>
            </w:pPr>
            <w:r w:rsidRPr="00306F8A">
              <w:rPr>
                <w:rFonts w:ascii="Arial" w:hAnsi="Arial" w:cs="Arial"/>
                <w:b/>
              </w:rPr>
              <w:t>(1</w:t>
            </w:r>
            <w:r w:rsidR="00705948" w:rsidRPr="00306F8A">
              <w:rPr>
                <w:rFonts w:ascii="Arial" w:hAnsi="Arial" w:cs="Arial"/>
                <w:b/>
              </w:rPr>
              <w:t>1</w:t>
            </w:r>
            <w:r w:rsidRPr="00306F8A">
              <w:rPr>
                <w:rFonts w:ascii="Arial" w:hAnsi="Arial" w:cs="Arial"/>
                <w:b/>
              </w:rPr>
              <w:t>.</w:t>
            </w:r>
            <w:r w:rsidR="00705948" w:rsidRPr="00306F8A">
              <w:rPr>
                <w:rFonts w:ascii="Arial" w:hAnsi="Arial" w:cs="Arial"/>
                <w:b/>
              </w:rPr>
              <w:t>0</w:t>
            </w:r>
            <w:r w:rsidRPr="00306F8A">
              <w:rPr>
                <w:rFonts w:ascii="Arial" w:hAnsi="Arial" w:cs="Arial"/>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20B69" w14:textId="0909359E" w:rsidR="00534F29" w:rsidRPr="00A514DE" w:rsidRDefault="00A514DE" w:rsidP="00534F29">
            <w:pPr>
              <w:keepNext/>
              <w:spacing w:after="0"/>
              <w:jc w:val="right"/>
              <w:rPr>
                <w:rFonts w:ascii="Arial" w:hAnsi="Arial" w:cs="Arial"/>
                <w:b/>
              </w:rPr>
            </w:pPr>
            <w:r w:rsidRPr="00A514DE">
              <w:rPr>
                <w:rFonts w:ascii="Arial" w:hAnsi="Arial" w:cs="Arial"/>
                <w:b/>
              </w:rPr>
              <w:t>56.6</w:t>
            </w:r>
          </w:p>
        </w:tc>
        <w:tc>
          <w:tcPr>
            <w:tcW w:w="1417" w:type="dxa"/>
            <w:tcBorders>
              <w:top w:val="single" w:sz="4" w:space="0" w:color="auto"/>
              <w:left w:val="single" w:sz="4" w:space="0" w:color="auto"/>
              <w:bottom w:val="single" w:sz="4" w:space="0" w:color="auto"/>
              <w:right w:val="single" w:sz="4" w:space="0" w:color="auto"/>
            </w:tcBorders>
            <w:vAlign w:val="center"/>
          </w:tcPr>
          <w:p w14:paraId="6CFC9235" w14:textId="494BC4BD" w:rsidR="00534F29" w:rsidRPr="00E74BBD" w:rsidRDefault="00534F29" w:rsidP="00534F29">
            <w:pPr>
              <w:keepNext/>
              <w:spacing w:after="0"/>
              <w:jc w:val="right"/>
              <w:rPr>
                <w:rFonts w:ascii="Arial" w:hAnsi="Arial" w:cs="Arial"/>
                <w:b/>
              </w:rPr>
            </w:pPr>
            <w:r w:rsidRPr="00E74BBD">
              <w:rPr>
                <w:rFonts w:ascii="Arial" w:hAnsi="Arial" w:cs="Arial"/>
                <w:b/>
              </w:rPr>
              <w:t>0.</w:t>
            </w:r>
            <w:r w:rsidR="00971DBE" w:rsidRPr="00E74BBD">
              <w:rPr>
                <w:rFonts w:ascii="Arial" w:hAnsi="Arial" w:cs="Arial"/>
                <w:b/>
              </w:rPr>
              <w:t>84</w:t>
            </w:r>
          </w:p>
        </w:tc>
        <w:tc>
          <w:tcPr>
            <w:tcW w:w="1421" w:type="dxa"/>
            <w:tcBorders>
              <w:top w:val="single" w:sz="4" w:space="0" w:color="auto"/>
              <w:left w:val="single" w:sz="4" w:space="0" w:color="auto"/>
              <w:bottom w:val="single" w:sz="4" w:space="0" w:color="auto"/>
              <w:right w:val="single" w:sz="4" w:space="0" w:color="auto"/>
            </w:tcBorders>
            <w:vAlign w:val="center"/>
          </w:tcPr>
          <w:p w14:paraId="3081FE01" w14:textId="086C04F6" w:rsidR="00534F29" w:rsidRPr="00E74BBD" w:rsidRDefault="00534F29" w:rsidP="00534F29">
            <w:pPr>
              <w:keepNext/>
              <w:spacing w:after="0"/>
              <w:jc w:val="right"/>
              <w:rPr>
                <w:rFonts w:ascii="Arial" w:hAnsi="Arial" w:cs="Arial"/>
                <w:b/>
              </w:rPr>
            </w:pPr>
            <w:r w:rsidRPr="00E74BBD">
              <w:rPr>
                <w:rFonts w:ascii="Arial" w:hAnsi="Arial" w:cs="Arial"/>
                <w:b/>
              </w:rPr>
              <w:t>0.</w:t>
            </w:r>
            <w:r w:rsidR="00E74BBD" w:rsidRPr="00E74BBD">
              <w:rPr>
                <w:rFonts w:ascii="Arial" w:hAnsi="Arial" w:cs="Arial"/>
                <w:b/>
              </w:rPr>
              <w:t>26</w:t>
            </w:r>
          </w:p>
        </w:tc>
      </w:tr>
      <w:tr w:rsidR="00534F29" w:rsidRPr="00350B56" w14:paraId="43FABA72"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04CE3" w14:textId="77777777" w:rsidR="00534F29" w:rsidRPr="009D376A" w:rsidRDefault="00534F29" w:rsidP="00534F29">
            <w:pPr>
              <w:keepNext/>
              <w:spacing w:after="0"/>
              <w:rPr>
                <w:rFonts w:ascii="Arial" w:hAnsi="Arial" w:cs="Arial"/>
                <w:bCs/>
              </w:rPr>
            </w:pPr>
            <w:r w:rsidRPr="009D376A">
              <w:rPr>
                <w:rFonts w:ascii="Arial" w:hAnsi="Arial" w:cs="Arial"/>
                <w:bCs/>
              </w:rPr>
              <w:t xml:space="preserve">Long term investments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29DAB" w14:textId="77777777" w:rsidR="00534F29" w:rsidRPr="00417C21" w:rsidRDefault="00534F29" w:rsidP="00534F29">
            <w:pPr>
              <w:keepNext/>
              <w:spacing w:after="0"/>
              <w:jc w:val="righ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0C67970B" w14:textId="77777777" w:rsidR="00534F29" w:rsidRPr="00306F8A" w:rsidRDefault="00534F29" w:rsidP="00534F29">
            <w:pPr>
              <w:keepNext/>
              <w:spacing w:after="0"/>
              <w:jc w:val="righ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A4674" w14:textId="77777777" w:rsidR="00534F29" w:rsidRPr="00F82767" w:rsidRDefault="00534F29" w:rsidP="00534F29">
            <w:pPr>
              <w:keepNext/>
              <w:spacing w:after="0"/>
              <w:jc w:val="right"/>
              <w:rPr>
                <w:rFonts w:ascii="Arial" w:hAnsi="Arial" w:cs="Arial"/>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740DB896" w14:textId="77777777" w:rsidR="00534F29" w:rsidRPr="00E74BBD" w:rsidRDefault="00534F29" w:rsidP="00534F29">
            <w:pPr>
              <w:keepNext/>
              <w:spacing w:after="0"/>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4D6F5AC9" w14:textId="77777777" w:rsidR="00534F29" w:rsidRPr="00E74BBD" w:rsidRDefault="00534F29" w:rsidP="00534F29">
            <w:pPr>
              <w:keepNext/>
              <w:spacing w:after="0"/>
              <w:jc w:val="right"/>
              <w:rPr>
                <w:rFonts w:ascii="Arial" w:hAnsi="Arial" w:cs="Arial"/>
              </w:rPr>
            </w:pPr>
          </w:p>
        </w:tc>
      </w:tr>
      <w:tr w:rsidR="00534F29" w:rsidRPr="00350B56" w14:paraId="6EF69575"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F70B3" w14:textId="77777777" w:rsidR="00534F29" w:rsidRPr="009D376A" w:rsidRDefault="00534F29" w:rsidP="00534F29">
            <w:pPr>
              <w:keepNext/>
              <w:numPr>
                <w:ilvl w:val="0"/>
                <w:numId w:val="43"/>
              </w:numPr>
              <w:spacing w:after="0" w:line="240" w:lineRule="auto"/>
              <w:ind w:left="318" w:hanging="284"/>
              <w:rPr>
                <w:rFonts w:ascii="Arial" w:hAnsi="Arial" w:cs="Arial"/>
                <w:bCs/>
              </w:rPr>
            </w:pPr>
            <w:r w:rsidRPr="009D376A">
              <w:rPr>
                <w:rFonts w:ascii="Arial" w:hAnsi="Arial" w:cs="Arial"/>
                <w:bCs/>
              </w:rPr>
              <w:t>Banks and Building Societies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328DE" w14:textId="77777777" w:rsidR="00534F29" w:rsidRPr="00417C21" w:rsidRDefault="00534F29" w:rsidP="00534F29">
            <w:pPr>
              <w:keepNext/>
              <w:spacing w:after="0"/>
              <w:jc w:val="righ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50E39C12" w14:textId="77777777" w:rsidR="00534F29" w:rsidRPr="00306F8A" w:rsidRDefault="00534F29" w:rsidP="00534F29">
            <w:pPr>
              <w:keepNext/>
              <w:spacing w:after="0"/>
              <w:jc w:val="righ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74D0F" w14:textId="77777777" w:rsidR="00534F29" w:rsidRPr="00F82767" w:rsidRDefault="00534F29" w:rsidP="00534F29">
            <w:pPr>
              <w:keepNext/>
              <w:spacing w:after="0"/>
              <w:jc w:val="right"/>
              <w:rPr>
                <w:rFonts w:ascii="Arial" w:hAnsi="Arial" w:cs="Arial"/>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32840F38" w14:textId="77777777" w:rsidR="00534F29" w:rsidRPr="00E74BBD" w:rsidRDefault="00534F29" w:rsidP="00534F29">
            <w:pPr>
              <w:keepNext/>
              <w:spacing w:after="0"/>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0F4897DC" w14:textId="77777777" w:rsidR="00534F29" w:rsidRPr="00E74BBD" w:rsidRDefault="00534F29" w:rsidP="00534F29">
            <w:pPr>
              <w:keepNext/>
              <w:spacing w:after="0"/>
              <w:jc w:val="right"/>
              <w:rPr>
                <w:rFonts w:ascii="Arial" w:hAnsi="Arial" w:cs="Arial"/>
              </w:rPr>
            </w:pPr>
          </w:p>
        </w:tc>
      </w:tr>
      <w:tr w:rsidR="00534F29" w:rsidRPr="00350B56" w14:paraId="4857B639"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08EBC" w14:textId="77777777" w:rsidR="00534F29" w:rsidRPr="009D376A" w:rsidRDefault="00534F29" w:rsidP="00534F29">
            <w:pPr>
              <w:keepNext/>
              <w:numPr>
                <w:ilvl w:val="0"/>
                <w:numId w:val="43"/>
              </w:numPr>
              <w:spacing w:after="0" w:line="240" w:lineRule="auto"/>
              <w:rPr>
                <w:rFonts w:ascii="Arial" w:hAnsi="Arial" w:cs="Arial"/>
                <w:bCs/>
              </w:rPr>
            </w:pPr>
            <w:r w:rsidRPr="009D376A">
              <w:rPr>
                <w:rFonts w:ascii="Arial" w:hAnsi="Arial" w:cs="Arial"/>
                <w:bCs/>
              </w:rPr>
              <w:t>Secured</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0850F" w14:textId="13707CD9" w:rsidR="00534F29" w:rsidRPr="00417C21" w:rsidRDefault="00417C21" w:rsidP="00534F29">
            <w:pPr>
              <w:keepNext/>
              <w:spacing w:after="0"/>
              <w:jc w:val="right"/>
              <w:rPr>
                <w:rFonts w:ascii="Arial" w:hAnsi="Arial" w:cs="Arial"/>
              </w:rPr>
            </w:pPr>
            <w:r w:rsidRPr="00417C21">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14:paraId="3EFD6438" w14:textId="2F2EB0B7" w:rsidR="00534F29" w:rsidRPr="00306F8A" w:rsidRDefault="006C51C3" w:rsidP="00534F29">
            <w:pPr>
              <w:keepNext/>
              <w:spacing w:after="0"/>
              <w:jc w:val="right"/>
              <w:rPr>
                <w:rFonts w:ascii="Arial" w:hAnsi="Arial" w:cs="Arial"/>
              </w:rPr>
            </w:pPr>
            <w:r w:rsidRPr="00306F8A">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A9508" w14:textId="4E6DEF9F" w:rsidR="00534F29" w:rsidRPr="006C51C3" w:rsidRDefault="00A514DE" w:rsidP="00534F29">
            <w:pPr>
              <w:keepNext/>
              <w:spacing w:after="0"/>
              <w:jc w:val="right"/>
              <w:rPr>
                <w:rFonts w:ascii="Arial" w:hAnsi="Arial" w:cs="Arial"/>
              </w:rPr>
            </w:pPr>
            <w:r w:rsidRPr="006C51C3">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14:paraId="3D3421D5" w14:textId="4C2AE24B" w:rsidR="00534F29" w:rsidRPr="00E74BBD" w:rsidRDefault="00BE408F" w:rsidP="00534F29">
            <w:pPr>
              <w:keepNext/>
              <w:spacing w:after="0"/>
              <w:jc w:val="right"/>
              <w:rPr>
                <w:rFonts w:ascii="Arial" w:hAnsi="Arial" w:cs="Arial"/>
              </w:rPr>
            </w:pPr>
            <w:r w:rsidRPr="00E74BBD">
              <w:rPr>
                <w:rFonts w:ascii="Arial" w:hAnsi="Arial" w:cs="Arial"/>
              </w:rPr>
              <w:t>-</w:t>
            </w:r>
          </w:p>
        </w:tc>
        <w:tc>
          <w:tcPr>
            <w:tcW w:w="1421" w:type="dxa"/>
            <w:tcBorders>
              <w:top w:val="single" w:sz="4" w:space="0" w:color="auto"/>
              <w:left w:val="single" w:sz="4" w:space="0" w:color="auto"/>
              <w:bottom w:val="single" w:sz="4" w:space="0" w:color="auto"/>
              <w:right w:val="single" w:sz="4" w:space="0" w:color="auto"/>
            </w:tcBorders>
            <w:vAlign w:val="center"/>
          </w:tcPr>
          <w:p w14:paraId="1402BEA0" w14:textId="400346EC" w:rsidR="00534F29" w:rsidRPr="00E74BBD" w:rsidRDefault="00BE408F" w:rsidP="00534F29">
            <w:pPr>
              <w:keepNext/>
              <w:spacing w:after="0"/>
              <w:jc w:val="right"/>
              <w:rPr>
                <w:rFonts w:ascii="Arial" w:hAnsi="Arial" w:cs="Arial"/>
              </w:rPr>
            </w:pPr>
            <w:r w:rsidRPr="00E74BBD">
              <w:rPr>
                <w:rFonts w:ascii="Arial" w:hAnsi="Arial" w:cs="Arial"/>
              </w:rPr>
              <w:t>-</w:t>
            </w:r>
          </w:p>
        </w:tc>
      </w:tr>
      <w:tr w:rsidR="00534F29" w:rsidRPr="00350B56" w14:paraId="0545CD72"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68817" w14:textId="77777777" w:rsidR="00534F29" w:rsidRPr="009D376A" w:rsidRDefault="00534F29" w:rsidP="00534F29">
            <w:pPr>
              <w:keepNext/>
              <w:numPr>
                <w:ilvl w:val="0"/>
                <w:numId w:val="43"/>
              </w:numPr>
              <w:spacing w:after="0" w:line="240" w:lineRule="auto"/>
              <w:ind w:left="318" w:hanging="284"/>
              <w:rPr>
                <w:rFonts w:ascii="Arial" w:hAnsi="Arial" w:cs="Arial"/>
                <w:bCs/>
              </w:rPr>
            </w:pPr>
            <w:r w:rsidRPr="009D376A">
              <w:rPr>
                <w:rFonts w:ascii="Arial" w:hAnsi="Arial" w:cs="Arial"/>
                <w:bCs/>
              </w:rPr>
              <w:t>Local Authorities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FBCF5" w14:textId="06905B66" w:rsidR="00534F29" w:rsidRPr="00417C21" w:rsidRDefault="00417C21" w:rsidP="00534F29">
            <w:pPr>
              <w:keepNext/>
              <w:spacing w:after="0"/>
              <w:jc w:val="right"/>
              <w:rPr>
                <w:rFonts w:ascii="Arial" w:hAnsi="Arial" w:cs="Arial"/>
              </w:rPr>
            </w:pPr>
            <w:r w:rsidRPr="00417C21">
              <w:rPr>
                <w:rFonts w:ascii="Arial" w:hAnsi="Arial" w:cs="Arial"/>
              </w:rPr>
              <w:t>1</w:t>
            </w:r>
            <w:r w:rsidR="00534F29" w:rsidRPr="00417C21">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vAlign w:val="center"/>
          </w:tcPr>
          <w:p w14:paraId="779104B4" w14:textId="4446F586" w:rsidR="00534F29" w:rsidRPr="00306F8A" w:rsidRDefault="00534F29" w:rsidP="00534F29">
            <w:pPr>
              <w:keepNext/>
              <w:spacing w:after="0"/>
              <w:jc w:val="right"/>
              <w:rPr>
                <w:rFonts w:ascii="Arial" w:hAnsi="Arial" w:cs="Arial"/>
              </w:rPr>
            </w:pPr>
            <w:r w:rsidRPr="00306F8A">
              <w:rPr>
                <w:rFonts w:ascii="Arial" w:hAnsi="Arial" w:cs="Arial"/>
              </w:rPr>
              <w:t>(</w:t>
            </w:r>
            <w:r w:rsidR="006C51C3" w:rsidRPr="00306F8A">
              <w:rPr>
                <w:rFonts w:ascii="Arial" w:hAnsi="Arial" w:cs="Arial"/>
              </w:rPr>
              <w:t>1</w:t>
            </w:r>
            <w:r w:rsidRPr="00306F8A">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576B" w14:textId="411BEECA" w:rsidR="00534F29" w:rsidRPr="006C51C3" w:rsidRDefault="008B73FF" w:rsidP="00534F29">
            <w:pPr>
              <w:keepNext/>
              <w:spacing w:after="0"/>
              <w:jc w:val="right"/>
              <w:rPr>
                <w:rFonts w:ascii="Arial" w:hAnsi="Arial" w:cs="Arial"/>
              </w:rPr>
            </w:pPr>
            <w:r w:rsidRPr="006C51C3">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14:paraId="511C583F" w14:textId="25560255" w:rsidR="00534F29" w:rsidRPr="00E74BBD" w:rsidRDefault="00BE408F" w:rsidP="00534F29">
            <w:pPr>
              <w:keepNext/>
              <w:spacing w:after="0"/>
              <w:jc w:val="right"/>
              <w:rPr>
                <w:rFonts w:ascii="Arial" w:hAnsi="Arial" w:cs="Arial"/>
              </w:rPr>
            </w:pPr>
            <w:r w:rsidRPr="00E74BBD">
              <w:rPr>
                <w:rFonts w:ascii="Arial" w:hAnsi="Arial" w:cs="Arial"/>
              </w:rPr>
              <w:t>-</w:t>
            </w:r>
          </w:p>
        </w:tc>
        <w:tc>
          <w:tcPr>
            <w:tcW w:w="1421" w:type="dxa"/>
            <w:tcBorders>
              <w:top w:val="single" w:sz="4" w:space="0" w:color="auto"/>
              <w:left w:val="single" w:sz="4" w:space="0" w:color="auto"/>
              <w:bottom w:val="single" w:sz="4" w:space="0" w:color="auto"/>
              <w:right w:val="single" w:sz="4" w:space="0" w:color="auto"/>
            </w:tcBorders>
            <w:vAlign w:val="center"/>
          </w:tcPr>
          <w:p w14:paraId="47724174" w14:textId="0560DE47" w:rsidR="00534F29" w:rsidRPr="00E74BBD" w:rsidRDefault="00BE408F" w:rsidP="00534F29">
            <w:pPr>
              <w:keepNext/>
              <w:spacing w:after="0"/>
              <w:jc w:val="right"/>
              <w:rPr>
                <w:rFonts w:ascii="Arial" w:hAnsi="Arial" w:cs="Arial"/>
              </w:rPr>
            </w:pPr>
            <w:r w:rsidRPr="00E74BBD">
              <w:rPr>
                <w:rFonts w:ascii="Arial" w:hAnsi="Arial" w:cs="Arial"/>
              </w:rPr>
              <w:t>-</w:t>
            </w:r>
          </w:p>
        </w:tc>
      </w:tr>
      <w:tr w:rsidR="00534F29" w:rsidRPr="00350B56" w14:paraId="664B093E"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73AC5" w14:textId="77777777" w:rsidR="00534F29" w:rsidRPr="009D376A" w:rsidRDefault="00534F29" w:rsidP="00534F29">
            <w:pPr>
              <w:keepNext/>
              <w:spacing w:after="0"/>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685C8" w14:textId="382B1FED" w:rsidR="00534F29" w:rsidRPr="00417C21" w:rsidRDefault="00417C21" w:rsidP="00534F29">
            <w:pPr>
              <w:keepNext/>
              <w:spacing w:after="0"/>
              <w:jc w:val="right"/>
              <w:rPr>
                <w:rFonts w:ascii="Arial" w:hAnsi="Arial" w:cs="Arial"/>
                <w:b/>
              </w:rPr>
            </w:pPr>
            <w:r w:rsidRPr="00417C21">
              <w:rPr>
                <w:rFonts w:ascii="Arial" w:hAnsi="Arial" w:cs="Arial"/>
                <w:b/>
              </w:rPr>
              <w:t>1.0</w:t>
            </w:r>
          </w:p>
        </w:tc>
        <w:tc>
          <w:tcPr>
            <w:tcW w:w="1417" w:type="dxa"/>
            <w:tcBorders>
              <w:top w:val="single" w:sz="4" w:space="0" w:color="auto"/>
              <w:left w:val="single" w:sz="4" w:space="0" w:color="auto"/>
              <w:bottom w:val="single" w:sz="4" w:space="0" w:color="auto"/>
              <w:right w:val="single" w:sz="4" w:space="0" w:color="auto"/>
            </w:tcBorders>
            <w:vAlign w:val="center"/>
          </w:tcPr>
          <w:p w14:paraId="21075147" w14:textId="24BA5F34" w:rsidR="00534F29" w:rsidRPr="00306F8A" w:rsidRDefault="00534F29" w:rsidP="00534F29">
            <w:pPr>
              <w:keepNext/>
              <w:spacing w:after="0"/>
              <w:jc w:val="right"/>
              <w:rPr>
                <w:rFonts w:ascii="Arial" w:hAnsi="Arial" w:cs="Arial"/>
                <w:b/>
              </w:rPr>
            </w:pPr>
            <w:r w:rsidRPr="00306F8A">
              <w:rPr>
                <w:rFonts w:ascii="Arial" w:hAnsi="Arial" w:cs="Arial"/>
                <w:b/>
              </w:rPr>
              <w:t>(</w:t>
            </w:r>
            <w:r w:rsidR="006C51C3" w:rsidRPr="00306F8A">
              <w:rPr>
                <w:rFonts w:ascii="Arial" w:hAnsi="Arial" w:cs="Arial"/>
                <w:b/>
              </w:rPr>
              <w:t>1</w:t>
            </w:r>
            <w:r w:rsidRPr="00306F8A">
              <w:rPr>
                <w:rFonts w:ascii="Arial" w:hAnsi="Arial" w:cs="Arial"/>
                <w:b/>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5E1F1" w14:textId="2AA5CE28" w:rsidR="00534F29" w:rsidRPr="006C51C3" w:rsidRDefault="008B73FF" w:rsidP="00534F29">
            <w:pPr>
              <w:keepNext/>
              <w:spacing w:after="0"/>
              <w:jc w:val="right"/>
              <w:rPr>
                <w:rFonts w:ascii="Arial" w:hAnsi="Arial" w:cs="Arial"/>
                <w:b/>
              </w:rPr>
            </w:pPr>
            <w:r w:rsidRPr="006C51C3">
              <w:rPr>
                <w:rFonts w:ascii="Arial" w:hAnsi="Arial" w:cs="Arial"/>
                <w:b/>
              </w:rPr>
              <w:t>-</w:t>
            </w:r>
          </w:p>
        </w:tc>
        <w:tc>
          <w:tcPr>
            <w:tcW w:w="1417" w:type="dxa"/>
            <w:tcBorders>
              <w:top w:val="single" w:sz="4" w:space="0" w:color="auto"/>
              <w:left w:val="single" w:sz="4" w:space="0" w:color="auto"/>
              <w:bottom w:val="single" w:sz="4" w:space="0" w:color="auto"/>
              <w:right w:val="single" w:sz="4" w:space="0" w:color="auto"/>
            </w:tcBorders>
            <w:vAlign w:val="center"/>
          </w:tcPr>
          <w:p w14:paraId="3279A987" w14:textId="40299253" w:rsidR="00534F29" w:rsidRPr="00E74BBD" w:rsidRDefault="00BE408F" w:rsidP="00534F29">
            <w:pPr>
              <w:keepNext/>
              <w:spacing w:after="0"/>
              <w:jc w:val="right"/>
              <w:rPr>
                <w:rFonts w:ascii="Arial" w:hAnsi="Arial" w:cs="Arial"/>
                <w:b/>
              </w:rPr>
            </w:pPr>
            <w:r w:rsidRPr="00E74BBD">
              <w:rPr>
                <w:rFonts w:ascii="Arial" w:hAnsi="Arial" w:cs="Arial"/>
                <w:b/>
              </w:rPr>
              <w:t>-</w:t>
            </w:r>
          </w:p>
        </w:tc>
        <w:tc>
          <w:tcPr>
            <w:tcW w:w="1421" w:type="dxa"/>
            <w:tcBorders>
              <w:top w:val="single" w:sz="4" w:space="0" w:color="auto"/>
              <w:left w:val="single" w:sz="4" w:space="0" w:color="auto"/>
              <w:bottom w:val="single" w:sz="4" w:space="0" w:color="auto"/>
              <w:right w:val="single" w:sz="4" w:space="0" w:color="auto"/>
            </w:tcBorders>
            <w:vAlign w:val="center"/>
          </w:tcPr>
          <w:p w14:paraId="006964C2" w14:textId="173A7983" w:rsidR="00534F29" w:rsidRPr="00E74BBD" w:rsidRDefault="00BE408F" w:rsidP="00534F29">
            <w:pPr>
              <w:keepNext/>
              <w:spacing w:after="0"/>
              <w:jc w:val="right"/>
              <w:rPr>
                <w:rFonts w:ascii="Arial" w:hAnsi="Arial" w:cs="Arial"/>
                <w:b/>
              </w:rPr>
            </w:pPr>
            <w:r w:rsidRPr="00E74BBD">
              <w:rPr>
                <w:rFonts w:ascii="Arial" w:hAnsi="Arial" w:cs="Arial"/>
                <w:b/>
              </w:rPr>
              <w:t>-</w:t>
            </w:r>
          </w:p>
        </w:tc>
      </w:tr>
      <w:tr w:rsidR="00534F29" w:rsidRPr="00350B56" w14:paraId="6326269B"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E7427" w14:textId="77777777" w:rsidR="00534F29" w:rsidRPr="009D376A" w:rsidRDefault="00534F29" w:rsidP="00534F29">
            <w:pPr>
              <w:keepNext/>
              <w:spacing w:after="0"/>
              <w:rPr>
                <w:rFonts w:ascii="Arial" w:hAnsi="Arial" w:cs="Arial"/>
                <w:bCs/>
              </w:rPr>
            </w:pPr>
            <w:r w:rsidRPr="009D376A">
              <w:rPr>
                <w:rFonts w:ascii="Arial" w:hAnsi="Arial" w:cs="Arial"/>
                <w:bCs/>
              </w:rPr>
              <w:t>High yield investments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AE239" w14:textId="77777777" w:rsidR="00534F29" w:rsidRPr="00417C21" w:rsidRDefault="00534F29" w:rsidP="00534F29">
            <w:pPr>
              <w:keepNext/>
              <w:spacing w:after="0"/>
              <w:jc w:val="righ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78B56751" w14:textId="77777777" w:rsidR="00534F29" w:rsidRPr="00306F8A" w:rsidRDefault="00534F29" w:rsidP="00534F29">
            <w:pPr>
              <w:keepNext/>
              <w:spacing w:after="0"/>
              <w:jc w:val="righ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97A9F" w14:textId="77777777" w:rsidR="00534F29" w:rsidRPr="006C51C3" w:rsidRDefault="00534F29" w:rsidP="00534F29">
            <w:pPr>
              <w:keepNext/>
              <w:spacing w:after="0"/>
              <w:jc w:val="righ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37F20AB1" w14:textId="77777777" w:rsidR="00534F29" w:rsidRPr="00E74BBD" w:rsidRDefault="00534F29" w:rsidP="00534F29">
            <w:pPr>
              <w:keepNext/>
              <w:spacing w:after="0"/>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5B90F57A" w14:textId="77777777" w:rsidR="00534F29" w:rsidRPr="00E74BBD" w:rsidRDefault="00534F29" w:rsidP="00534F29">
            <w:pPr>
              <w:keepNext/>
              <w:spacing w:after="0"/>
              <w:jc w:val="right"/>
              <w:rPr>
                <w:rFonts w:ascii="Arial" w:hAnsi="Arial" w:cs="Arial"/>
              </w:rPr>
            </w:pPr>
          </w:p>
        </w:tc>
      </w:tr>
      <w:tr w:rsidR="00534F29" w:rsidRPr="00350B56" w14:paraId="633BC94E"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3E79E" w14:textId="77777777" w:rsidR="00534F29" w:rsidRPr="009D376A" w:rsidRDefault="00534F29" w:rsidP="00534F29">
            <w:pPr>
              <w:keepNext/>
              <w:numPr>
                <w:ilvl w:val="0"/>
                <w:numId w:val="43"/>
              </w:numPr>
              <w:spacing w:after="0" w:line="240" w:lineRule="auto"/>
              <w:ind w:left="318" w:hanging="284"/>
              <w:rPr>
                <w:rFonts w:ascii="Arial" w:hAnsi="Arial" w:cs="Arial"/>
                <w:bCs/>
              </w:rPr>
            </w:pPr>
            <w:r w:rsidRPr="009D376A">
              <w:rPr>
                <w:rFonts w:ascii="Arial" w:hAnsi="Arial" w:cs="Arial"/>
                <w:bCs/>
              </w:rPr>
              <w:t>Pooled Property Funds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97409" w14:textId="77777777" w:rsidR="00534F29" w:rsidRPr="00417C21" w:rsidRDefault="00534F29" w:rsidP="00534F29">
            <w:pPr>
              <w:keepNext/>
              <w:spacing w:after="0"/>
              <w:jc w:val="right"/>
              <w:rPr>
                <w:rFonts w:ascii="Arial" w:hAnsi="Arial" w:cs="Arial"/>
              </w:rPr>
            </w:pPr>
            <w:r w:rsidRPr="00417C21">
              <w:rPr>
                <w:rFonts w:ascii="Arial" w:hAnsi="Arial" w:cs="Arial"/>
              </w:rPr>
              <w:t>3.0</w:t>
            </w:r>
          </w:p>
        </w:tc>
        <w:tc>
          <w:tcPr>
            <w:tcW w:w="1417" w:type="dxa"/>
            <w:tcBorders>
              <w:top w:val="single" w:sz="4" w:space="0" w:color="auto"/>
              <w:left w:val="single" w:sz="4" w:space="0" w:color="auto"/>
              <w:bottom w:val="single" w:sz="4" w:space="0" w:color="auto"/>
              <w:right w:val="single" w:sz="4" w:space="0" w:color="auto"/>
            </w:tcBorders>
            <w:vAlign w:val="center"/>
          </w:tcPr>
          <w:p w14:paraId="0FE55CBB" w14:textId="77777777" w:rsidR="00534F29" w:rsidRPr="00306F8A" w:rsidRDefault="00534F29" w:rsidP="00534F29">
            <w:pPr>
              <w:keepNext/>
              <w:spacing w:after="0"/>
              <w:jc w:val="right"/>
              <w:rPr>
                <w:rFonts w:ascii="Arial" w:hAnsi="Arial" w:cs="Arial"/>
              </w:rPr>
            </w:pPr>
            <w:r w:rsidRPr="00306F8A">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33524" w14:textId="77777777" w:rsidR="00534F29" w:rsidRPr="006C51C3" w:rsidRDefault="00534F29" w:rsidP="00534F29">
            <w:pPr>
              <w:keepNext/>
              <w:spacing w:after="0"/>
              <w:jc w:val="right"/>
              <w:rPr>
                <w:rFonts w:ascii="Arial" w:hAnsi="Arial" w:cs="Arial"/>
              </w:rPr>
            </w:pPr>
            <w:r w:rsidRPr="006C51C3">
              <w:rPr>
                <w:rFonts w:ascii="Arial" w:hAnsi="Arial" w:cs="Arial"/>
              </w:rPr>
              <w:t>3.0</w:t>
            </w:r>
          </w:p>
        </w:tc>
        <w:tc>
          <w:tcPr>
            <w:tcW w:w="1417" w:type="dxa"/>
            <w:tcBorders>
              <w:top w:val="single" w:sz="4" w:space="0" w:color="auto"/>
              <w:left w:val="single" w:sz="4" w:space="0" w:color="auto"/>
              <w:bottom w:val="single" w:sz="4" w:space="0" w:color="auto"/>
              <w:right w:val="single" w:sz="4" w:space="0" w:color="auto"/>
            </w:tcBorders>
            <w:vAlign w:val="center"/>
          </w:tcPr>
          <w:p w14:paraId="7ABAA3A8" w14:textId="71B2DF75" w:rsidR="00534F29" w:rsidRPr="00E74BBD" w:rsidRDefault="00534F29" w:rsidP="00534F29">
            <w:pPr>
              <w:keepNext/>
              <w:spacing w:after="0"/>
              <w:jc w:val="right"/>
              <w:rPr>
                <w:rFonts w:ascii="Arial" w:hAnsi="Arial" w:cs="Arial"/>
              </w:rPr>
            </w:pPr>
            <w:r w:rsidRPr="00E74BBD">
              <w:rPr>
                <w:rFonts w:ascii="Arial" w:hAnsi="Arial" w:cs="Arial"/>
              </w:rPr>
              <w:t>4.2</w:t>
            </w:r>
            <w:r w:rsidR="00BE408F" w:rsidRPr="00E74BBD">
              <w:rPr>
                <w:rFonts w:ascii="Arial" w:hAnsi="Arial" w:cs="Arial"/>
              </w:rPr>
              <w:t>4</w:t>
            </w:r>
          </w:p>
        </w:tc>
        <w:tc>
          <w:tcPr>
            <w:tcW w:w="1421" w:type="dxa"/>
            <w:tcBorders>
              <w:top w:val="single" w:sz="4" w:space="0" w:color="auto"/>
              <w:left w:val="single" w:sz="4" w:space="0" w:color="auto"/>
              <w:bottom w:val="single" w:sz="4" w:space="0" w:color="auto"/>
              <w:right w:val="single" w:sz="4" w:space="0" w:color="auto"/>
            </w:tcBorders>
            <w:vAlign w:val="center"/>
          </w:tcPr>
          <w:p w14:paraId="65254E5A" w14:textId="77777777" w:rsidR="00534F29" w:rsidRPr="00E74BBD" w:rsidRDefault="00534F29" w:rsidP="00534F29">
            <w:pPr>
              <w:keepNext/>
              <w:spacing w:after="0"/>
              <w:jc w:val="right"/>
              <w:rPr>
                <w:rFonts w:ascii="Arial" w:hAnsi="Arial" w:cs="Arial"/>
              </w:rPr>
            </w:pPr>
            <w:r w:rsidRPr="00E74BBD">
              <w:rPr>
                <w:rFonts w:ascii="Arial" w:hAnsi="Arial" w:cs="Arial"/>
              </w:rPr>
              <w:t>n/a</w:t>
            </w:r>
          </w:p>
        </w:tc>
      </w:tr>
      <w:tr w:rsidR="00534F29" w:rsidRPr="00350B56" w14:paraId="235D6802"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6A3C9" w14:textId="77777777" w:rsidR="00534F29" w:rsidRPr="009D376A" w:rsidRDefault="00534F29" w:rsidP="00534F29">
            <w:pPr>
              <w:keepNext/>
              <w:numPr>
                <w:ilvl w:val="0"/>
                <w:numId w:val="43"/>
              </w:numPr>
              <w:spacing w:after="0" w:line="240" w:lineRule="auto"/>
              <w:ind w:left="318" w:hanging="284"/>
              <w:rPr>
                <w:rFonts w:ascii="Arial" w:hAnsi="Arial" w:cs="Arial"/>
                <w:bCs/>
              </w:rPr>
            </w:pPr>
            <w:r w:rsidRPr="009D376A">
              <w:rPr>
                <w:rFonts w:ascii="Arial" w:hAnsi="Arial" w:cs="Arial"/>
                <w:bCs/>
              </w:rPr>
              <w:t>Pooled Equity Funds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5FF75" w14:textId="77777777" w:rsidR="00534F29" w:rsidRPr="00417C21" w:rsidRDefault="00534F29" w:rsidP="00534F29">
            <w:pPr>
              <w:keepNext/>
              <w:spacing w:after="0"/>
              <w:jc w:val="right"/>
              <w:rPr>
                <w:rFonts w:ascii="Arial" w:hAnsi="Arial" w:cs="Arial"/>
              </w:rPr>
            </w:pPr>
            <w:r w:rsidRPr="00417C21">
              <w:rPr>
                <w:rFonts w:ascii="Arial" w:hAnsi="Arial" w:cs="Arial"/>
              </w:rPr>
              <w:t>2.0</w:t>
            </w:r>
          </w:p>
        </w:tc>
        <w:tc>
          <w:tcPr>
            <w:tcW w:w="1417" w:type="dxa"/>
            <w:tcBorders>
              <w:top w:val="single" w:sz="4" w:space="0" w:color="auto"/>
              <w:left w:val="single" w:sz="4" w:space="0" w:color="auto"/>
              <w:bottom w:val="single" w:sz="4" w:space="0" w:color="auto"/>
              <w:right w:val="single" w:sz="4" w:space="0" w:color="auto"/>
            </w:tcBorders>
            <w:vAlign w:val="center"/>
          </w:tcPr>
          <w:p w14:paraId="7885F023" w14:textId="77777777" w:rsidR="00534F29" w:rsidRPr="00306F8A" w:rsidRDefault="00534F29" w:rsidP="00534F29">
            <w:pPr>
              <w:keepNext/>
              <w:spacing w:after="0"/>
              <w:jc w:val="right"/>
              <w:rPr>
                <w:rFonts w:ascii="Arial" w:hAnsi="Arial" w:cs="Arial"/>
              </w:rPr>
            </w:pPr>
            <w:r w:rsidRPr="00306F8A">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A573D" w14:textId="77777777" w:rsidR="00534F29" w:rsidRPr="006C51C3" w:rsidRDefault="00534F29" w:rsidP="00534F29">
            <w:pPr>
              <w:keepNext/>
              <w:spacing w:after="0"/>
              <w:jc w:val="right"/>
              <w:rPr>
                <w:rFonts w:ascii="Arial" w:hAnsi="Arial" w:cs="Arial"/>
              </w:rPr>
            </w:pPr>
            <w:r w:rsidRPr="006C51C3">
              <w:rPr>
                <w:rFonts w:ascii="Arial" w:hAnsi="Arial" w:cs="Arial"/>
              </w:rPr>
              <w:t>2.0</w:t>
            </w:r>
          </w:p>
        </w:tc>
        <w:tc>
          <w:tcPr>
            <w:tcW w:w="1417" w:type="dxa"/>
            <w:tcBorders>
              <w:top w:val="single" w:sz="4" w:space="0" w:color="auto"/>
              <w:left w:val="single" w:sz="4" w:space="0" w:color="auto"/>
              <w:bottom w:val="single" w:sz="4" w:space="0" w:color="auto"/>
              <w:right w:val="single" w:sz="4" w:space="0" w:color="auto"/>
            </w:tcBorders>
            <w:vAlign w:val="center"/>
          </w:tcPr>
          <w:p w14:paraId="35D1A7FC" w14:textId="588CAB55" w:rsidR="00534F29" w:rsidRPr="00E74BBD" w:rsidRDefault="00E40BA7" w:rsidP="00534F29">
            <w:pPr>
              <w:keepNext/>
              <w:spacing w:after="0"/>
              <w:jc w:val="right"/>
              <w:rPr>
                <w:rFonts w:ascii="Arial" w:hAnsi="Arial" w:cs="Arial"/>
              </w:rPr>
            </w:pPr>
            <w:r w:rsidRPr="00E74BBD">
              <w:rPr>
                <w:rFonts w:ascii="Arial" w:hAnsi="Arial" w:cs="Arial"/>
              </w:rPr>
              <w:t>5.</w:t>
            </w:r>
            <w:r w:rsidR="00BE408F" w:rsidRPr="00E74BBD">
              <w:rPr>
                <w:rFonts w:ascii="Arial" w:hAnsi="Arial" w:cs="Arial"/>
              </w:rPr>
              <w:t>24</w:t>
            </w:r>
          </w:p>
        </w:tc>
        <w:tc>
          <w:tcPr>
            <w:tcW w:w="1421" w:type="dxa"/>
            <w:tcBorders>
              <w:top w:val="single" w:sz="4" w:space="0" w:color="auto"/>
              <w:left w:val="single" w:sz="4" w:space="0" w:color="auto"/>
              <w:bottom w:val="single" w:sz="4" w:space="0" w:color="auto"/>
              <w:right w:val="single" w:sz="4" w:space="0" w:color="auto"/>
            </w:tcBorders>
            <w:vAlign w:val="center"/>
          </w:tcPr>
          <w:p w14:paraId="47264CCE" w14:textId="77777777" w:rsidR="00534F29" w:rsidRPr="00E74BBD" w:rsidRDefault="00534F29" w:rsidP="00534F29">
            <w:pPr>
              <w:keepNext/>
              <w:spacing w:after="0"/>
              <w:jc w:val="right"/>
              <w:rPr>
                <w:rFonts w:ascii="Arial" w:hAnsi="Arial" w:cs="Arial"/>
              </w:rPr>
            </w:pPr>
            <w:r w:rsidRPr="00E74BBD">
              <w:rPr>
                <w:rFonts w:ascii="Arial" w:hAnsi="Arial" w:cs="Arial"/>
              </w:rPr>
              <w:t>n/a</w:t>
            </w:r>
          </w:p>
        </w:tc>
      </w:tr>
      <w:tr w:rsidR="00534F29" w:rsidRPr="00534F29" w14:paraId="3F05C8C2" w14:textId="77777777" w:rsidTr="008842B4">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BE127" w14:textId="77777777" w:rsidR="00534F29" w:rsidRPr="00534F29" w:rsidRDefault="00534F29" w:rsidP="00534F29">
            <w:pPr>
              <w:keepNext/>
              <w:spacing w:after="0"/>
              <w:rPr>
                <w:rFonts w:ascii="Arial" w:hAnsi="Arial" w:cs="Arial"/>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97980" w14:textId="77777777" w:rsidR="00534F29" w:rsidRPr="00417C21" w:rsidRDefault="00534F29" w:rsidP="00534F29">
            <w:pPr>
              <w:keepNext/>
              <w:spacing w:after="0"/>
              <w:jc w:val="right"/>
              <w:rPr>
                <w:rFonts w:ascii="Arial" w:hAnsi="Arial" w:cs="Arial"/>
                <w:b/>
              </w:rPr>
            </w:pPr>
            <w:r w:rsidRPr="00417C21">
              <w:rPr>
                <w:rFonts w:ascii="Arial" w:hAnsi="Arial" w:cs="Arial"/>
                <w:b/>
              </w:rPr>
              <w:t>5.0</w:t>
            </w:r>
          </w:p>
        </w:tc>
        <w:tc>
          <w:tcPr>
            <w:tcW w:w="1417" w:type="dxa"/>
            <w:tcBorders>
              <w:top w:val="single" w:sz="4" w:space="0" w:color="auto"/>
              <w:left w:val="single" w:sz="4" w:space="0" w:color="auto"/>
              <w:bottom w:val="single" w:sz="4" w:space="0" w:color="auto"/>
              <w:right w:val="single" w:sz="4" w:space="0" w:color="auto"/>
            </w:tcBorders>
            <w:vAlign w:val="center"/>
          </w:tcPr>
          <w:p w14:paraId="2AA6DF4B" w14:textId="77777777" w:rsidR="00534F29" w:rsidRPr="00306F8A" w:rsidRDefault="00534F29" w:rsidP="00534F29">
            <w:pPr>
              <w:keepNext/>
              <w:spacing w:after="0"/>
              <w:jc w:val="right"/>
              <w:rPr>
                <w:rFonts w:ascii="Arial" w:hAnsi="Arial" w:cs="Arial"/>
                <w:b/>
              </w:rPr>
            </w:pPr>
            <w:r w:rsidRPr="00306F8A">
              <w:rPr>
                <w:rFonts w:ascii="Arial" w:hAnsi="Arial" w:cs="Arial"/>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11823" w14:textId="77777777" w:rsidR="00534F29" w:rsidRPr="006C51C3" w:rsidRDefault="00534F29" w:rsidP="00534F29">
            <w:pPr>
              <w:keepNext/>
              <w:spacing w:after="0"/>
              <w:jc w:val="right"/>
              <w:rPr>
                <w:rFonts w:ascii="Arial" w:hAnsi="Arial" w:cs="Arial"/>
                <w:b/>
              </w:rPr>
            </w:pPr>
            <w:r w:rsidRPr="006C51C3">
              <w:rPr>
                <w:rFonts w:ascii="Arial" w:hAnsi="Arial" w:cs="Arial"/>
                <w:b/>
              </w:rPr>
              <w:t>5.0</w:t>
            </w:r>
          </w:p>
        </w:tc>
        <w:tc>
          <w:tcPr>
            <w:tcW w:w="1417" w:type="dxa"/>
            <w:tcBorders>
              <w:top w:val="single" w:sz="4" w:space="0" w:color="auto"/>
              <w:left w:val="single" w:sz="4" w:space="0" w:color="auto"/>
              <w:bottom w:val="single" w:sz="4" w:space="0" w:color="auto"/>
              <w:right w:val="single" w:sz="4" w:space="0" w:color="auto"/>
            </w:tcBorders>
            <w:vAlign w:val="center"/>
          </w:tcPr>
          <w:p w14:paraId="1697D308" w14:textId="2EEAA8A4" w:rsidR="00534F29" w:rsidRPr="00E74BBD" w:rsidRDefault="00E40BA7" w:rsidP="00534F29">
            <w:pPr>
              <w:keepNext/>
              <w:spacing w:after="0"/>
              <w:jc w:val="right"/>
              <w:rPr>
                <w:rFonts w:ascii="Arial" w:hAnsi="Arial" w:cs="Arial"/>
                <w:b/>
              </w:rPr>
            </w:pPr>
            <w:r w:rsidRPr="00E74BBD">
              <w:rPr>
                <w:rFonts w:ascii="Arial" w:hAnsi="Arial" w:cs="Arial"/>
                <w:b/>
              </w:rPr>
              <w:t>4.</w:t>
            </w:r>
            <w:r w:rsidR="00E74BBD" w:rsidRPr="00E74BBD">
              <w:rPr>
                <w:rFonts w:ascii="Arial" w:hAnsi="Arial" w:cs="Arial"/>
                <w:b/>
              </w:rPr>
              <w:t>64</w:t>
            </w:r>
          </w:p>
        </w:tc>
        <w:tc>
          <w:tcPr>
            <w:tcW w:w="1421" w:type="dxa"/>
            <w:tcBorders>
              <w:top w:val="single" w:sz="4" w:space="0" w:color="auto"/>
              <w:left w:val="single" w:sz="4" w:space="0" w:color="auto"/>
              <w:bottom w:val="single" w:sz="4" w:space="0" w:color="auto"/>
              <w:right w:val="single" w:sz="4" w:space="0" w:color="auto"/>
            </w:tcBorders>
            <w:vAlign w:val="center"/>
          </w:tcPr>
          <w:p w14:paraId="598784FD" w14:textId="77777777" w:rsidR="00534F29" w:rsidRPr="00E74BBD" w:rsidRDefault="00534F29" w:rsidP="00534F29">
            <w:pPr>
              <w:keepNext/>
              <w:spacing w:after="0"/>
              <w:jc w:val="right"/>
              <w:rPr>
                <w:rFonts w:ascii="Arial" w:hAnsi="Arial" w:cs="Arial"/>
                <w:b/>
              </w:rPr>
            </w:pPr>
            <w:r w:rsidRPr="00E74BBD">
              <w:rPr>
                <w:rFonts w:ascii="Arial" w:hAnsi="Arial" w:cs="Arial"/>
                <w:b/>
              </w:rPr>
              <w:t>n/a</w:t>
            </w:r>
          </w:p>
        </w:tc>
      </w:tr>
      <w:tr w:rsidR="00534F29" w:rsidRPr="00350B56" w14:paraId="7802D5B2" w14:textId="77777777" w:rsidTr="008842B4">
        <w:trPr>
          <w:cantSplit/>
          <w:trHeight w:val="567"/>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39510" w14:textId="77777777" w:rsidR="00534F29" w:rsidRPr="00BA26D4" w:rsidRDefault="00534F29" w:rsidP="00534F29">
            <w:pPr>
              <w:keepNext/>
              <w:spacing w:after="0"/>
              <w:rPr>
                <w:rFonts w:ascii="Arial" w:hAnsi="Arial" w:cs="Arial"/>
                <w:b/>
                <w:bCs/>
              </w:rPr>
            </w:pPr>
            <w:r w:rsidRPr="00BA26D4">
              <w:rPr>
                <w:rFonts w:ascii="Arial" w:hAnsi="Arial" w:cs="Arial"/>
                <w:b/>
                <w:bCs/>
              </w:rPr>
              <w:t>TOTAL INVESTMENTS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A77CE" w14:textId="6A4A1A50" w:rsidR="00534F29" w:rsidRPr="00417C21" w:rsidRDefault="00417C21" w:rsidP="00534F29">
            <w:pPr>
              <w:keepNext/>
              <w:spacing w:after="0"/>
              <w:jc w:val="right"/>
              <w:rPr>
                <w:rFonts w:ascii="Arial" w:hAnsi="Arial" w:cs="Arial"/>
                <w:b/>
              </w:rPr>
            </w:pPr>
            <w:r w:rsidRPr="00417C21">
              <w:rPr>
                <w:rFonts w:ascii="Arial" w:hAnsi="Arial" w:cs="Arial"/>
                <w:b/>
              </w:rPr>
              <w:t>73.6</w:t>
            </w:r>
          </w:p>
        </w:tc>
        <w:tc>
          <w:tcPr>
            <w:tcW w:w="1417" w:type="dxa"/>
            <w:tcBorders>
              <w:top w:val="single" w:sz="4" w:space="0" w:color="auto"/>
              <w:left w:val="single" w:sz="4" w:space="0" w:color="auto"/>
              <w:bottom w:val="single" w:sz="4" w:space="0" w:color="auto"/>
              <w:right w:val="single" w:sz="4" w:space="0" w:color="auto"/>
            </w:tcBorders>
            <w:vAlign w:val="center"/>
          </w:tcPr>
          <w:p w14:paraId="68C2F060" w14:textId="32579865" w:rsidR="00534F29" w:rsidRPr="00F82767" w:rsidRDefault="00306F8A" w:rsidP="00534F29">
            <w:pPr>
              <w:keepNext/>
              <w:spacing w:after="0"/>
              <w:jc w:val="right"/>
              <w:rPr>
                <w:rFonts w:ascii="Arial" w:hAnsi="Arial" w:cs="Arial"/>
                <w:b/>
                <w:highlight w:val="yellow"/>
              </w:rPr>
            </w:pPr>
            <w:r w:rsidRPr="009B207D">
              <w:rPr>
                <w:rFonts w:ascii="Arial" w:hAnsi="Arial" w:cs="Arial"/>
                <w:b/>
              </w:rPr>
              <w:t>(</w:t>
            </w:r>
            <w:r w:rsidR="00534F29" w:rsidRPr="009B207D">
              <w:rPr>
                <w:rFonts w:ascii="Arial" w:hAnsi="Arial" w:cs="Arial"/>
                <w:b/>
              </w:rPr>
              <w:t>1</w:t>
            </w:r>
            <w:r w:rsidR="009B207D" w:rsidRPr="009B207D">
              <w:rPr>
                <w:rFonts w:ascii="Arial" w:hAnsi="Arial" w:cs="Arial"/>
                <w:b/>
              </w:rPr>
              <w:t>2</w:t>
            </w:r>
            <w:r w:rsidR="00534F29" w:rsidRPr="009B207D">
              <w:rPr>
                <w:rFonts w:ascii="Arial" w:hAnsi="Arial" w:cs="Arial"/>
                <w:b/>
              </w:rPr>
              <w:t>.</w:t>
            </w:r>
            <w:r w:rsidR="009B207D" w:rsidRPr="009B207D">
              <w:rPr>
                <w:rFonts w:ascii="Arial" w:hAnsi="Arial" w:cs="Arial"/>
                <w:b/>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C8B36" w14:textId="6B0B001E" w:rsidR="00534F29" w:rsidRPr="006C51C3" w:rsidRDefault="006C51C3" w:rsidP="00534F29">
            <w:pPr>
              <w:keepNext/>
              <w:spacing w:after="0"/>
              <w:jc w:val="right"/>
              <w:rPr>
                <w:rFonts w:ascii="Arial" w:hAnsi="Arial" w:cs="Arial"/>
                <w:b/>
              </w:rPr>
            </w:pPr>
            <w:r w:rsidRPr="006C51C3">
              <w:rPr>
                <w:rFonts w:ascii="Arial" w:hAnsi="Arial" w:cs="Arial"/>
                <w:b/>
              </w:rPr>
              <w:t>61.6</w:t>
            </w:r>
          </w:p>
        </w:tc>
        <w:tc>
          <w:tcPr>
            <w:tcW w:w="1417" w:type="dxa"/>
            <w:tcBorders>
              <w:top w:val="single" w:sz="4" w:space="0" w:color="auto"/>
              <w:left w:val="single" w:sz="4" w:space="0" w:color="auto"/>
              <w:bottom w:val="single" w:sz="4" w:space="0" w:color="auto"/>
              <w:right w:val="single" w:sz="4" w:space="0" w:color="auto"/>
            </w:tcBorders>
            <w:vAlign w:val="center"/>
          </w:tcPr>
          <w:p w14:paraId="3FC56584" w14:textId="6DE22CD0" w:rsidR="00534F29" w:rsidRPr="00E74BBD" w:rsidRDefault="00534F29" w:rsidP="00534F29">
            <w:pPr>
              <w:keepNext/>
              <w:spacing w:after="0"/>
              <w:jc w:val="right"/>
              <w:rPr>
                <w:rFonts w:ascii="Arial" w:hAnsi="Arial" w:cs="Arial"/>
                <w:b/>
              </w:rPr>
            </w:pPr>
            <w:r w:rsidRPr="00E74BBD">
              <w:rPr>
                <w:rFonts w:ascii="Arial" w:hAnsi="Arial" w:cs="Arial"/>
                <w:b/>
              </w:rPr>
              <w:t>1.</w:t>
            </w:r>
            <w:r w:rsidR="00E40BA7" w:rsidRPr="00E74BBD">
              <w:rPr>
                <w:rFonts w:ascii="Arial" w:hAnsi="Arial" w:cs="Arial"/>
                <w:b/>
              </w:rPr>
              <w:t>1</w:t>
            </w:r>
            <w:r w:rsidR="00E74BBD" w:rsidRPr="00E74BBD">
              <w:rPr>
                <w:rFonts w:ascii="Arial" w:hAnsi="Arial" w:cs="Arial"/>
                <w:b/>
              </w:rPr>
              <w:t>5</w:t>
            </w:r>
          </w:p>
        </w:tc>
        <w:tc>
          <w:tcPr>
            <w:tcW w:w="1421" w:type="dxa"/>
            <w:tcBorders>
              <w:top w:val="single" w:sz="4" w:space="0" w:color="auto"/>
              <w:left w:val="single" w:sz="4" w:space="0" w:color="auto"/>
              <w:bottom w:val="single" w:sz="4" w:space="0" w:color="auto"/>
              <w:right w:val="single" w:sz="4" w:space="0" w:color="auto"/>
            </w:tcBorders>
            <w:vAlign w:val="center"/>
          </w:tcPr>
          <w:p w14:paraId="12D45D0F" w14:textId="65B12274" w:rsidR="00534F29" w:rsidRPr="00E74BBD" w:rsidRDefault="00534F29" w:rsidP="00534F29">
            <w:pPr>
              <w:keepNext/>
              <w:spacing w:after="0"/>
              <w:jc w:val="right"/>
              <w:rPr>
                <w:rFonts w:ascii="Arial" w:hAnsi="Arial" w:cs="Arial"/>
                <w:b/>
              </w:rPr>
            </w:pPr>
            <w:r w:rsidRPr="00E74BBD">
              <w:rPr>
                <w:rFonts w:ascii="Arial" w:hAnsi="Arial" w:cs="Arial"/>
                <w:b/>
              </w:rPr>
              <w:t>0.</w:t>
            </w:r>
            <w:r w:rsidR="00E74BBD" w:rsidRPr="00E74BBD">
              <w:rPr>
                <w:rFonts w:ascii="Arial" w:hAnsi="Arial" w:cs="Arial"/>
                <w:b/>
              </w:rPr>
              <w:t>26</w:t>
            </w:r>
          </w:p>
        </w:tc>
      </w:tr>
    </w:tbl>
    <w:p w14:paraId="1FCD1849" w14:textId="77777777" w:rsidR="00534F29" w:rsidRPr="002C58FD" w:rsidRDefault="00534F29" w:rsidP="008842B4">
      <w:pPr>
        <w:pStyle w:val="ListParagraph"/>
        <w:spacing w:after="240"/>
        <w:rPr>
          <w:rFonts w:ascii="Arial" w:hAnsi="Arial" w:cs="Arial"/>
        </w:rPr>
      </w:pPr>
      <w:r w:rsidRPr="002C58FD">
        <w:rPr>
          <w:rFonts w:ascii="Arial" w:hAnsi="Arial" w:cs="Arial"/>
        </w:rPr>
        <w:t>* Weighted average maturity</w:t>
      </w:r>
    </w:p>
    <w:p w14:paraId="1A295D7F" w14:textId="3C46607F" w:rsidR="00534F29" w:rsidRDefault="00534F29" w:rsidP="00534F29">
      <w:pPr>
        <w:pStyle w:val="ListParagraph"/>
        <w:spacing w:after="240"/>
        <w:rPr>
          <w:rFonts w:ascii="Arial" w:hAnsi="Arial" w:cs="Arial"/>
        </w:rPr>
      </w:pPr>
      <w:r w:rsidRPr="00656B50">
        <w:rPr>
          <w:rFonts w:ascii="Arial" w:hAnsi="Arial" w:cs="Arial"/>
        </w:rPr>
        <w:t xml:space="preserve">** The rates provided for pooled fund investments are reflective of the average of the </w:t>
      </w:r>
      <w:r w:rsidR="00F3258E">
        <w:rPr>
          <w:rFonts w:ascii="Arial" w:hAnsi="Arial" w:cs="Arial"/>
        </w:rPr>
        <w:t>average dividend return over the last 12 months</w:t>
      </w:r>
      <w:r w:rsidRPr="00656B50">
        <w:rPr>
          <w:rFonts w:ascii="Arial" w:hAnsi="Arial" w:cs="Arial"/>
        </w:rPr>
        <w:t>.</w:t>
      </w:r>
    </w:p>
    <w:p w14:paraId="3FF494B9" w14:textId="77777777" w:rsidR="00534F29" w:rsidRPr="00656B50" w:rsidRDefault="00534F29" w:rsidP="00534F29">
      <w:pPr>
        <w:pStyle w:val="ListParagraph"/>
        <w:spacing w:after="240"/>
        <w:rPr>
          <w:rFonts w:ascii="Arial" w:hAnsi="Arial" w:cs="Arial"/>
        </w:rPr>
      </w:pP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418"/>
        <w:gridCol w:w="1418"/>
      </w:tblGrid>
      <w:tr w:rsidR="00367B90" w:rsidRPr="00E40BA7" w14:paraId="63849E35" w14:textId="77777777" w:rsidTr="00E40BA7">
        <w:trPr>
          <w:trHeight w:val="300"/>
        </w:trPr>
        <w:tc>
          <w:tcPr>
            <w:tcW w:w="6238" w:type="dxa"/>
            <w:tcBorders>
              <w:top w:val="nil"/>
              <w:left w:val="nil"/>
              <w:bottom w:val="single" w:sz="4" w:space="0" w:color="auto"/>
              <w:right w:val="nil"/>
            </w:tcBorders>
            <w:shd w:val="clear" w:color="auto" w:fill="auto"/>
            <w:vAlign w:val="center"/>
          </w:tcPr>
          <w:p w14:paraId="24FA50E7" w14:textId="77777777" w:rsidR="00E40BA7" w:rsidRPr="00E40BA7" w:rsidRDefault="00E40BA7" w:rsidP="00813548">
            <w:pPr>
              <w:pStyle w:val="ListParagraph"/>
              <w:spacing w:after="0" w:line="240" w:lineRule="auto"/>
              <w:ind w:left="0"/>
              <w:contextualSpacing w:val="0"/>
              <w:rPr>
                <w:rFonts w:ascii="Arial" w:eastAsia="Times New Roman" w:hAnsi="Arial" w:cs="Arial"/>
                <w:sz w:val="24"/>
                <w:szCs w:val="24"/>
              </w:rPr>
            </w:pPr>
            <w:r>
              <w:rPr>
                <w:rFonts w:ascii="Arial" w:eastAsia="Times New Roman" w:hAnsi="Arial" w:cs="Arial"/>
                <w:sz w:val="24"/>
                <w:szCs w:val="24"/>
              </w:rPr>
              <w:t>Treasury Management Position</w:t>
            </w:r>
          </w:p>
        </w:tc>
        <w:tc>
          <w:tcPr>
            <w:tcW w:w="1418" w:type="dxa"/>
            <w:tcBorders>
              <w:top w:val="nil"/>
              <w:left w:val="nil"/>
              <w:bottom w:val="single" w:sz="4" w:space="0" w:color="auto"/>
              <w:right w:val="nil"/>
            </w:tcBorders>
            <w:shd w:val="clear" w:color="auto" w:fill="auto"/>
            <w:vAlign w:val="center"/>
          </w:tcPr>
          <w:p w14:paraId="31FE83A3" w14:textId="77777777" w:rsidR="00E40BA7" w:rsidRDefault="00E40BA7" w:rsidP="00813548">
            <w:pPr>
              <w:pStyle w:val="ListParagraph"/>
              <w:spacing w:after="0" w:line="240" w:lineRule="auto"/>
              <w:ind w:left="0"/>
              <w:contextualSpacing w:val="0"/>
              <w:jc w:val="right"/>
              <w:rPr>
                <w:rFonts w:ascii="Arial" w:eastAsia="Times New Roman" w:hAnsi="Arial" w:cs="Arial"/>
                <w:sz w:val="24"/>
                <w:szCs w:val="24"/>
              </w:rPr>
            </w:pPr>
          </w:p>
        </w:tc>
        <w:tc>
          <w:tcPr>
            <w:tcW w:w="1417" w:type="dxa"/>
            <w:tcBorders>
              <w:top w:val="nil"/>
              <w:left w:val="nil"/>
              <w:bottom w:val="single" w:sz="4" w:space="0" w:color="auto"/>
              <w:right w:val="nil"/>
            </w:tcBorders>
            <w:shd w:val="clear" w:color="auto" w:fill="auto"/>
            <w:vAlign w:val="center"/>
          </w:tcPr>
          <w:p w14:paraId="0C0CD644" w14:textId="77777777" w:rsidR="00E40BA7" w:rsidRDefault="00E40BA7" w:rsidP="00813548">
            <w:pPr>
              <w:pStyle w:val="ListParagraph"/>
              <w:spacing w:after="0" w:line="240" w:lineRule="auto"/>
              <w:ind w:left="0"/>
              <w:contextualSpacing w:val="0"/>
              <w:jc w:val="right"/>
              <w:rPr>
                <w:rFonts w:ascii="Arial" w:eastAsia="Times New Roman" w:hAnsi="Arial" w:cs="Arial"/>
                <w:sz w:val="24"/>
                <w:szCs w:val="24"/>
              </w:rPr>
            </w:pPr>
          </w:p>
        </w:tc>
      </w:tr>
      <w:tr w:rsidR="00B545F4" w:rsidRPr="00E40BA7" w14:paraId="5CAED770" w14:textId="77777777" w:rsidTr="00E40BA7">
        <w:trPr>
          <w:trHeight w:val="300"/>
        </w:trPr>
        <w:tc>
          <w:tcPr>
            <w:tcW w:w="6238" w:type="dxa"/>
            <w:tcBorders>
              <w:top w:val="single" w:sz="4" w:space="0" w:color="auto"/>
            </w:tcBorders>
            <w:shd w:val="clear" w:color="auto" w:fill="auto"/>
            <w:vAlign w:val="center"/>
          </w:tcPr>
          <w:p w14:paraId="71B6373C" w14:textId="77777777" w:rsidR="00B545F4" w:rsidRPr="00E40BA7" w:rsidRDefault="00B545F4" w:rsidP="00813548">
            <w:pPr>
              <w:pStyle w:val="ListParagraph"/>
              <w:spacing w:after="0" w:line="240" w:lineRule="auto"/>
              <w:ind w:left="0"/>
              <w:contextualSpacing w:val="0"/>
              <w:rPr>
                <w:rFonts w:ascii="Arial" w:eastAsia="Times New Roman" w:hAnsi="Arial" w:cs="Arial"/>
                <w:sz w:val="24"/>
                <w:szCs w:val="24"/>
              </w:rPr>
            </w:pPr>
          </w:p>
        </w:tc>
        <w:tc>
          <w:tcPr>
            <w:tcW w:w="1418" w:type="dxa"/>
            <w:tcBorders>
              <w:top w:val="single" w:sz="4" w:space="0" w:color="auto"/>
            </w:tcBorders>
            <w:shd w:val="clear" w:color="auto" w:fill="auto"/>
            <w:vAlign w:val="center"/>
          </w:tcPr>
          <w:p w14:paraId="7671ECC8" w14:textId="3E46F7A0" w:rsidR="00E40BA7" w:rsidRDefault="00E40BA7" w:rsidP="00813548">
            <w:pPr>
              <w:pStyle w:val="ListParagraph"/>
              <w:spacing w:after="0" w:line="240" w:lineRule="auto"/>
              <w:ind w:left="0"/>
              <w:contextualSpacing w:val="0"/>
              <w:jc w:val="right"/>
              <w:rPr>
                <w:rFonts w:ascii="Arial" w:eastAsia="Times New Roman" w:hAnsi="Arial" w:cs="Arial"/>
                <w:sz w:val="24"/>
                <w:szCs w:val="24"/>
              </w:rPr>
            </w:pPr>
            <w:r>
              <w:rPr>
                <w:rFonts w:ascii="Arial" w:eastAsia="Times New Roman" w:hAnsi="Arial" w:cs="Arial"/>
                <w:sz w:val="24"/>
                <w:szCs w:val="24"/>
              </w:rPr>
              <w:t>30/11/201</w:t>
            </w:r>
            <w:r w:rsidR="00F82767">
              <w:rPr>
                <w:rFonts w:ascii="Arial" w:eastAsia="Times New Roman" w:hAnsi="Arial" w:cs="Arial"/>
                <w:sz w:val="24"/>
                <w:szCs w:val="24"/>
              </w:rPr>
              <w:t>9</w:t>
            </w:r>
          </w:p>
          <w:p w14:paraId="0B95BBC1" w14:textId="77777777" w:rsidR="00E40BA7" w:rsidRDefault="00E40BA7" w:rsidP="00813548">
            <w:pPr>
              <w:pStyle w:val="ListParagraph"/>
              <w:spacing w:after="0" w:line="240" w:lineRule="auto"/>
              <w:ind w:left="0"/>
              <w:contextualSpacing w:val="0"/>
              <w:jc w:val="right"/>
              <w:rPr>
                <w:rFonts w:ascii="Arial" w:eastAsia="Times New Roman" w:hAnsi="Arial" w:cs="Arial"/>
                <w:sz w:val="24"/>
                <w:szCs w:val="24"/>
              </w:rPr>
            </w:pPr>
            <w:r>
              <w:rPr>
                <w:rFonts w:ascii="Arial" w:eastAsia="Times New Roman" w:hAnsi="Arial" w:cs="Arial"/>
                <w:sz w:val="24"/>
                <w:szCs w:val="24"/>
              </w:rPr>
              <w:t>Balance</w:t>
            </w:r>
          </w:p>
          <w:p w14:paraId="0A50A1C6" w14:textId="77777777" w:rsidR="00B545F4" w:rsidRPr="00E40BA7" w:rsidRDefault="00B545F4" w:rsidP="00813548">
            <w:pPr>
              <w:pStyle w:val="ListParagraph"/>
              <w:spacing w:after="0" w:line="240" w:lineRule="auto"/>
              <w:ind w:left="0"/>
              <w:contextualSpacing w:val="0"/>
              <w:jc w:val="right"/>
              <w:rPr>
                <w:rFonts w:ascii="Arial" w:eastAsia="Times New Roman" w:hAnsi="Arial" w:cs="Arial"/>
                <w:sz w:val="24"/>
                <w:szCs w:val="24"/>
              </w:rPr>
            </w:pPr>
            <w:r w:rsidRPr="00E40BA7">
              <w:rPr>
                <w:rFonts w:ascii="Arial" w:eastAsia="Times New Roman" w:hAnsi="Arial" w:cs="Arial"/>
                <w:sz w:val="24"/>
                <w:szCs w:val="24"/>
              </w:rPr>
              <w:t>£m</w:t>
            </w:r>
          </w:p>
        </w:tc>
        <w:tc>
          <w:tcPr>
            <w:tcW w:w="1417" w:type="dxa"/>
            <w:tcBorders>
              <w:top w:val="single" w:sz="4" w:space="0" w:color="auto"/>
            </w:tcBorders>
            <w:shd w:val="clear" w:color="auto" w:fill="auto"/>
            <w:vAlign w:val="center"/>
          </w:tcPr>
          <w:p w14:paraId="525AE76B" w14:textId="0D4DC7B3" w:rsidR="00E40BA7" w:rsidRDefault="00E40BA7" w:rsidP="00813548">
            <w:pPr>
              <w:pStyle w:val="ListParagraph"/>
              <w:spacing w:after="0" w:line="240" w:lineRule="auto"/>
              <w:ind w:left="0"/>
              <w:contextualSpacing w:val="0"/>
              <w:jc w:val="right"/>
              <w:rPr>
                <w:rFonts w:ascii="Arial" w:eastAsia="Times New Roman" w:hAnsi="Arial" w:cs="Arial"/>
                <w:sz w:val="24"/>
                <w:szCs w:val="24"/>
              </w:rPr>
            </w:pPr>
            <w:r>
              <w:rPr>
                <w:rFonts w:ascii="Arial" w:eastAsia="Times New Roman" w:hAnsi="Arial" w:cs="Arial"/>
                <w:sz w:val="24"/>
                <w:szCs w:val="24"/>
              </w:rPr>
              <w:t>30/11/201</w:t>
            </w:r>
            <w:r w:rsidR="00F82767">
              <w:rPr>
                <w:rFonts w:ascii="Arial" w:eastAsia="Times New Roman" w:hAnsi="Arial" w:cs="Arial"/>
                <w:sz w:val="24"/>
                <w:szCs w:val="24"/>
              </w:rPr>
              <w:t>9</w:t>
            </w:r>
          </w:p>
          <w:p w14:paraId="046CE072" w14:textId="77777777" w:rsidR="00E40BA7" w:rsidRDefault="00E40BA7" w:rsidP="00813548">
            <w:pPr>
              <w:pStyle w:val="ListParagraph"/>
              <w:spacing w:after="0" w:line="240" w:lineRule="auto"/>
              <w:ind w:left="0"/>
              <w:contextualSpacing w:val="0"/>
              <w:jc w:val="right"/>
              <w:rPr>
                <w:rFonts w:ascii="Arial" w:eastAsia="Times New Roman" w:hAnsi="Arial" w:cs="Arial"/>
                <w:sz w:val="24"/>
                <w:szCs w:val="24"/>
              </w:rPr>
            </w:pPr>
            <w:r>
              <w:rPr>
                <w:rFonts w:ascii="Arial" w:eastAsia="Times New Roman" w:hAnsi="Arial" w:cs="Arial"/>
                <w:sz w:val="24"/>
                <w:szCs w:val="24"/>
              </w:rPr>
              <w:t>Rate</w:t>
            </w:r>
          </w:p>
          <w:p w14:paraId="5FEB3075" w14:textId="77777777" w:rsidR="00B545F4" w:rsidRPr="00E40BA7" w:rsidRDefault="00B545F4" w:rsidP="00813548">
            <w:pPr>
              <w:pStyle w:val="ListParagraph"/>
              <w:spacing w:after="0" w:line="240" w:lineRule="auto"/>
              <w:ind w:left="0"/>
              <w:contextualSpacing w:val="0"/>
              <w:jc w:val="right"/>
              <w:rPr>
                <w:rFonts w:ascii="Arial" w:eastAsia="Times New Roman" w:hAnsi="Arial" w:cs="Arial"/>
                <w:sz w:val="24"/>
                <w:szCs w:val="24"/>
              </w:rPr>
            </w:pPr>
            <w:r w:rsidRPr="00E40BA7">
              <w:rPr>
                <w:rFonts w:ascii="Arial" w:eastAsia="Times New Roman" w:hAnsi="Arial" w:cs="Arial"/>
                <w:sz w:val="24"/>
                <w:szCs w:val="24"/>
              </w:rPr>
              <w:t>%</w:t>
            </w:r>
          </w:p>
        </w:tc>
      </w:tr>
      <w:tr w:rsidR="00B545F4" w:rsidRPr="00E40BA7" w14:paraId="1B68A5A3" w14:textId="77777777" w:rsidTr="00E40BA7">
        <w:trPr>
          <w:trHeight w:val="300"/>
        </w:trPr>
        <w:tc>
          <w:tcPr>
            <w:tcW w:w="6238" w:type="dxa"/>
            <w:shd w:val="clear" w:color="auto" w:fill="auto"/>
            <w:vAlign w:val="center"/>
          </w:tcPr>
          <w:p w14:paraId="3A8BC2D9" w14:textId="77777777" w:rsidR="00B545F4" w:rsidRPr="00E40BA7" w:rsidRDefault="00B545F4" w:rsidP="00813548">
            <w:pPr>
              <w:pStyle w:val="ListParagraph"/>
              <w:spacing w:after="0" w:line="240" w:lineRule="auto"/>
              <w:ind w:left="0"/>
              <w:contextualSpacing w:val="0"/>
              <w:rPr>
                <w:rFonts w:ascii="Arial" w:eastAsia="Times New Roman" w:hAnsi="Arial" w:cs="Arial"/>
                <w:b/>
                <w:sz w:val="24"/>
                <w:szCs w:val="24"/>
              </w:rPr>
            </w:pPr>
            <w:r w:rsidRPr="00E40BA7">
              <w:rPr>
                <w:rFonts w:ascii="Arial" w:eastAsia="Times New Roman" w:hAnsi="Arial" w:cs="Arial"/>
                <w:b/>
                <w:sz w:val="24"/>
                <w:szCs w:val="24"/>
              </w:rPr>
              <w:t>External Borrowing:</w:t>
            </w:r>
          </w:p>
        </w:tc>
        <w:tc>
          <w:tcPr>
            <w:tcW w:w="1418" w:type="dxa"/>
            <w:shd w:val="clear" w:color="auto" w:fill="auto"/>
            <w:vAlign w:val="center"/>
          </w:tcPr>
          <w:p w14:paraId="1EBECC89" w14:textId="77777777" w:rsidR="00B545F4" w:rsidRPr="00E40BA7" w:rsidRDefault="00B545F4" w:rsidP="00813548">
            <w:pPr>
              <w:pStyle w:val="ListParagraph"/>
              <w:spacing w:after="0" w:line="240" w:lineRule="auto"/>
              <w:ind w:left="0"/>
              <w:contextualSpacing w:val="0"/>
              <w:jc w:val="right"/>
              <w:rPr>
                <w:rFonts w:ascii="Arial" w:eastAsia="Times New Roman" w:hAnsi="Arial" w:cs="Arial"/>
                <w:sz w:val="24"/>
                <w:szCs w:val="24"/>
              </w:rPr>
            </w:pPr>
          </w:p>
        </w:tc>
        <w:tc>
          <w:tcPr>
            <w:tcW w:w="1417" w:type="dxa"/>
            <w:shd w:val="clear" w:color="auto" w:fill="auto"/>
            <w:vAlign w:val="center"/>
          </w:tcPr>
          <w:p w14:paraId="18B9651C" w14:textId="77777777" w:rsidR="00B545F4" w:rsidRPr="00E40BA7" w:rsidRDefault="00B545F4" w:rsidP="00813548">
            <w:pPr>
              <w:pStyle w:val="ListParagraph"/>
              <w:spacing w:after="0" w:line="240" w:lineRule="auto"/>
              <w:ind w:left="0"/>
              <w:contextualSpacing w:val="0"/>
              <w:jc w:val="right"/>
              <w:rPr>
                <w:rFonts w:ascii="Arial" w:eastAsia="Times New Roman" w:hAnsi="Arial" w:cs="Arial"/>
                <w:sz w:val="24"/>
                <w:szCs w:val="24"/>
              </w:rPr>
            </w:pPr>
          </w:p>
        </w:tc>
      </w:tr>
      <w:tr w:rsidR="00B545F4" w:rsidRPr="00E40BA7" w14:paraId="7ABC5804" w14:textId="77777777" w:rsidTr="00E40BA7">
        <w:trPr>
          <w:trHeight w:val="300"/>
        </w:trPr>
        <w:tc>
          <w:tcPr>
            <w:tcW w:w="6238" w:type="dxa"/>
            <w:shd w:val="clear" w:color="auto" w:fill="auto"/>
            <w:vAlign w:val="center"/>
          </w:tcPr>
          <w:p w14:paraId="18A7161D" w14:textId="77777777" w:rsidR="00B545F4" w:rsidRPr="00E40BA7" w:rsidRDefault="00B545F4" w:rsidP="00813548">
            <w:pPr>
              <w:pStyle w:val="ListParagraph"/>
              <w:spacing w:after="0" w:line="240" w:lineRule="auto"/>
              <w:ind w:left="0"/>
              <w:contextualSpacing w:val="0"/>
              <w:rPr>
                <w:rFonts w:ascii="Arial" w:eastAsia="Times New Roman" w:hAnsi="Arial" w:cs="Arial"/>
                <w:sz w:val="24"/>
                <w:szCs w:val="24"/>
              </w:rPr>
            </w:pPr>
            <w:r w:rsidRPr="00E40BA7">
              <w:rPr>
                <w:rFonts w:ascii="Arial" w:eastAsia="Times New Roman" w:hAnsi="Arial" w:cs="Arial"/>
                <w:sz w:val="24"/>
                <w:szCs w:val="24"/>
              </w:rPr>
              <w:t>PWLB Fixed Rate</w:t>
            </w:r>
          </w:p>
        </w:tc>
        <w:tc>
          <w:tcPr>
            <w:tcW w:w="1418" w:type="dxa"/>
            <w:shd w:val="clear" w:color="auto" w:fill="auto"/>
            <w:vAlign w:val="center"/>
          </w:tcPr>
          <w:p w14:paraId="5D081D57" w14:textId="4A963142" w:rsidR="00B545F4" w:rsidRPr="00F3258E" w:rsidRDefault="002B5251" w:rsidP="006A546E">
            <w:pPr>
              <w:pStyle w:val="ListParagraph"/>
              <w:spacing w:after="0" w:line="240" w:lineRule="auto"/>
              <w:ind w:left="0"/>
              <w:contextualSpacing w:val="0"/>
              <w:jc w:val="right"/>
              <w:rPr>
                <w:rFonts w:ascii="Arial" w:eastAsia="Times New Roman" w:hAnsi="Arial" w:cs="Arial"/>
                <w:sz w:val="24"/>
                <w:szCs w:val="24"/>
              </w:rPr>
            </w:pPr>
            <w:r w:rsidRPr="00F3258E">
              <w:rPr>
                <w:rFonts w:ascii="Arial" w:eastAsia="Times New Roman" w:hAnsi="Arial" w:cs="Arial"/>
                <w:sz w:val="24"/>
                <w:szCs w:val="24"/>
              </w:rPr>
              <w:t>(</w:t>
            </w:r>
            <w:r w:rsidR="00F3258E" w:rsidRPr="00F3258E">
              <w:rPr>
                <w:rFonts w:ascii="Arial" w:eastAsia="Times New Roman" w:hAnsi="Arial" w:cs="Arial"/>
                <w:sz w:val="24"/>
                <w:szCs w:val="24"/>
              </w:rPr>
              <w:t>30.7</w:t>
            </w:r>
            <w:r w:rsidRPr="00F3258E">
              <w:rPr>
                <w:rFonts w:ascii="Arial" w:eastAsia="Times New Roman" w:hAnsi="Arial" w:cs="Arial"/>
                <w:sz w:val="24"/>
                <w:szCs w:val="24"/>
              </w:rPr>
              <w:t>)</w:t>
            </w:r>
          </w:p>
        </w:tc>
        <w:tc>
          <w:tcPr>
            <w:tcW w:w="1417" w:type="dxa"/>
            <w:shd w:val="clear" w:color="auto" w:fill="auto"/>
            <w:vAlign w:val="center"/>
          </w:tcPr>
          <w:p w14:paraId="1B5A8566" w14:textId="7BBAF0ED" w:rsidR="00B545F4" w:rsidRPr="00F3258E" w:rsidRDefault="002B5251" w:rsidP="006A546E">
            <w:pPr>
              <w:pStyle w:val="ListParagraph"/>
              <w:spacing w:after="0" w:line="240" w:lineRule="auto"/>
              <w:ind w:left="0"/>
              <w:contextualSpacing w:val="0"/>
              <w:jc w:val="right"/>
              <w:rPr>
                <w:rFonts w:ascii="Arial" w:eastAsia="Times New Roman" w:hAnsi="Arial" w:cs="Arial"/>
                <w:sz w:val="24"/>
                <w:szCs w:val="24"/>
              </w:rPr>
            </w:pPr>
            <w:r w:rsidRPr="00F3258E">
              <w:rPr>
                <w:rFonts w:ascii="Arial" w:eastAsia="Times New Roman" w:hAnsi="Arial" w:cs="Arial"/>
                <w:sz w:val="24"/>
                <w:szCs w:val="24"/>
              </w:rPr>
              <w:t>(4.</w:t>
            </w:r>
            <w:r w:rsidR="00E40BA7" w:rsidRPr="00F3258E">
              <w:rPr>
                <w:rFonts w:ascii="Arial" w:eastAsia="Times New Roman" w:hAnsi="Arial" w:cs="Arial"/>
                <w:sz w:val="24"/>
                <w:szCs w:val="24"/>
              </w:rPr>
              <w:t>2</w:t>
            </w:r>
            <w:r w:rsidR="00F3258E" w:rsidRPr="00F3258E">
              <w:rPr>
                <w:rFonts w:ascii="Arial" w:eastAsia="Times New Roman" w:hAnsi="Arial" w:cs="Arial"/>
                <w:sz w:val="24"/>
                <w:szCs w:val="24"/>
              </w:rPr>
              <w:t>4</w:t>
            </w:r>
            <w:r w:rsidRPr="00F3258E">
              <w:rPr>
                <w:rFonts w:ascii="Arial" w:eastAsia="Times New Roman" w:hAnsi="Arial" w:cs="Arial"/>
                <w:sz w:val="24"/>
                <w:szCs w:val="24"/>
              </w:rPr>
              <w:t>)</w:t>
            </w:r>
          </w:p>
        </w:tc>
      </w:tr>
      <w:tr w:rsidR="00B545F4" w:rsidRPr="00E40BA7" w14:paraId="48C3EE2B" w14:textId="77777777" w:rsidTr="00E40BA7">
        <w:trPr>
          <w:trHeight w:val="300"/>
        </w:trPr>
        <w:tc>
          <w:tcPr>
            <w:tcW w:w="6238" w:type="dxa"/>
            <w:shd w:val="clear" w:color="auto" w:fill="auto"/>
            <w:vAlign w:val="center"/>
          </w:tcPr>
          <w:p w14:paraId="268999F9" w14:textId="77777777" w:rsidR="00B545F4" w:rsidRPr="00E40BA7" w:rsidRDefault="00B545F4" w:rsidP="001F4EA7">
            <w:pPr>
              <w:pStyle w:val="ListParagraph"/>
              <w:spacing w:after="0" w:line="240" w:lineRule="auto"/>
              <w:ind w:left="0"/>
              <w:contextualSpacing w:val="0"/>
              <w:rPr>
                <w:rFonts w:ascii="Arial" w:eastAsia="Times New Roman" w:hAnsi="Arial" w:cs="Arial"/>
                <w:b/>
                <w:sz w:val="24"/>
                <w:szCs w:val="24"/>
              </w:rPr>
            </w:pPr>
            <w:r w:rsidRPr="00E40BA7">
              <w:rPr>
                <w:rFonts w:ascii="Arial" w:eastAsia="Times New Roman" w:hAnsi="Arial" w:cs="Arial"/>
                <w:b/>
                <w:sz w:val="24"/>
                <w:szCs w:val="24"/>
              </w:rPr>
              <w:t>Total Gross External Debt</w:t>
            </w:r>
          </w:p>
        </w:tc>
        <w:tc>
          <w:tcPr>
            <w:tcW w:w="1418" w:type="dxa"/>
            <w:shd w:val="clear" w:color="auto" w:fill="auto"/>
            <w:vAlign w:val="center"/>
          </w:tcPr>
          <w:p w14:paraId="07E4BD80" w14:textId="729D6B30" w:rsidR="00B545F4" w:rsidRPr="00F3258E" w:rsidRDefault="002C0BDA" w:rsidP="00E40BA7">
            <w:pPr>
              <w:pStyle w:val="ListParagraph"/>
              <w:spacing w:after="0" w:line="240" w:lineRule="auto"/>
              <w:ind w:left="0"/>
              <w:contextualSpacing w:val="0"/>
              <w:jc w:val="right"/>
              <w:rPr>
                <w:rFonts w:ascii="Arial" w:eastAsia="Times New Roman" w:hAnsi="Arial" w:cs="Arial"/>
                <w:b/>
                <w:sz w:val="24"/>
                <w:szCs w:val="24"/>
              </w:rPr>
            </w:pPr>
            <w:r w:rsidRPr="00F3258E">
              <w:rPr>
                <w:rFonts w:ascii="Arial" w:eastAsia="Times New Roman" w:hAnsi="Arial" w:cs="Arial"/>
                <w:b/>
                <w:sz w:val="24"/>
                <w:szCs w:val="24"/>
              </w:rPr>
              <w:t>(3</w:t>
            </w:r>
            <w:r w:rsidR="00F3258E" w:rsidRPr="00F3258E">
              <w:rPr>
                <w:rFonts w:ascii="Arial" w:eastAsia="Times New Roman" w:hAnsi="Arial" w:cs="Arial"/>
                <w:b/>
                <w:sz w:val="24"/>
                <w:szCs w:val="24"/>
              </w:rPr>
              <w:t>0.7</w:t>
            </w:r>
            <w:r w:rsidR="002B5251" w:rsidRPr="00F3258E">
              <w:rPr>
                <w:rFonts w:ascii="Arial" w:eastAsia="Times New Roman" w:hAnsi="Arial" w:cs="Arial"/>
                <w:b/>
                <w:sz w:val="24"/>
                <w:szCs w:val="24"/>
              </w:rPr>
              <w:t>)</w:t>
            </w:r>
          </w:p>
        </w:tc>
        <w:tc>
          <w:tcPr>
            <w:tcW w:w="1417" w:type="dxa"/>
            <w:shd w:val="clear" w:color="auto" w:fill="auto"/>
            <w:vAlign w:val="center"/>
          </w:tcPr>
          <w:p w14:paraId="6D469B62" w14:textId="6580BF96" w:rsidR="00B545F4" w:rsidRPr="00F3258E" w:rsidRDefault="00E014FB" w:rsidP="006A546E">
            <w:pPr>
              <w:pStyle w:val="ListParagraph"/>
              <w:spacing w:after="0" w:line="240" w:lineRule="auto"/>
              <w:ind w:left="0"/>
              <w:contextualSpacing w:val="0"/>
              <w:jc w:val="right"/>
              <w:rPr>
                <w:rFonts w:ascii="Arial" w:eastAsia="Times New Roman" w:hAnsi="Arial" w:cs="Arial"/>
                <w:b/>
                <w:sz w:val="24"/>
                <w:szCs w:val="24"/>
              </w:rPr>
            </w:pPr>
            <w:r w:rsidRPr="00F3258E">
              <w:rPr>
                <w:rFonts w:ascii="Arial" w:eastAsia="Times New Roman" w:hAnsi="Arial" w:cs="Arial"/>
                <w:b/>
                <w:sz w:val="24"/>
                <w:szCs w:val="24"/>
              </w:rPr>
              <w:t>(4</w:t>
            </w:r>
            <w:r w:rsidR="00E40BA7" w:rsidRPr="00F3258E">
              <w:rPr>
                <w:rFonts w:ascii="Arial" w:eastAsia="Times New Roman" w:hAnsi="Arial" w:cs="Arial"/>
                <w:b/>
                <w:sz w:val="24"/>
                <w:szCs w:val="24"/>
              </w:rPr>
              <w:t>.2</w:t>
            </w:r>
            <w:r w:rsidR="00F3258E" w:rsidRPr="00F3258E">
              <w:rPr>
                <w:rFonts w:ascii="Arial" w:eastAsia="Times New Roman" w:hAnsi="Arial" w:cs="Arial"/>
                <w:b/>
                <w:sz w:val="24"/>
                <w:szCs w:val="24"/>
              </w:rPr>
              <w:t>4</w:t>
            </w:r>
            <w:r w:rsidR="002B5251" w:rsidRPr="00F3258E">
              <w:rPr>
                <w:rFonts w:ascii="Arial" w:eastAsia="Times New Roman" w:hAnsi="Arial" w:cs="Arial"/>
                <w:b/>
                <w:sz w:val="24"/>
                <w:szCs w:val="24"/>
              </w:rPr>
              <w:t>)</w:t>
            </w:r>
          </w:p>
        </w:tc>
      </w:tr>
      <w:tr w:rsidR="00B545F4" w:rsidRPr="00E40BA7" w14:paraId="386DC32A" w14:textId="77777777" w:rsidTr="00E40BA7">
        <w:trPr>
          <w:trHeight w:val="300"/>
        </w:trPr>
        <w:tc>
          <w:tcPr>
            <w:tcW w:w="6238" w:type="dxa"/>
            <w:shd w:val="clear" w:color="auto" w:fill="auto"/>
            <w:vAlign w:val="center"/>
          </w:tcPr>
          <w:p w14:paraId="1F94D34C" w14:textId="77777777" w:rsidR="00B545F4" w:rsidRPr="00E40BA7" w:rsidRDefault="00B545F4" w:rsidP="00813548">
            <w:pPr>
              <w:pStyle w:val="ListParagraph"/>
              <w:spacing w:after="0" w:line="240" w:lineRule="auto"/>
              <w:ind w:left="0"/>
              <w:contextualSpacing w:val="0"/>
              <w:rPr>
                <w:rFonts w:ascii="Arial" w:eastAsia="Times New Roman" w:hAnsi="Arial" w:cs="Arial"/>
                <w:sz w:val="24"/>
                <w:szCs w:val="24"/>
              </w:rPr>
            </w:pPr>
          </w:p>
        </w:tc>
        <w:tc>
          <w:tcPr>
            <w:tcW w:w="1418" w:type="dxa"/>
            <w:shd w:val="clear" w:color="auto" w:fill="auto"/>
            <w:vAlign w:val="center"/>
          </w:tcPr>
          <w:p w14:paraId="2B7ABEC3" w14:textId="77777777" w:rsidR="00B545F4" w:rsidRPr="00F3258E" w:rsidRDefault="00B545F4" w:rsidP="00813548">
            <w:pPr>
              <w:pStyle w:val="ListParagraph"/>
              <w:spacing w:after="0" w:line="240" w:lineRule="auto"/>
              <w:ind w:left="0"/>
              <w:contextualSpacing w:val="0"/>
              <w:jc w:val="right"/>
              <w:rPr>
                <w:rFonts w:ascii="Arial" w:eastAsia="Times New Roman" w:hAnsi="Arial" w:cs="Arial"/>
                <w:sz w:val="24"/>
                <w:szCs w:val="24"/>
              </w:rPr>
            </w:pPr>
          </w:p>
        </w:tc>
        <w:tc>
          <w:tcPr>
            <w:tcW w:w="1417" w:type="dxa"/>
            <w:shd w:val="clear" w:color="auto" w:fill="auto"/>
            <w:vAlign w:val="center"/>
          </w:tcPr>
          <w:p w14:paraId="1EF50281" w14:textId="77777777" w:rsidR="00B545F4" w:rsidRPr="00F3258E" w:rsidRDefault="00B545F4" w:rsidP="00813548">
            <w:pPr>
              <w:pStyle w:val="ListParagraph"/>
              <w:spacing w:after="0" w:line="240" w:lineRule="auto"/>
              <w:ind w:left="0"/>
              <w:contextualSpacing w:val="0"/>
              <w:jc w:val="right"/>
              <w:rPr>
                <w:rFonts w:ascii="Arial" w:eastAsia="Times New Roman" w:hAnsi="Arial" w:cs="Arial"/>
                <w:sz w:val="24"/>
                <w:szCs w:val="24"/>
              </w:rPr>
            </w:pPr>
          </w:p>
        </w:tc>
      </w:tr>
      <w:tr w:rsidR="00B545F4" w:rsidRPr="00E40BA7" w14:paraId="426A39C9" w14:textId="77777777" w:rsidTr="00E40BA7">
        <w:trPr>
          <w:trHeight w:val="300"/>
        </w:trPr>
        <w:tc>
          <w:tcPr>
            <w:tcW w:w="6238" w:type="dxa"/>
            <w:shd w:val="clear" w:color="auto" w:fill="auto"/>
            <w:vAlign w:val="center"/>
          </w:tcPr>
          <w:p w14:paraId="65E4F3DA" w14:textId="77777777" w:rsidR="00B545F4" w:rsidRPr="00E40BA7" w:rsidRDefault="00B545F4" w:rsidP="00813548">
            <w:pPr>
              <w:pStyle w:val="ListParagraph"/>
              <w:spacing w:after="0" w:line="240" w:lineRule="auto"/>
              <w:ind w:left="0"/>
              <w:contextualSpacing w:val="0"/>
              <w:rPr>
                <w:rFonts w:ascii="Arial" w:eastAsia="Times New Roman" w:hAnsi="Arial" w:cs="Arial"/>
                <w:b/>
                <w:sz w:val="24"/>
                <w:szCs w:val="24"/>
              </w:rPr>
            </w:pPr>
            <w:r w:rsidRPr="00E40BA7">
              <w:rPr>
                <w:rFonts w:ascii="Arial" w:eastAsia="Times New Roman" w:hAnsi="Arial" w:cs="Arial"/>
                <w:b/>
                <w:sz w:val="24"/>
                <w:szCs w:val="24"/>
              </w:rPr>
              <w:t>Investments</w:t>
            </w:r>
          </w:p>
        </w:tc>
        <w:tc>
          <w:tcPr>
            <w:tcW w:w="1418" w:type="dxa"/>
            <w:shd w:val="clear" w:color="auto" w:fill="auto"/>
            <w:vAlign w:val="center"/>
          </w:tcPr>
          <w:p w14:paraId="1B6BEAFB" w14:textId="6C6FCD9D" w:rsidR="00B545F4" w:rsidRPr="00F3258E" w:rsidRDefault="00F3258E" w:rsidP="00813548">
            <w:pPr>
              <w:pStyle w:val="ListParagraph"/>
              <w:spacing w:after="0" w:line="240" w:lineRule="auto"/>
              <w:ind w:left="0"/>
              <w:contextualSpacing w:val="0"/>
              <w:jc w:val="right"/>
              <w:rPr>
                <w:rFonts w:ascii="Arial" w:eastAsia="Times New Roman" w:hAnsi="Arial" w:cs="Arial"/>
                <w:b/>
                <w:sz w:val="24"/>
                <w:szCs w:val="24"/>
              </w:rPr>
            </w:pPr>
            <w:r w:rsidRPr="00F3258E">
              <w:rPr>
                <w:rFonts w:ascii="Arial" w:eastAsia="Times New Roman" w:hAnsi="Arial" w:cs="Arial"/>
                <w:b/>
                <w:sz w:val="24"/>
                <w:szCs w:val="24"/>
              </w:rPr>
              <w:t>61.6</w:t>
            </w:r>
          </w:p>
        </w:tc>
        <w:tc>
          <w:tcPr>
            <w:tcW w:w="1417" w:type="dxa"/>
            <w:shd w:val="clear" w:color="auto" w:fill="auto"/>
            <w:vAlign w:val="center"/>
          </w:tcPr>
          <w:p w14:paraId="16227188" w14:textId="001F289B" w:rsidR="00B545F4" w:rsidRPr="00F3258E" w:rsidRDefault="00E40BA7" w:rsidP="00813548">
            <w:pPr>
              <w:pStyle w:val="ListParagraph"/>
              <w:spacing w:after="0" w:line="240" w:lineRule="auto"/>
              <w:ind w:left="0"/>
              <w:contextualSpacing w:val="0"/>
              <w:jc w:val="right"/>
              <w:rPr>
                <w:rFonts w:ascii="Arial" w:eastAsia="Times New Roman" w:hAnsi="Arial" w:cs="Arial"/>
                <w:b/>
                <w:sz w:val="24"/>
                <w:szCs w:val="24"/>
              </w:rPr>
            </w:pPr>
            <w:r w:rsidRPr="00F3258E">
              <w:rPr>
                <w:rFonts w:ascii="Arial" w:eastAsia="Times New Roman" w:hAnsi="Arial" w:cs="Arial"/>
                <w:b/>
                <w:sz w:val="24"/>
                <w:szCs w:val="24"/>
              </w:rPr>
              <w:t>1.1</w:t>
            </w:r>
            <w:r w:rsidR="00F3258E" w:rsidRPr="00F3258E">
              <w:rPr>
                <w:rFonts w:ascii="Arial" w:eastAsia="Times New Roman" w:hAnsi="Arial" w:cs="Arial"/>
                <w:b/>
                <w:sz w:val="24"/>
                <w:szCs w:val="24"/>
              </w:rPr>
              <w:t>5</w:t>
            </w:r>
          </w:p>
        </w:tc>
      </w:tr>
      <w:tr w:rsidR="00B545F4" w:rsidRPr="00E40BA7" w14:paraId="2C485361" w14:textId="77777777" w:rsidTr="00E40BA7">
        <w:trPr>
          <w:trHeight w:val="300"/>
        </w:trPr>
        <w:tc>
          <w:tcPr>
            <w:tcW w:w="6238" w:type="dxa"/>
            <w:shd w:val="clear" w:color="auto" w:fill="auto"/>
            <w:vAlign w:val="center"/>
          </w:tcPr>
          <w:p w14:paraId="0037A386" w14:textId="77777777" w:rsidR="00B545F4" w:rsidRPr="00E40BA7" w:rsidRDefault="00B545F4" w:rsidP="00813548">
            <w:pPr>
              <w:pStyle w:val="ListParagraph"/>
              <w:spacing w:after="0" w:line="240" w:lineRule="auto"/>
              <w:ind w:left="0"/>
              <w:contextualSpacing w:val="0"/>
              <w:rPr>
                <w:rFonts w:ascii="Arial" w:eastAsia="Times New Roman" w:hAnsi="Arial" w:cs="Arial"/>
                <w:sz w:val="24"/>
                <w:szCs w:val="24"/>
              </w:rPr>
            </w:pPr>
          </w:p>
        </w:tc>
        <w:tc>
          <w:tcPr>
            <w:tcW w:w="1418" w:type="dxa"/>
            <w:shd w:val="clear" w:color="auto" w:fill="auto"/>
            <w:vAlign w:val="center"/>
          </w:tcPr>
          <w:p w14:paraId="7188F470" w14:textId="77777777" w:rsidR="00B545F4" w:rsidRPr="00F82767" w:rsidRDefault="00B545F4" w:rsidP="00813548">
            <w:pPr>
              <w:pStyle w:val="ListParagraph"/>
              <w:spacing w:after="0" w:line="240" w:lineRule="auto"/>
              <w:ind w:left="0"/>
              <w:contextualSpacing w:val="0"/>
              <w:jc w:val="right"/>
              <w:rPr>
                <w:rFonts w:ascii="Arial" w:eastAsia="Times New Roman" w:hAnsi="Arial" w:cs="Arial"/>
                <w:sz w:val="24"/>
                <w:szCs w:val="24"/>
                <w:highlight w:val="yellow"/>
              </w:rPr>
            </w:pPr>
          </w:p>
        </w:tc>
        <w:tc>
          <w:tcPr>
            <w:tcW w:w="1417" w:type="dxa"/>
            <w:shd w:val="clear" w:color="auto" w:fill="auto"/>
            <w:vAlign w:val="center"/>
          </w:tcPr>
          <w:p w14:paraId="2E1665B3" w14:textId="77777777" w:rsidR="00B545F4" w:rsidRPr="00F82767" w:rsidRDefault="00B545F4" w:rsidP="00813548">
            <w:pPr>
              <w:pStyle w:val="ListParagraph"/>
              <w:spacing w:after="0" w:line="240" w:lineRule="auto"/>
              <w:ind w:left="0"/>
              <w:contextualSpacing w:val="0"/>
              <w:jc w:val="right"/>
              <w:rPr>
                <w:rFonts w:ascii="Arial" w:eastAsia="Times New Roman" w:hAnsi="Arial" w:cs="Arial"/>
                <w:sz w:val="24"/>
                <w:szCs w:val="24"/>
                <w:highlight w:val="yellow"/>
              </w:rPr>
            </w:pPr>
          </w:p>
        </w:tc>
      </w:tr>
      <w:tr w:rsidR="003C5715" w:rsidRPr="00E40BA7" w14:paraId="3FFA5B27" w14:textId="77777777" w:rsidTr="008842B4">
        <w:trPr>
          <w:trHeight w:val="300"/>
        </w:trPr>
        <w:tc>
          <w:tcPr>
            <w:tcW w:w="6238" w:type="dxa"/>
            <w:shd w:val="clear" w:color="auto" w:fill="auto"/>
            <w:vAlign w:val="center"/>
          </w:tcPr>
          <w:p w14:paraId="6DB3716C" w14:textId="77777777" w:rsidR="00B545F4" w:rsidRPr="00E40BA7" w:rsidRDefault="00B545F4" w:rsidP="00813548">
            <w:pPr>
              <w:pStyle w:val="ListParagraph"/>
              <w:spacing w:after="0" w:line="240" w:lineRule="auto"/>
              <w:ind w:left="0"/>
              <w:contextualSpacing w:val="0"/>
              <w:rPr>
                <w:rFonts w:ascii="Arial" w:eastAsia="Times New Roman" w:hAnsi="Arial" w:cs="Arial"/>
                <w:b/>
                <w:sz w:val="24"/>
                <w:szCs w:val="24"/>
              </w:rPr>
            </w:pPr>
            <w:r w:rsidRPr="00E40BA7">
              <w:rPr>
                <w:rFonts w:ascii="Arial" w:eastAsia="Times New Roman" w:hAnsi="Arial" w:cs="Arial"/>
                <w:b/>
                <w:sz w:val="24"/>
                <w:szCs w:val="24"/>
              </w:rPr>
              <w:t>Net (Debt) / Investments</w:t>
            </w:r>
          </w:p>
        </w:tc>
        <w:tc>
          <w:tcPr>
            <w:tcW w:w="1418" w:type="dxa"/>
            <w:shd w:val="clear" w:color="auto" w:fill="auto"/>
            <w:vAlign w:val="center"/>
          </w:tcPr>
          <w:p w14:paraId="18133D7D" w14:textId="49D50F92" w:rsidR="00B545F4" w:rsidRPr="00F82767" w:rsidRDefault="00F3258E" w:rsidP="006A546E">
            <w:pPr>
              <w:pStyle w:val="ListParagraph"/>
              <w:spacing w:after="0" w:line="240" w:lineRule="auto"/>
              <w:ind w:left="0"/>
              <w:contextualSpacing w:val="0"/>
              <w:jc w:val="right"/>
              <w:rPr>
                <w:rFonts w:ascii="Arial" w:eastAsia="Times New Roman" w:hAnsi="Arial" w:cs="Arial"/>
                <w:b/>
                <w:sz w:val="24"/>
                <w:szCs w:val="24"/>
                <w:highlight w:val="yellow"/>
              </w:rPr>
            </w:pPr>
            <w:r w:rsidRPr="00F3258E">
              <w:rPr>
                <w:rFonts w:ascii="Arial" w:eastAsia="Times New Roman" w:hAnsi="Arial" w:cs="Arial"/>
                <w:b/>
                <w:sz w:val="24"/>
                <w:szCs w:val="24"/>
              </w:rPr>
              <w:t>30.9</w:t>
            </w:r>
          </w:p>
        </w:tc>
        <w:tc>
          <w:tcPr>
            <w:tcW w:w="1417" w:type="dxa"/>
            <w:shd w:val="clear" w:color="auto" w:fill="D9D9D9"/>
            <w:vAlign w:val="center"/>
          </w:tcPr>
          <w:p w14:paraId="352AA4A0" w14:textId="77777777" w:rsidR="00B545F4" w:rsidRPr="00F82767" w:rsidRDefault="00B545F4" w:rsidP="006A546E">
            <w:pPr>
              <w:pStyle w:val="ListParagraph"/>
              <w:spacing w:after="0" w:line="240" w:lineRule="auto"/>
              <w:ind w:left="0"/>
              <w:contextualSpacing w:val="0"/>
              <w:jc w:val="right"/>
              <w:rPr>
                <w:rFonts w:ascii="Arial" w:eastAsia="Times New Roman" w:hAnsi="Arial" w:cs="Arial"/>
                <w:b/>
                <w:sz w:val="24"/>
                <w:szCs w:val="24"/>
                <w:highlight w:val="yellow"/>
              </w:rPr>
            </w:pPr>
          </w:p>
        </w:tc>
      </w:tr>
      <w:bookmarkEnd w:id="0"/>
      <w:bookmarkEnd w:id="1"/>
      <w:bookmarkEnd w:id="2"/>
    </w:tbl>
    <w:p w14:paraId="0287B685" w14:textId="77777777" w:rsidR="00507DAF" w:rsidRPr="00DB2D78" w:rsidRDefault="00507DAF" w:rsidP="00BC61B4">
      <w:pPr>
        <w:pStyle w:val="ListParagraph"/>
        <w:spacing w:after="240" w:line="240" w:lineRule="auto"/>
        <w:ind w:left="0"/>
        <w:contextualSpacing w:val="0"/>
        <w:rPr>
          <w:rFonts w:ascii="Arial" w:hAnsi="Arial" w:cs="Arial"/>
          <w:sz w:val="24"/>
          <w:szCs w:val="24"/>
        </w:rPr>
      </w:pPr>
    </w:p>
    <w:sectPr w:rsidR="00507DAF" w:rsidRPr="00DB2D78" w:rsidSect="00DB2D78">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74DB" w14:textId="77777777" w:rsidR="00F0645C" w:rsidRDefault="00F0645C" w:rsidP="000445E6">
      <w:pPr>
        <w:spacing w:after="0" w:line="240" w:lineRule="auto"/>
      </w:pPr>
      <w:r>
        <w:separator/>
      </w:r>
    </w:p>
  </w:endnote>
  <w:endnote w:type="continuationSeparator" w:id="0">
    <w:p w14:paraId="5E1F1CFC" w14:textId="77777777" w:rsidR="00F0645C" w:rsidRDefault="00F0645C" w:rsidP="000445E6">
      <w:pPr>
        <w:spacing w:after="0" w:line="240" w:lineRule="auto"/>
      </w:pPr>
      <w:r>
        <w:continuationSeparator/>
      </w:r>
    </w:p>
  </w:endnote>
  <w:endnote w:type="continuationNotice" w:id="1">
    <w:p w14:paraId="45B700AA" w14:textId="77777777" w:rsidR="00F0645C" w:rsidRDefault="00F06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7FA1E" w14:textId="77777777" w:rsidR="00F0645C" w:rsidRDefault="00F0645C" w:rsidP="000445E6">
      <w:pPr>
        <w:spacing w:after="0" w:line="240" w:lineRule="auto"/>
      </w:pPr>
      <w:r>
        <w:separator/>
      </w:r>
    </w:p>
  </w:footnote>
  <w:footnote w:type="continuationSeparator" w:id="0">
    <w:p w14:paraId="322DE4C8" w14:textId="77777777" w:rsidR="00F0645C" w:rsidRDefault="00F0645C" w:rsidP="000445E6">
      <w:pPr>
        <w:spacing w:after="0" w:line="240" w:lineRule="auto"/>
      </w:pPr>
      <w:r>
        <w:continuationSeparator/>
      </w:r>
    </w:p>
  </w:footnote>
  <w:footnote w:type="continuationNotice" w:id="1">
    <w:p w14:paraId="367B7BBA" w14:textId="77777777" w:rsidR="00F0645C" w:rsidRDefault="00F064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A4D76" w14:textId="77777777" w:rsidR="00DB4E7A" w:rsidRDefault="00F0645C" w:rsidP="00DB2D78">
    <w:pPr>
      <w:pStyle w:val="Header"/>
      <w:ind w:left="360"/>
      <w:jc w:val="right"/>
      <w:rPr>
        <w:rFonts w:ascii="Arial" w:hAnsi="Arial" w:cs="Arial"/>
      </w:rPr>
    </w:pPr>
    <w:r>
      <w:rPr>
        <w:rFonts w:ascii="Arial" w:hAnsi="Arial" w:cs="Arial"/>
      </w:rPr>
      <w:pict w14:anchorId="75646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2pt;height:60pt">
          <v:imagedata r:id="rId1" o:title="PCC_logo"/>
        </v:shape>
      </w:pict>
    </w:r>
  </w:p>
  <w:p w14:paraId="2F1AB46F" w14:textId="77777777" w:rsidR="00DB4E7A" w:rsidRDefault="00DB4E7A" w:rsidP="00DB2D78">
    <w:pPr>
      <w:pStyle w:val="Header"/>
      <w:ind w:left="360"/>
      <w:jc w:val="center"/>
      <w:rPr>
        <w:rFonts w:ascii="Arial" w:eastAsia="Times New Roman" w:hAnsi="Arial" w:cs="Arial"/>
        <w:sz w:val="24"/>
        <w:szCs w:val="24"/>
        <w:lang w:val="en-GB"/>
      </w:rPr>
    </w:pPr>
    <w:r>
      <w:rPr>
        <w:rFonts w:ascii="Arial" w:hAnsi="Arial" w:cs="Arial"/>
      </w:rPr>
      <w:t xml:space="preserve">- </w:t>
    </w:r>
    <w:r w:rsidRPr="00DB2D78">
      <w:rPr>
        <w:rFonts w:ascii="Arial" w:eastAsia="Times New Roman" w:hAnsi="Arial" w:cs="Arial"/>
        <w:sz w:val="24"/>
        <w:szCs w:val="24"/>
        <w:lang w:val="en-GB"/>
      </w:rPr>
      <w:t xml:space="preserve">NOT PROTECTIVELY MARKED/PROTECT/RESTRICTED </w:t>
    </w:r>
    <w:r>
      <w:rPr>
        <w:rFonts w:ascii="Arial" w:eastAsia="Times New Roman" w:hAnsi="Arial" w:cs="Arial"/>
        <w:sz w:val="24"/>
        <w:szCs w:val="24"/>
        <w:lang w:val="en-GB"/>
      </w:rPr>
      <w:t>–</w:t>
    </w:r>
  </w:p>
  <w:p w14:paraId="2E88E542" w14:textId="6392712F" w:rsidR="00DB4E7A" w:rsidRPr="00BC61B4" w:rsidRDefault="00DB4E7A" w:rsidP="00DB2D78">
    <w:pPr>
      <w:pStyle w:val="Header"/>
      <w:ind w:left="360"/>
      <w:jc w:val="center"/>
      <w:rPr>
        <w:rFonts w:ascii="Arial" w:hAnsi="Arial" w:cs="Arial"/>
        <w:b/>
        <w:lang w:val="en-GB"/>
      </w:rPr>
    </w:pPr>
    <w:r>
      <w:rPr>
        <w:rFonts w:ascii="Arial" w:eastAsia="Times New Roman" w:hAnsi="Arial" w:cs="Arial"/>
        <w:sz w:val="24"/>
        <w:szCs w:val="24"/>
        <w:lang w:val="en-GB"/>
      </w:rPr>
      <w:tab/>
    </w:r>
    <w:r>
      <w:rPr>
        <w:rFonts w:ascii="Arial" w:eastAsia="Times New Roman" w:hAnsi="Arial" w:cs="Arial"/>
        <w:sz w:val="24"/>
        <w:szCs w:val="2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5B06A" w14:textId="77777777" w:rsidR="00DB4E7A" w:rsidRDefault="00F0645C" w:rsidP="00DB2D78">
    <w:pPr>
      <w:pStyle w:val="Header"/>
      <w:ind w:left="360"/>
      <w:jc w:val="right"/>
      <w:rPr>
        <w:rFonts w:ascii="Arial" w:hAnsi="Arial" w:cs="Arial"/>
      </w:rPr>
    </w:pPr>
    <w:r>
      <w:rPr>
        <w:rFonts w:ascii="Arial" w:hAnsi="Arial" w:cs="Arial"/>
      </w:rPr>
      <w:pict w14:anchorId="28BED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2pt;height:60pt">
          <v:imagedata r:id="rId1" o:title="PCC_logo"/>
        </v:shape>
      </w:pict>
    </w:r>
  </w:p>
  <w:p w14:paraId="48DDBA35" w14:textId="77777777" w:rsidR="00534F29" w:rsidRDefault="00DB4E7A" w:rsidP="00534F29">
    <w:pPr>
      <w:pStyle w:val="Header"/>
      <w:ind w:left="360"/>
      <w:jc w:val="center"/>
      <w:rPr>
        <w:rFonts w:ascii="Arial" w:eastAsia="Times New Roman" w:hAnsi="Arial" w:cs="Arial"/>
        <w:sz w:val="24"/>
        <w:szCs w:val="24"/>
        <w:lang w:val="en-GB"/>
      </w:rPr>
    </w:pPr>
    <w:r>
      <w:rPr>
        <w:rFonts w:ascii="Arial" w:hAnsi="Arial" w:cs="Arial"/>
      </w:rPr>
      <w:t xml:space="preserve">- </w:t>
    </w:r>
    <w:r w:rsidRPr="00DB2D78">
      <w:rPr>
        <w:rFonts w:ascii="Arial" w:eastAsia="Times New Roman" w:hAnsi="Arial" w:cs="Arial"/>
        <w:sz w:val="24"/>
        <w:szCs w:val="24"/>
        <w:lang w:val="en-GB"/>
      </w:rPr>
      <w:t>NOT PROTECTIVELY MARKED/PROTECT/</w:t>
    </w:r>
    <w:r w:rsidR="00534F29" w:rsidRPr="00534F29">
      <w:rPr>
        <w:rFonts w:ascii="Arial" w:eastAsia="Times New Roman" w:hAnsi="Arial" w:cs="Arial"/>
        <w:sz w:val="24"/>
        <w:szCs w:val="24"/>
        <w:lang w:val="en-GB"/>
      </w:rPr>
      <w:t xml:space="preserve"> </w:t>
    </w:r>
    <w:r w:rsidR="00534F29" w:rsidRPr="00DB2D78">
      <w:rPr>
        <w:rFonts w:ascii="Arial" w:eastAsia="Times New Roman" w:hAnsi="Arial" w:cs="Arial"/>
        <w:sz w:val="24"/>
        <w:szCs w:val="24"/>
        <w:lang w:val="en-GB"/>
      </w:rPr>
      <w:t xml:space="preserve">RESTRICTED </w:t>
    </w:r>
    <w:r w:rsidR="00534F29">
      <w:rPr>
        <w:rFonts w:ascii="Arial" w:eastAsia="Times New Roman" w:hAnsi="Arial" w:cs="Arial"/>
        <w:sz w:val="24"/>
        <w:szCs w:val="24"/>
        <w:lang w:val="en-GB"/>
      </w:rPr>
      <w:t>–</w:t>
    </w:r>
  </w:p>
  <w:p w14:paraId="7D3D6C13" w14:textId="77777777" w:rsidR="00534F29" w:rsidRPr="00BC61B4" w:rsidRDefault="00534F29" w:rsidP="00534F29">
    <w:pPr>
      <w:pStyle w:val="Header"/>
      <w:ind w:left="360"/>
      <w:jc w:val="center"/>
      <w:rPr>
        <w:rFonts w:ascii="Arial" w:hAnsi="Arial" w:cs="Arial"/>
        <w:b/>
        <w:lang w:val="en-GB"/>
      </w:rPr>
    </w:pPr>
    <w:r>
      <w:rPr>
        <w:rFonts w:ascii="Arial" w:eastAsia="Times New Roman" w:hAnsi="Arial" w:cs="Arial"/>
        <w:sz w:val="24"/>
        <w:szCs w:val="24"/>
        <w:lang w:val="en-GB"/>
      </w:rPr>
      <w:tab/>
    </w:r>
    <w:r>
      <w:rPr>
        <w:rFonts w:ascii="Arial" w:eastAsia="Times New Roman" w:hAnsi="Arial" w:cs="Arial"/>
        <w:sz w:val="24"/>
        <w:szCs w:val="24"/>
        <w:lang w:val="en-GB"/>
      </w:rPr>
      <w:tab/>
    </w:r>
    <w:r w:rsidRPr="00BC61B4">
      <w:rPr>
        <w:rFonts w:ascii="Arial" w:eastAsia="Times New Roman" w:hAnsi="Arial" w:cs="Arial"/>
        <w:b/>
        <w:sz w:val="24"/>
        <w:szCs w:val="24"/>
        <w:lang w:val="en-GB"/>
      </w:rPr>
      <w:t xml:space="preserve">Appendix </w:t>
    </w:r>
    <w:r>
      <w:rPr>
        <w:rFonts w:ascii="Arial" w:eastAsia="Times New Roman" w:hAnsi="Arial" w:cs="Arial"/>
        <w:b/>
        <w:sz w:val="24"/>
        <w:szCs w:val="24"/>
        <w:lang w:val="en-GB"/>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310"/>
    <w:multiLevelType w:val="hybridMultilevel"/>
    <w:tmpl w:val="FC2E3756"/>
    <w:lvl w:ilvl="0" w:tplc="340C0056">
      <w:start w:val="1"/>
      <w:numFmt w:val="bullet"/>
      <w:lvlText w:val=""/>
      <w:lvlJc w:val="left"/>
      <w:pPr>
        <w:tabs>
          <w:tab w:val="num" w:pos="720"/>
        </w:tabs>
        <w:ind w:left="720" w:hanging="360"/>
      </w:pPr>
      <w:rPr>
        <w:rFonts w:ascii="Wingdings" w:hAnsi="Wingdings" w:hint="default"/>
      </w:rPr>
    </w:lvl>
    <w:lvl w:ilvl="1" w:tplc="4E68856E" w:tentative="1">
      <w:start w:val="1"/>
      <w:numFmt w:val="bullet"/>
      <w:lvlText w:val=""/>
      <w:lvlJc w:val="left"/>
      <w:pPr>
        <w:tabs>
          <w:tab w:val="num" w:pos="1440"/>
        </w:tabs>
        <w:ind w:left="1440" w:hanging="360"/>
      </w:pPr>
      <w:rPr>
        <w:rFonts w:ascii="Wingdings" w:hAnsi="Wingdings" w:hint="default"/>
      </w:rPr>
    </w:lvl>
    <w:lvl w:ilvl="2" w:tplc="4920B3A6" w:tentative="1">
      <w:start w:val="1"/>
      <w:numFmt w:val="bullet"/>
      <w:lvlText w:val=""/>
      <w:lvlJc w:val="left"/>
      <w:pPr>
        <w:tabs>
          <w:tab w:val="num" w:pos="2160"/>
        </w:tabs>
        <w:ind w:left="2160" w:hanging="360"/>
      </w:pPr>
      <w:rPr>
        <w:rFonts w:ascii="Wingdings" w:hAnsi="Wingdings" w:hint="default"/>
      </w:rPr>
    </w:lvl>
    <w:lvl w:ilvl="3" w:tplc="73CE2E1C" w:tentative="1">
      <w:start w:val="1"/>
      <w:numFmt w:val="bullet"/>
      <w:lvlText w:val=""/>
      <w:lvlJc w:val="left"/>
      <w:pPr>
        <w:tabs>
          <w:tab w:val="num" w:pos="2880"/>
        </w:tabs>
        <w:ind w:left="2880" w:hanging="360"/>
      </w:pPr>
      <w:rPr>
        <w:rFonts w:ascii="Wingdings" w:hAnsi="Wingdings" w:hint="default"/>
      </w:rPr>
    </w:lvl>
    <w:lvl w:ilvl="4" w:tplc="699E30B6" w:tentative="1">
      <w:start w:val="1"/>
      <w:numFmt w:val="bullet"/>
      <w:lvlText w:val=""/>
      <w:lvlJc w:val="left"/>
      <w:pPr>
        <w:tabs>
          <w:tab w:val="num" w:pos="3600"/>
        </w:tabs>
        <w:ind w:left="3600" w:hanging="360"/>
      </w:pPr>
      <w:rPr>
        <w:rFonts w:ascii="Wingdings" w:hAnsi="Wingdings" w:hint="default"/>
      </w:rPr>
    </w:lvl>
    <w:lvl w:ilvl="5" w:tplc="35D2200C" w:tentative="1">
      <w:start w:val="1"/>
      <w:numFmt w:val="bullet"/>
      <w:lvlText w:val=""/>
      <w:lvlJc w:val="left"/>
      <w:pPr>
        <w:tabs>
          <w:tab w:val="num" w:pos="4320"/>
        </w:tabs>
        <w:ind w:left="4320" w:hanging="360"/>
      </w:pPr>
      <w:rPr>
        <w:rFonts w:ascii="Wingdings" w:hAnsi="Wingdings" w:hint="default"/>
      </w:rPr>
    </w:lvl>
    <w:lvl w:ilvl="6" w:tplc="C2666DCC" w:tentative="1">
      <w:start w:val="1"/>
      <w:numFmt w:val="bullet"/>
      <w:lvlText w:val=""/>
      <w:lvlJc w:val="left"/>
      <w:pPr>
        <w:tabs>
          <w:tab w:val="num" w:pos="5040"/>
        </w:tabs>
        <w:ind w:left="5040" w:hanging="360"/>
      </w:pPr>
      <w:rPr>
        <w:rFonts w:ascii="Wingdings" w:hAnsi="Wingdings" w:hint="default"/>
      </w:rPr>
    </w:lvl>
    <w:lvl w:ilvl="7" w:tplc="CA50E2E8" w:tentative="1">
      <w:start w:val="1"/>
      <w:numFmt w:val="bullet"/>
      <w:lvlText w:val=""/>
      <w:lvlJc w:val="left"/>
      <w:pPr>
        <w:tabs>
          <w:tab w:val="num" w:pos="5760"/>
        </w:tabs>
        <w:ind w:left="5760" w:hanging="360"/>
      </w:pPr>
      <w:rPr>
        <w:rFonts w:ascii="Wingdings" w:hAnsi="Wingdings" w:hint="default"/>
      </w:rPr>
    </w:lvl>
    <w:lvl w:ilvl="8" w:tplc="64DA85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96AAA"/>
    <w:multiLevelType w:val="hybridMultilevel"/>
    <w:tmpl w:val="8AD0B71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9F7312"/>
    <w:multiLevelType w:val="hybridMultilevel"/>
    <w:tmpl w:val="B49C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F77DC"/>
    <w:multiLevelType w:val="hybridMultilevel"/>
    <w:tmpl w:val="E430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A705C"/>
    <w:multiLevelType w:val="multilevel"/>
    <w:tmpl w:val="A8E60998"/>
    <w:lvl w:ilvl="0">
      <w:start w:val="1"/>
      <w:numFmt w:val="decimal"/>
      <w:pStyle w:val="NumberedAnnexParaCharChar"/>
      <w:lvlText w:val="%1."/>
      <w:lvlJc w:val="left"/>
      <w:pPr>
        <w:tabs>
          <w:tab w:val="num" w:pos="1277"/>
        </w:tabs>
        <w:ind w:left="710" w:firstLine="0"/>
      </w:pPr>
      <w:rPr>
        <w:rFonts w:ascii="Arial" w:hAnsi="Arial" w:cs="Times New Roman" w:hint="default"/>
        <w:caps w:val="0"/>
        <w:strike w:val="0"/>
        <w:dstrike w:val="0"/>
        <w:outline w:val="0"/>
        <w:shadow w:val="0"/>
        <w:emboss w:val="0"/>
        <w:imprint w:val="0"/>
        <w:vanish w:val="0"/>
        <w:webHidden w:val="0"/>
        <w:sz w:val="24"/>
        <w:szCs w:val="24"/>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EA700C"/>
    <w:multiLevelType w:val="hybridMultilevel"/>
    <w:tmpl w:val="7472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109C5"/>
    <w:multiLevelType w:val="hybridMultilevel"/>
    <w:tmpl w:val="0F6CEED8"/>
    <w:lvl w:ilvl="0" w:tplc="86CCB77A">
      <w:start w:val="1"/>
      <w:numFmt w:val="bullet"/>
      <w:lvlText w:val=""/>
      <w:lvlJc w:val="left"/>
      <w:pPr>
        <w:tabs>
          <w:tab w:val="num" w:pos="720"/>
        </w:tabs>
        <w:ind w:left="720" w:hanging="360"/>
      </w:pPr>
      <w:rPr>
        <w:rFonts w:ascii="Wingdings" w:hAnsi="Wingdings" w:hint="default"/>
      </w:rPr>
    </w:lvl>
    <w:lvl w:ilvl="1" w:tplc="3A2035AA" w:tentative="1">
      <w:start w:val="1"/>
      <w:numFmt w:val="bullet"/>
      <w:lvlText w:val=""/>
      <w:lvlJc w:val="left"/>
      <w:pPr>
        <w:tabs>
          <w:tab w:val="num" w:pos="1440"/>
        </w:tabs>
        <w:ind w:left="1440" w:hanging="360"/>
      </w:pPr>
      <w:rPr>
        <w:rFonts w:ascii="Wingdings" w:hAnsi="Wingdings" w:hint="default"/>
      </w:rPr>
    </w:lvl>
    <w:lvl w:ilvl="2" w:tplc="3FF64B9A" w:tentative="1">
      <w:start w:val="1"/>
      <w:numFmt w:val="bullet"/>
      <w:lvlText w:val=""/>
      <w:lvlJc w:val="left"/>
      <w:pPr>
        <w:tabs>
          <w:tab w:val="num" w:pos="2160"/>
        </w:tabs>
        <w:ind w:left="2160" w:hanging="360"/>
      </w:pPr>
      <w:rPr>
        <w:rFonts w:ascii="Wingdings" w:hAnsi="Wingdings" w:hint="default"/>
      </w:rPr>
    </w:lvl>
    <w:lvl w:ilvl="3" w:tplc="B89E118E" w:tentative="1">
      <w:start w:val="1"/>
      <w:numFmt w:val="bullet"/>
      <w:lvlText w:val=""/>
      <w:lvlJc w:val="left"/>
      <w:pPr>
        <w:tabs>
          <w:tab w:val="num" w:pos="2880"/>
        </w:tabs>
        <w:ind w:left="2880" w:hanging="360"/>
      </w:pPr>
      <w:rPr>
        <w:rFonts w:ascii="Wingdings" w:hAnsi="Wingdings" w:hint="default"/>
      </w:rPr>
    </w:lvl>
    <w:lvl w:ilvl="4" w:tplc="CE78786C" w:tentative="1">
      <w:start w:val="1"/>
      <w:numFmt w:val="bullet"/>
      <w:lvlText w:val=""/>
      <w:lvlJc w:val="left"/>
      <w:pPr>
        <w:tabs>
          <w:tab w:val="num" w:pos="3600"/>
        </w:tabs>
        <w:ind w:left="3600" w:hanging="360"/>
      </w:pPr>
      <w:rPr>
        <w:rFonts w:ascii="Wingdings" w:hAnsi="Wingdings" w:hint="default"/>
      </w:rPr>
    </w:lvl>
    <w:lvl w:ilvl="5" w:tplc="550E56C8" w:tentative="1">
      <w:start w:val="1"/>
      <w:numFmt w:val="bullet"/>
      <w:lvlText w:val=""/>
      <w:lvlJc w:val="left"/>
      <w:pPr>
        <w:tabs>
          <w:tab w:val="num" w:pos="4320"/>
        </w:tabs>
        <w:ind w:left="4320" w:hanging="360"/>
      </w:pPr>
      <w:rPr>
        <w:rFonts w:ascii="Wingdings" w:hAnsi="Wingdings" w:hint="default"/>
      </w:rPr>
    </w:lvl>
    <w:lvl w:ilvl="6" w:tplc="C4882936" w:tentative="1">
      <w:start w:val="1"/>
      <w:numFmt w:val="bullet"/>
      <w:lvlText w:val=""/>
      <w:lvlJc w:val="left"/>
      <w:pPr>
        <w:tabs>
          <w:tab w:val="num" w:pos="5040"/>
        </w:tabs>
        <w:ind w:left="5040" w:hanging="360"/>
      </w:pPr>
      <w:rPr>
        <w:rFonts w:ascii="Wingdings" w:hAnsi="Wingdings" w:hint="default"/>
      </w:rPr>
    </w:lvl>
    <w:lvl w:ilvl="7" w:tplc="5EA42C0C" w:tentative="1">
      <w:start w:val="1"/>
      <w:numFmt w:val="bullet"/>
      <w:lvlText w:val=""/>
      <w:lvlJc w:val="left"/>
      <w:pPr>
        <w:tabs>
          <w:tab w:val="num" w:pos="5760"/>
        </w:tabs>
        <w:ind w:left="5760" w:hanging="360"/>
      </w:pPr>
      <w:rPr>
        <w:rFonts w:ascii="Wingdings" w:hAnsi="Wingdings" w:hint="default"/>
      </w:rPr>
    </w:lvl>
    <w:lvl w:ilvl="8" w:tplc="51A20E7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B2C64"/>
    <w:multiLevelType w:val="hybridMultilevel"/>
    <w:tmpl w:val="497A5D54"/>
    <w:lvl w:ilvl="0" w:tplc="C6E0156C">
      <w:start w:val="1"/>
      <w:numFmt w:val="bullet"/>
      <w:lvlText w:val=""/>
      <w:lvlJc w:val="left"/>
      <w:pPr>
        <w:tabs>
          <w:tab w:val="num" w:pos="720"/>
        </w:tabs>
        <w:ind w:left="720" w:hanging="360"/>
      </w:pPr>
      <w:rPr>
        <w:rFonts w:ascii="Wingdings" w:hAnsi="Wingdings" w:hint="default"/>
      </w:rPr>
    </w:lvl>
    <w:lvl w:ilvl="1" w:tplc="14125B14" w:tentative="1">
      <w:start w:val="1"/>
      <w:numFmt w:val="bullet"/>
      <w:lvlText w:val=""/>
      <w:lvlJc w:val="left"/>
      <w:pPr>
        <w:tabs>
          <w:tab w:val="num" w:pos="1440"/>
        </w:tabs>
        <w:ind w:left="1440" w:hanging="360"/>
      </w:pPr>
      <w:rPr>
        <w:rFonts w:ascii="Wingdings" w:hAnsi="Wingdings" w:hint="default"/>
      </w:rPr>
    </w:lvl>
    <w:lvl w:ilvl="2" w:tplc="9C1446E6" w:tentative="1">
      <w:start w:val="1"/>
      <w:numFmt w:val="bullet"/>
      <w:lvlText w:val=""/>
      <w:lvlJc w:val="left"/>
      <w:pPr>
        <w:tabs>
          <w:tab w:val="num" w:pos="2160"/>
        </w:tabs>
        <w:ind w:left="2160" w:hanging="360"/>
      </w:pPr>
      <w:rPr>
        <w:rFonts w:ascii="Wingdings" w:hAnsi="Wingdings" w:hint="default"/>
      </w:rPr>
    </w:lvl>
    <w:lvl w:ilvl="3" w:tplc="780CFA4C" w:tentative="1">
      <w:start w:val="1"/>
      <w:numFmt w:val="bullet"/>
      <w:lvlText w:val=""/>
      <w:lvlJc w:val="left"/>
      <w:pPr>
        <w:tabs>
          <w:tab w:val="num" w:pos="2880"/>
        </w:tabs>
        <w:ind w:left="2880" w:hanging="360"/>
      </w:pPr>
      <w:rPr>
        <w:rFonts w:ascii="Wingdings" w:hAnsi="Wingdings" w:hint="default"/>
      </w:rPr>
    </w:lvl>
    <w:lvl w:ilvl="4" w:tplc="C8A283EC" w:tentative="1">
      <w:start w:val="1"/>
      <w:numFmt w:val="bullet"/>
      <w:lvlText w:val=""/>
      <w:lvlJc w:val="left"/>
      <w:pPr>
        <w:tabs>
          <w:tab w:val="num" w:pos="3600"/>
        </w:tabs>
        <w:ind w:left="3600" w:hanging="360"/>
      </w:pPr>
      <w:rPr>
        <w:rFonts w:ascii="Wingdings" w:hAnsi="Wingdings" w:hint="default"/>
      </w:rPr>
    </w:lvl>
    <w:lvl w:ilvl="5" w:tplc="59EC040A" w:tentative="1">
      <w:start w:val="1"/>
      <w:numFmt w:val="bullet"/>
      <w:lvlText w:val=""/>
      <w:lvlJc w:val="left"/>
      <w:pPr>
        <w:tabs>
          <w:tab w:val="num" w:pos="4320"/>
        </w:tabs>
        <w:ind w:left="4320" w:hanging="360"/>
      </w:pPr>
      <w:rPr>
        <w:rFonts w:ascii="Wingdings" w:hAnsi="Wingdings" w:hint="default"/>
      </w:rPr>
    </w:lvl>
    <w:lvl w:ilvl="6" w:tplc="2DBCD6CA" w:tentative="1">
      <w:start w:val="1"/>
      <w:numFmt w:val="bullet"/>
      <w:lvlText w:val=""/>
      <w:lvlJc w:val="left"/>
      <w:pPr>
        <w:tabs>
          <w:tab w:val="num" w:pos="5040"/>
        </w:tabs>
        <w:ind w:left="5040" w:hanging="360"/>
      </w:pPr>
      <w:rPr>
        <w:rFonts w:ascii="Wingdings" w:hAnsi="Wingdings" w:hint="default"/>
      </w:rPr>
    </w:lvl>
    <w:lvl w:ilvl="7" w:tplc="B8FC1DFA" w:tentative="1">
      <w:start w:val="1"/>
      <w:numFmt w:val="bullet"/>
      <w:lvlText w:val=""/>
      <w:lvlJc w:val="left"/>
      <w:pPr>
        <w:tabs>
          <w:tab w:val="num" w:pos="5760"/>
        </w:tabs>
        <w:ind w:left="5760" w:hanging="360"/>
      </w:pPr>
      <w:rPr>
        <w:rFonts w:ascii="Wingdings" w:hAnsi="Wingdings" w:hint="default"/>
      </w:rPr>
    </w:lvl>
    <w:lvl w:ilvl="8" w:tplc="54CCA7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4527B"/>
    <w:multiLevelType w:val="hybridMultilevel"/>
    <w:tmpl w:val="117059B8"/>
    <w:lvl w:ilvl="0" w:tplc="B0C645C8">
      <w:start w:val="5"/>
      <w:numFmt w:val="bullet"/>
      <w:lvlText w:val="•"/>
      <w:lvlJc w:val="left"/>
      <w:pPr>
        <w:ind w:left="1080" w:hanging="72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249A3"/>
    <w:multiLevelType w:val="hybridMultilevel"/>
    <w:tmpl w:val="52BA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64794"/>
    <w:multiLevelType w:val="hybridMultilevel"/>
    <w:tmpl w:val="5DC25D76"/>
    <w:lvl w:ilvl="0" w:tplc="0AD02E60">
      <w:start w:val="1"/>
      <w:numFmt w:val="bullet"/>
      <w:lvlText w:val=""/>
      <w:lvlJc w:val="left"/>
      <w:pPr>
        <w:tabs>
          <w:tab w:val="num" w:pos="720"/>
        </w:tabs>
        <w:ind w:left="720" w:hanging="360"/>
      </w:pPr>
      <w:rPr>
        <w:rFonts w:ascii="Wingdings" w:hAnsi="Wingdings" w:hint="default"/>
      </w:rPr>
    </w:lvl>
    <w:lvl w:ilvl="1" w:tplc="82A8DB2E" w:tentative="1">
      <w:start w:val="1"/>
      <w:numFmt w:val="bullet"/>
      <w:lvlText w:val=""/>
      <w:lvlJc w:val="left"/>
      <w:pPr>
        <w:tabs>
          <w:tab w:val="num" w:pos="1440"/>
        </w:tabs>
        <w:ind w:left="1440" w:hanging="360"/>
      </w:pPr>
      <w:rPr>
        <w:rFonts w:ascii="Wingdings" w:hAnsi="Wingdings" w:hint="default"/>
      </w:rPr>
    </w:lvl>
    <w:lvl w:ilvl="2" w:tplc="0A525884" w:tentative="1">
      <w:start w:val="1"/>
      <w:numFmt w:val="bullet"/>
      <w:lvlText w:val=""/>
      <w:lvlJc w:val="left"/>
      <w:pPr>
        <w:tabs>
          <w:tab w:val="num" w:pos="2160"/>
        </w:tabs>
        <w:ind w:left="2160" w:hanging="360"/>
      </w:pPr>
      <w:rPr>
        <w:rFonts w:ascii="Wingdings" w:hAnsi="Wingdings" w:hint="default"/>
      </w:rPr>
    </w:lvl>
    <w:lvl w:ilvl="3" w:tplc="15D4C19C" w:tentative="1">
      <w:start w:val="1"/>
      <w:numFmt w:val="bullet"/>
      <w:lvlText w:val=""/>
      <w:lvlJc w:val="left"/>
      <w:pPr>
        <w:tabs>
          <w:tab w:val="num" w:pos="2880"/>
        </w:tabs>
        <w:ind w:left="2880" w:hanging="360"/>
      </w:pPr>
      <w:rPr>
        <w:rFonts w:ascii="Wingdings" w:hAnsi="Wingdings" w:hint="default"/>
      </w:rPr>
    </w:lvl>
    <w:lvl w:ilvl="4" w:tplc="287EC14A" w:tentative="1">
      <w:start w:val="1"/>
      <w:numFmt w:val="bullet"/>
      <w:lvlText w:val=""/>
      <w:lvlJc w:val="left"/>
      <w:pPr>
        <w:tabs>
          <w:tab w:val="num" w:pos="3600"/>
        </w:tabs>
        <w:ind w:left="3600" w:hanging="360"/>
      </w:pPr>
      <w:rPr>
        <w:rFonts w:ascii="Wingdings" w:hAnsi="Wingdings" w:hint="default"/>
      </w:rPr>
    </w:lvl>
    <w:lvl w:ilvl="5" w:tplc="E5F69090" w:tentative="1">
      <w:start w:val="1"/>
      <w:numFmt w:val="bullet"/>
      <w:lvlText w:val=""/>
      <w:lvlJc w:val="left"/>
      <w:pPr>
        <w:tabs>
          <w:tab w:val="num" w:pos="4320"/>
        </w:tabs>
        <w:ind w:left="4320" w:hanging="360"/>
      </w:pPr>
      <w:rPr>
        <w:rFonts w:ascii="Wingdings" w:hAnsi="Wingdings" w:hint="default"/>
      </w:rPr>
    </w:lvl>
    <w:lvl w:ilvl="6" w:tplc="63C860B2" w:tentative="1">
      <w:start w:val="1"/>
      <w:numFmt w:val="bullet"/>
      <w:lvlText w:val=""/>
      <w:lvlJc w:val="left"/>
      <w:pPr>
        <w:tabs>
          <w:tab w:val="num" w:pos="5040"/>
        </w:tabs>
        <w:ind w:left="5040" w:hanging="360"/>
      </w:pPr>
      <w:rPr>
        <w:rFonts w:ascii="Wingdings" w:hAnsi="Wingdings" w:hint="default"/>
      </w:rPr>
    </w:lvl>
    <w:lvl w:ilvl="7" w:tplc="0CCC30C6" w:tentative="1">
      <w:start w:val="1"/>
      <w:numFmt w:val="bullet"/>
      <w:lvlText w:val=""/>
      <w:lvlJc w:val="left"/>
      <w:pPr>
        <w:tabs>
          <w:tab w:val="num" w:pos="5760"/>
        </w:tabs>
        <w:ind w:left="5760" w:hanging="360"/>
      </w:pPr>
      <w:rPr>
        <w:rFonts w:ascii="Wingdings" w:hAnsi="Wingdings" w:hint="default"/>
      </w:rPr>
    </w:lvl>
    <w:lvl w:ilvl="8" w:tplc="A2786D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A3F13"/>
    <w:multiLevelType w:val="hybridMultilevel"/>
    <w:tmpl w:val="F240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D45E0"/>
    <w:multiLevelType w:val="hybridMultilevel"/>
    <w:tmpl w:val="E9A4BD0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D500E53"/>
    <w:multiLevelType w:val="hybridMultilevel"/>
    <w:tmpl w:val="5D8E941A"/>
    <w:lvl w:ilvl="0" w:tplc="12628924">
      <w:start w:val="1"/>
      <w:numFmt w:val="bullet"/>
      <w:lvlText w:val=""/>
      <w:lvlJc w:val="left"/>
      <w:pPr>
        <w:tabs>
          <w:tab w:val="num" w:pos="720"/>
        </w:tabs>
        <w:ind w:left="720" w:hanging="360"/>
      </w:pPr>
      <w:rPr>
        <w:rFonts w:ascii="Wingdings" w:hAnsi="Wingdings" w:hint="default"/>
      </w:rPr>
    </w:lvl>
    <w:lvl w:ilvl="1" w:tplc="C8D29CD2" w:tentative="1">
      <w:start w:val="1"/>
      <w:numFmt w:val="bullet"/>
      <w:lvlText w:val=""/>
      <w:lvlJc w:val="left"/>
      <w:pPr>
        <w:tabs>
          <w:tab w:val="num" w:pos="1440"/>
        </w:tabs>
        <w:ind w:left="1440" w:hanging="360"/>
      </w:pPr>
      <w:rPr>
        <w:rFonts w:ascii="Wingdings" w:hAnsi="Wingdings" w:hint="default"/>
      </w:rPr>
    </w:lvl>
    <w:lvl w:ilvl="2" w:tplc="B450E346" w:tentative="1">
      <w:start w:val="1"/>
      <w:numFmt w:val="bullet"/>
      <w:lvlText w:val=""/>
      <w:lvlJc w:val="left"/>
      <w:pPr>
        <w:tabs>
          <w:tab w:val="num" w:pos="2160"/>
        </w:tabs>
        <w:ind w:left="2160" w:hanging="360"/>
      </w:pPr>
      <w:rPr>
        <w:rFonts w:ascii="Wingdings" w:hAnsi="Wingdings" w:hint="default"/>
      </w:rPr>
    </w:lvl>
    <w:lvl w:ilvl="3" w:tplc="A2F067C8" w:tentative="1">
      <w:start w:val="1"/>
      <w:numFmt w:val="bullet"/>
      <w:lvlText w:val=""/>
      <w:lvlJc w:val="left"/>
      <w:pPr>
        <w:tabs>
          <w:tab w:val="num" w:pos="2880"/>
        </w:tabs>
        <w:ind w:left="2880" w:hanging="360"/>
      </w:pPr>
      <w:rPr>
        <w:rFonts w:ascii="Wingdings" w:hAnsi="Wingdings" w:hint="default"/>
      </w:rPr>
    </w:lvl>
    <w:lvl w:ilvl="4" w:tplc="E89C5748" w:tentative="1">
      <w:start w:val="1"/>
      <w:numFmt w:val="bullet"/>
      <w:lvlText w:val=""/>
      <w:lvlJc w:val="left"/>
      <w:pPr>
        <w:tabs>
          <w:tab w:val="num" w:pos="3600"/>
        </w:tabs>
        <w:ind w:left="3600" w:hanging="360"/>
      </w:pPr>
      <w:rPr>
        <w:rFonts w:ascii="Wingdings" w:hAnsi="Wingdings" w:hint="default"/>
      </w:rPr>
    </w:lvl>
    <w:lvl w:ilvl="5" w:tplc="C5EC9232" w:tentative="1">
      <w:start w:val="1"/>
      <w:numFmt w:val="bullet"/>
      <w:lvlText w:val=""/>
      <w:lvlJc w:val="left"/>
      <w:pPr>
        <w:tabs>
          <w:tab w:val="num" w:pos="4320"/>
        </w:tabs>
        <w:ind w:left="4320" w:hanging="360"/>
      </w:pPr>
      <w:rPr>
        <w:rFonts w:ascii="Wingdings" w:hAnsi="Wingdings" w:hint="default"/>
      </w:rPr>
    </w:lvl>
    <w:lvl w:ilvl="6" w:tplc="1D92BBDE" w:tentative="1">
      <w:start w:val="1"/>
      <w:numFmt w:val="bullet"/>
      <w:lvlText w:val=""/>
      <w:lvlJc w:val="left"/>
      <w:pPr>
        <w:tabs>
          <w:tab w:val="num" w:pos="5040"/>
        </w:tabs>
        <w:ind w:left="5040" w:hanging="360"/>
      </w:pPr>
      <w:rPr>
        <w:rFonts w:ascii="Wingdings" w:hAnsi="Wingdings" w:hint="default"/>
      </w:rPr>
    </w:lvl>
    <w:lvl w:ilvl="7" w:tplc="BC00E824" w:tentative="1">
      <w:start w:val="1"/>
      <w:numFmt w:val="bullet"/>
      <w:lvlText w:val=""/>
      <w:lvlJc w:val="left"/>
      <w:pPr>
        <w:tabs>
          <w:tab w:val="num" w:pos="5760"/>
        </w:tabs>
        <w:ind w:left="5760" w:hanging="360"/>
      </w:pPr>
      <w:rPr>
        <w:rFonts w:ascii="Wingdings" w:hAnsi="Wingdings" w:hint="default"/>
      </w:rPr>
    </w:lvl>
    <w:lvl w:ilvl="8" w:tplc="460A737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ED53BA"/>
    <w:multiLevelType w:val="hybridMultilevel"/>
    <w:tmpl w:val="801E7EDA"/>
    <w:lvl w:ilvl="0" w:tplc="CD582F7C">
      <w:start w:val="1"/>
      <w:numFmt w:val="bullet"/>
      <w:lvlText w:val=""/>
      <w:lvlJc w:val="left"/>
      <w:pPr>
        <w:tabs>
          <w:tab w:val="num" w:pos="720"/>
        </w:tabs>
        <w:ind w:left="720" w:hanging="360"/>
      </w:pPr>
      <w:rPr>
        <w:rFonts w:ascii="Wingdings" w:hAnsi="Wingdings" w:hint="default"/>
      </w:rPr>
    </w:lvl>
    <w:lvl w:ilvl="1" w:tplc="0130C6D2" w:tentative="1">
      <w:start w:val="1"/>
      <w:numFmt w:val="bullet"/>
      <w:lvlText w:val=""/>
      <w:lvlJc w:val="left"/>
      <w:pPr>
        <w:tabs>
          <w:tab w:val="num" w:pos="1440"/>
        </w:tabs>
        <w:ind w:left="1440" w:hanging="360"/>
      </w:pPr>
      <w:rPr>
        <w:rFonts w:ascii="Wingdings" w:hAnsi="Wingdings" w:hint="default"/>
      </w:rPr>
    </w:lvl>
    <w:lvl w:ilvl="2" w:tplc="0D5AA1F6" w:tentative="1">
      <w:start w:val="1"/>
      <w:numFmt w:val="bullet"/>
      <w:lvlText w:val=""/>
      <w:lvlJc w:val="left"/>
      <w:pPr>
        <w:tabs>
          <w:tab w:val="num" w:pos="2160"/>
        </w:tabs>
        <w:ind w:left="2160" w:hanging="360"/>
      </w:pPr>
      <w:rPr>
        <w:rFonts w:ascii="Wingdings" w:hAnsi="Wingdings" w:hint="default"/>
      </w:rPr>
    </w:lvl>
    <w:lvl w:ilvl="3" w:tplc="DEEE0E86" w:tentative="1">
      <w:start w:val="1"/>
      <w:numFmt w:val="bullet"/>
      <w:lvlText w:val=""/>
      <w:lvlJc w:val="left"/>
      <w:pPr>
        <w:tabs>
          <w:tab w:val="num" w:pos="2880"/>
        </w:tabs>
        <w:ind w:left="2880" w:hanging="360"/>
      </w:pPr>
      <w:rPr>
        <w:rFonts w:ascii="Wingdings" w:hAnsi="Wingdings" w:hint="default"/>
      </w:rPr>
    </w:lvl>
    <w:lvl w:ilvl="4" w:tplc="749AA180" w:tentative="1">
      <w:start w:val="1"/>
      <w:numFmt w:val="bullet"/>
      <w:lvlText w:val=""/>
      <w:lvlJc w:val="left"/>
      <w:pPr>
        <w:tabs>
          <w:tab w:val="num" w:pos="3600"/>
        </w:tabs>
        <w:ind w:left="3600" w:hanging="360"/>
      </w:pPr>
      <w:rPr>
        <w:rFonts w:ascii="Wingdings" w:hAnsi="Wingdings" w:hint="default"/>
      </w:rPr>
    </w:lvl>
    <w:lvl w:ilvl="5" w:tplc="3664F10C" w:tentative="1">
      <w:start w:val="1"/>
      <w:numFmt w:val="bullet"/>
      <w:lvlText w:val=""/>
      <w:lvlJc w:val="left"/>
      <w:pPr>
        <w:tabs>
          <w:tab w:val="num" w:pos="4320"/>
        </w:tabs>
        <w:ind w:left="4320" w:hanging="360"/>
      </w:pPr>
      <w:rPr>
        <w:rFonts w:ascii="Wingdings" w:hAnsi="Wingdings" w:hint="default"/>
      </w:rPr>
    </w:lvl>
    <w:lvl w:ilvl="6" w:tplc="215E56B0" w:tentative="1">
      <w:start w:val="1"/>
      <w:numFmt w:val="bullet"/>
      <w:lvlText w:val=""/>
      <w:lvlJc w:val="left"/>
      <w:pPr>
        <w:tabs>
          <w:tab w:val="num" w:pos="5040"/>
        </w:tabs>
        <w:ind w:left="5040" w:hanging="360"/>
      </w:pPr>
      <w:rPr>
        <w:rFonts w:ascii="Wingdings" w:hAnsi="Wingdings" w:hint="default"/>
      </w:rPr>
    </w:lvl>
    <w:lvl w:ilvl="7" w:tplc="03C85ED6" w:tentative="1">
      <w:start w:val="1"/>
      <w:numFmt w:val="bullet"/>
      <w:lvlText w:val=""/>
      <w:lvlJc w:val="left"/>
      <w:pPr>
        <w:tabs>
          <w:tab w:val="num" w:pos="5760"/>
        </w:tabs>
        <w:ind w:left="5760" w:hanging="360"/>
      </w:pPr>
      <w:rPr>
        <w:rFonts w:ascii="Wingdings" w:hAnsi="Wingdings" w:hint="default"/>
      </w:rPr>
    </w:lvl>
    <w:lvl w:ilvl="8" w:tplc="9D1E25E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655A1B"/>
    <w:multiLevelType w:val="hybridMultilevel"/>
    <w:tmpl w:val="61EAC7C2"/>
    <w:lvl w:ilvl="0" w:tplc="8A26586A">
      <w:start w:val="2"/>
      <w:numFmt w:val="bullet"/>
      <w:lvlText w:val="-"/>
      <w:lvlJc w:val="left"/>
      <w:pPr>
        <w:ind w:left="720" w:hanging="360"/>
      </w:pPr>
      <w:rPr>
        <w:rFonts w:ascii="Trebuchet MS" w:eastAsia="Times New Roman" w:hAnsi="Trebuchet M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11C3D75"/>
    <w:multiLevelType w:val="hybridMultilevel"/>
    <w:tmpl w:val="3C92049E"/>
    <w:lvl w:ilvl="0" w:tplc="EE4432B8">
      <w:numFmt w:val="bullet"/>
      <w:lvlText w:val="–"/>
      <w:lvlJc w:val="left"/>
      <w:pPr>
        <w:ind w:left="420" w:hanging="360"/>
      </w:pPr>
      <w:rPr>
        <w:rFonts w:ascii="Trebuchet MS" w:eastAsia="Calibri" w:hAnsi="Trebuchet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318D3AEE"/>
    <w:multiLevelType w:val="hybridMultilevel"/>
    <w:tmpl w:val="F70E7E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6A2441"/>
    <w:multiLevelType w:val="multilevel"/>
    <w:tmpl w:val="1EDC498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b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35C62D07"/>
    <w:multiLevelType w:val="hybridMultilevel"/>
    <w:tmpl w:val="5A8AB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090F4D"/>
    <w:multiLevelType w:val="multilevel"/>
    <w:tmpl w:val="925071A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84EDD"/>
    <w:multiLevelType w:val="hybridMultilevel"/>
    <w:tmpl w:val="9A2C1C64"/>
    <w:lvl w:ilvl="0" w:tplc="71CAF53C">
      <w:start w:val="1"/>
      <w:numFmt w:val="bullet"/>
      <w:lvlText w:val=""/>
      <w:lvlJc w:val="left"/>
      <w:pPr>
        <w:tabs>
          <w:tab w:val="num" w:pos="720"/>
        </w:tabs>
        <w:ind w:left="720" w:hanging="360"/>
      </w:pPr>
      <w:rPr>
        <w:rFonts w:ascii="Wingdings" w:hAnsi="Wingdings" w:hint="default"/>
      </w:rPr>
    </w:lvl>
    <w:lvl w:ilvl="1" w:tplc="8D1E5948" w:tentative="1">
      <w:start w:val="1"/>
      <w:numFmt w:val="bullet"/>
      <w:lvlText w:val=""/>
      <w:lvlJc w:val="left"/>
      <w:pPr>
        <w:tabs>
          <w:tab w:val="num" w:pos="1440"/>
        </w:tabs>
        <w:ind w:left="1440" w:hanging="360"/>
      </w:pPr>
      <w:rPr>
        <w:rFonts w:ascii="Wingdings" w:hAnsi="Wingdings" w:hint="default"/>
      </w:rPr>
    </w:lvl>
    <w:lvl w:ilvl="2" w:tplc="A2CA8F18" w:tentative="1">
      <w:start w:val="1"/>
      <w:numFmt w:val="bullet"/>
      <w:lvlText w:val=""/>
      <w:lvlJc w:val="left"/>
      <w:pPr>
        <w:tabs>
          <w:tab w:val="num" w:pos="2160"/>
        </w:tabs>
        <w:ind w:left="2160" w:hanging="360"/>
      </w:pPr>
      <w:rPr>
        <w:rFonts w:ascii="Wingdings" w:hAnsi="Wingdings" w:hint="default"/>
      </w:rPr>
    </w:lvl>
    <w:lvl w:ilvl="3" w:tplc="2E526A42" w:tentative="1">
      <w:start w:val="1"/>
      <w:numFmt w:val="bullet"/>
      <w:lvlText w:val=""/>
      <w:lvlJc w:val="left"/>
      <w:pPr>
        <w:tabs>
          <w:tab w:val="num" w:pos="2880"/>
        </w:tabs>
        <w:ind w:left="2880" w:hanging="360"/>
      </w:pPr>
      <w:rPr>
        <w:rFonts w:ascii="Wingdings" w:hAnsi="Wingdings" w:hint="default"/>
      </w:rPr>
    </w:lvl>
    <w:lvl w:ilvl="4" w:tplc="BD96BA70" w:tentative="1">
      <w:start w:val="1"/>
      <w:numFmt w:val="bullet"/>
      <w:lvlText w:val=""/>
      <w:lvlJc w:val="left"/>
      <w:pPr>
        <w:tabs>
          <w:tab w:val="num" w:pos="3600"/>
        </w:tabs>
        <w:ind w:left="3600" w:hanging="360"/>
      </w:pPr>
      <w:rPr>
        <w:rFonts w:ascii="Wingdings" w:hAnsi="Wingdings" w:hint="default"/>
      </w:rPr>
    </w:lvl>
    <w:lvl w:ilvl="5" w:tplc="DEAE3618" w:tentative="1">
      <w:start w:val="1"/>
      <w:numFmt w:val="bullet"/>
      <w:lvlText w:val=""/>
      <w:lvlJc w:val="left"/>
      <w:pPr>
        <w:tabs>
          <w:tab w:val="num" w:pos="4320"/>
        </w:tabs>
        <w:ind w:left="4320" w:hanging="360"/>
      </w:pPr>
      <w:rPr>
        <w:rFonts w:ascii="Wingdings" w:hAnsi="Wingdings" w:hint="default"/>
      </w:rPr>
    </w:lvl>
    <w:lvl w:ilvl="6" w:tplc="B7667A1A" w:tentative="1">
      <w:start w:val="1"/>
      <w:numFmt w:val="bullet"/>
      <w:lvlText w:val=""/>
      <w:lvlJc w:val="left"/>
      <w:pPr>
        <w:tabs>
          <w:tab w:val="num" w:pos="5040"/>
        </w:tabs>
        <w:ind w:left="5040" w:hanging="360"/>
      </w:pPr>
      <w:rPr>
        <w:rFonts w:ascii="Wingdings" w:hAnsi="Wingdings" w:hint="default"/>
      </w:rPr>
    </w:lvl>
    <w:lvl w:ilvl="7" w:tplc="C47C6B12" w:tentative="1">
      <w:start w:val="1"/>
      <w:numFmt w:val="bullet"/>
      <w:lvlText w:val=""/>
      <w:lvlJc w:val="left"/>
      <w:pPr>
        <w:tabs>
          <w:tab w:val="num" w:pos="5760"/>
        </w:tabs>
        <w:ind w:left="5760" w:hanging="360"/>
      </w:pPr>
      <w:rPr>
        <w:rFonts w:ascii="Wingdings" w:hAnsi="Wingdings" w:hint="default"/>
      </w:rPr>
    </w:lvl>
    <w:lvl w:ilvl="8" w:tplc="05B8BBD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1807B5"/>
    <w:multiLevelType w:val="hybridMultilevel"/>
    <w:tmpl w:val="98963BB0"/>
    <w:lvl w:ilvl="0" w:tplc="08090011">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47997661"/>
    <w:multiLevelType w:val="multilevel"/>
    <w:tmpl w:val="6F7453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F40A87"/>
    <w:multiLevelType w:val="hybridMultilevel"/>
    <w:tmpl w:val="1844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71FAA"/>
    <w:multiLevelType w:val="hybridMultilevel"/>
    <w:tmpl w:val="D0AA99DC"/>
    <w:lvl w:ilvl="0" w:tplc="B0C645C8">
      <w:start w:val="5"/>
      <w:numFmt w:val="bullet"/>
      <w:lvlText w:val="•"/>
      <w:lvlJc w:val="left"/>
      <w:pPr>
        <w:ind w:left="1080" w:hanging="72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2F145A"/>
    <w:multiLevelType w:val="hybridMultilevel"/>
    <w:tmpl w:val="D916AC2E"/>
    <w:lvl w:ilvl="0" w:tplc="DD4C6FA6">
      <w:start w:val="1"/>
      <w:numFmt w:val="bullet"/>
      <w:lvlText w:val=""/>
      <w:lvlJc w:val="left"/>
      <w:pPr>
        <w:tabs>
          <w:tab w:val="num" w:pos="720"/>
        </w:tabs>
        <w:ind w:left="720" w:hanging="360"/>
      </w:pPr>
      <w:rPr>
        <w:rFonts w:ascii="Wingdings" w:hAnsi="Wingdings" w:hint="default"/>
      </w:rPr>
    </w:lvl>
    <w:lvl w:ilvl="1" w:tplc="CA440A46" w:tentative="1">
      <w:start w:val="1"/>
      <w:numFmt w:val="bullet"/>
      <w:lvlText w:val=""/>
      <w:lvlJc w:val="left"/>
      <w:pPr>
        <w:tabs>
          <w:tab w:val="num" w:pos="1440"/>
        </w:tabs>
        <w:ind w:left="1440" w:hanging="360"/>
      </w:pPr>
      <w:rPr>
        <w:rFonts w:ascii="Wingdings" w:hAnsi="Wingdings" w:hint="default"/>
      </w:rPr>
    </w:lvl>
    <w:lvl w:ilvl="2" w:tplc="8F145696" w:tentative="1">
      <w:start w:val="1"/>
      <w:numFmt w:val="bullet"/>
      <w:lvlText w:val=""/>
      <w:lvlJc w:val="left"/>
      <w:pPr>
        <w:tabs>
          <w:tab w:val="num" w:pos="2160"/>
        </w:tabs>
        <w:ind w:left="2160" w:hanging="360"/>
      </w:pPr>
      <w:rPr>
        <w:rFonts w:ascii="Wingdings" w:hAnsi="Wingdings" w:hint="default"/>
      </w:rPr>
    </w:lvl>
    <w:lvl w:ilvl="3" w:tplc="462C64B2" w:tentative="1">
      <w:start w:val="1"/>
      <w:numFmt w:val="bullet"/>
      <w:lvlText w:val=""/>
      <w:lvlJc w:val="left"/>
      <w:pPr>
        <w:tabs>
          <w:tab w:val="num" w:pos="2880"/>
        </w:tabs>
        <w:ind w:left="2880" w:hanging="360"/>
      </w:pPr>
      <w:rPr>
        <w:rFonts w:ascii="Wingdings" w:hAnsi="Wingdings" w:hint="default"/>
      </w:rPr>
    </w:lvl>
    <w:lvl w:ilvl="4" w:tplc="99DC259A" w:tentative="1">
      <w:start w:val="1"/>
      <w:numFmt w:val="bullet"/>
      <w:lvlText w:val=""/>
      <w:lvlJc w:val="left"/>
      <w:pPr>
        <w:tabs>
          <w:tab w:val="num" w:pos="3600"/>
        </w:tabs>
        <w:ind w:left="3600" w:hanging="360"/>
      </w:pPr>
      <w:rPr>
        <w:rFonts w:ascii="Wingdings" w:hAnsi="Wingdings" w:hint="default"/>
      </w:rPr>
    </w:lvl>
    <w:lvl w:ilvl="5" w:tplc="EAA8C976" w:tentative="1">
      <w:start w:val="1"/>
      <w:numFmt w:val="bullet"/>
      <w:lvlText w:val=""/>
      <w:lvlJc w:val="left"/>
      <w:pPr>
        <w:tabs>
          <w:tab w:val="num" w:pos="4320"/>
        </w:tabs>
        <w:ind w:left="4320" w:hanging="360"/>
      </w:pPr>
      <w:rPr>
        <w:rFonts w:ascii="Wingdings" w:hAnsi="Wingdings" w:hint="default"/>
      </w:rPr>
    </w:lvl>
    <w:lvl w:ilvl="6" w:tplc="67D00074" w:tentative="1">
      <w:start w:val="1"/>
      <w:numFmt w:val="bullet"/>
      <w:lvlText w:val=""/>
      <w:lvlJc w:val="left"/>
      <w:pPr>
        <w:tabs>
          <w:tab w:val="num" w:pos="5040"/>
        </w:tabs>
        <w:ind w:left="5040" w:hanging="360"/>
      </w:pPr>
      <w:rPr>
        <w:rFonts w:ascii="Wingdings" w:hAnsi="Wingdings" w:hint="default"/>
      </w:rPr>
    </w:lvl>
    <w:lvl w:ilvl="7" w:tplc="B442DCCA" w:tentative="1">
      <w:start w:val="1"/>
      <w:numFmt w:val="bullet"/>
      <w:lvlText w:val=""/>
      <w:lvlJc w:val="left"/>
      <w:pPr>
        <w:tabs>
          <w:tab w:val="num" w:pos="5760"/>
        </w:tabs>
        <w:ind w:left="5760" w:hanging="360"/>
      </w:pPr>
      <w:rPr>
        <w:rFonts w:ascii="Wingdings" w:hAnsi="Wingdings" w:hint="default"/>
      </w:rPr>
    </w:lvl>
    <w:lvl w:ilvl="8" w:tplc="B908FB7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3D2ED9"/>
    <w:multiLevelType w:val="hybridMultilevel"/>
    <w:tmpl w:val="C7F4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441F14"/>
    <w:multiLevelType w:val="hybridMultilevel"/>
    <w:tmpl w:val="020A8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29" w15:restartNumberingAfterBreak="0">
    <w:nsid w:val="4FD0322C"/>
    <w:multiLevelType w:val="hybridMultilevel"/>
    <w:tmpl w:val="EB5CAA5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183864BC">
      <w:numFmt w:val="bullet"/>
      <w:lvlText w:val="-"/>
      <w:lvlJc w:val="left"/>
      <w:pPr>
        <w:ind w:left="3240" w:hanging="360"/>
      </w:pPr>
      <w:rPr>
        <w:rFonts w:ascii="Arial" w:eastAsia="Times New Roman" w:hAnsi="Arial" w:cs="Aria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FFF21B7"/>
    <w:multiLevelType w:val="hybridMultilevel"/>
    <w:tmpl w:val="3FE8211C"/>
    <w:lvl w:ilvl="0" w:tplc="B9D23E1A">
      <w:start w:val="1"/>
      <w:numFmt w:val="bullet"/>
      <w:lvlText w:val=""/>
      <w:lvlJc w:val="left"/>
      <w:pPr>
        <w:tabs>
          <w:tab w:val="num" w:pos="720"/>
        </w:tabs>
        <w:ind w:left="720" w:hanging="360"/>
      </w:pPr>
      <w:rPr>
        <w:rFonts w:ascii="Wingdings" w:hAnsi="Wingdings" w:hint="default"/>
      </w:rPr>
    </w:lvl>
    <w:lvl w:ilvl="1" w:tplc="F600E522" w:tentative="1">
      <w:start w:val="1"/>
      <w:numFmt w:val="bullet"/>
      <w:lvlText w:val=""/>
      <w:lvlJc w:val="left"/>
      <w:pPr>
        <w:tabs>
          <w:tab w:val="num" w:pos="1440"/>
        </w:tabs>
        <w:ind w:left="1440" w:hanging="360"/>
      </w:pPr>
      <w:rPr>
        <w:rFonts w:ascii="Wingdings" w:hAnsi="Wingdings" w:hint="default"/>
      </w:rPr>
    </w:lvl>
    <w:lvl w:ilvl="2" w:tplc="080E4216" w:tentative="1">
      <w:start w:val="1"/>
      <w:numFmt w:val="bullet"/>
      <w:lvlText w:val=""/>
      <w:lvlJc w:val="left"/>
      <w:pPr>
        <w:tabs>
          <w:tab w:val="num" w:pos="2160"/>
        </w:tabs>
        <w:ind w:left="2160" w:hanging="360"/>
      </w:pPr>
      <w:rPr>
        <w:rFonts w:ascii="Wingdings" w:hAnsi="Wingdings" w:hint="default"/>
      </w:rPr>
    </w:lvl>
    <w:lvl w:ilvl="3" w:tplc="BC84B576" w:tentative="1">
      <w:start w:val="1"/>
      <w:numFmt w:val="bullet"/>
      <w:lvlText w:val=""/>
      <w:lvlJc w:val="left"/>
      <w:pPr>
        <w:tabs>
          <w:tab w:val="num" w:pos="2880"/>
        </w:tabs>
        <w:ind w:left="2880" w:hanging="360"/>
      </w:pPr>
      <w:rPr>
        <w:rFonts w:ascii="Wingdings" w:hAnsi="Wingdings" w:hint="default"/>
      </w:rPr>
    </w:lvl>
    <w:lvl w:ilvl="4" w:tplc="06F6509C" w:tentative="1">
      <w:start w:val="1"/>
      <w:numFmt w:val="bullet"/>
      <w:lvlText w:val=""/>
      <w:lvlJc w:val="left"/>
      <w:pPr>
        <w:tabs>
          <w:tab w:val="num" w:pos="3600"/>
        </w:tabs>
        <w:ind w:left="3600" w:hanging="360"/>
      </w:pPr>
      <w:rPr>
        <w:rFonts w:ascii="Wingdings" w:hAnsi="Wingdings" w:hint="default"/>
      </w:rPr>
    </w:lvl>
    <w:lvl w:ilvl="5" w:tplc="C6A2D7AA" w:tentative="1">
      <w:start w:val="1"/>
      <w:numFmt w:val="bullet"/>
      <w:lvlText w:val=""/>
      <w:lvlJc w:val="left"/>
      <w:pPr>
        <w:tabs>
          <w:tab w:val="num" w:pos="4320"/>
        </w:tabs>
        <w:ind w:left="4320" w:hanging="360"/>
      </w:pPr>
      <w:rPr>
        <w:rFonts w:ascii="Wingdings" w:hAnsi="Wingdings" w:hint="default"/>
      </w:rPr>
    </w:lvl>
    <w:lvl w:ilvl="6" w:tplc="4C000A54" w:tentative="1">
      <w:start w:val="1"/>
      <w:numFmt w:val="bullet"/>
      <w:lvlText w:val=""/>
      <w:lvlJc w:val="left"/>
      <w:pPr>
        <w:tabs>
          <w:tab w:val="num" w:pos="5040"/>
        </w:tabs>
        <w:ind w:left="5040" w:hanging="360"/>
      </w:pPr>
      <w:rPr>
        <w:rFonts w:ascii="Wingdings" w:hAnsi="Wingdings" w:hint="default"/>
      </w:rPr>
    </w:lvl>
    <w:lvl w:ilvl="7" w:tplc="968A99F6" w:tentative="1">
      <w:start w:val="1"/>
      <w:numFmt w:val="bullet"/>
      <w:lvlText w:val=""/>
      <w:lvlJc w:val="left"/>
      <w:pPr>
        <w:tabs>
          <w:tab w:val="num" w:pos="5760"/>
        </w:tabs>
        <w:ind w:left="5760" w:hanging="360"/>
      </w:pPr>
      <w:rPr>
        <w:rFonts w:ascii="Wingdings" w:hAnsi="Wingdings" w:hint="default"/>
      </w:rPr>
    </w:lvl>
    <w:lvl w:ilvl="8" w:tplc="008C72B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CE29CE"/>
    <w:multiLevelType w:val="hybridMultilevel"/>
    <w:tmpl w:val="1FF8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22D29"/>
    <w:multiLevelType w:val="hybridMultilevel"/>
    <w:tmpl w:val="63B6A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D096486"/>
    <w:multiLevelType w:val="hybridMultilevel"/>
    <w:tmpl w:val="6276BF58"/>
    <w:lvl w:ilvl="0" w:tplc="B0C645C8">
      <w:start w:val="5"/>
      <w:numFmt w:val="bullet"/>
      <w:lvlText w:val="•"/>
      <w:lvlJc w:val="left"/>
      <w:pPr>
        <w:ind w:left="1080" w:hanging="720"/>
      </w:pPr>
      <w:rPr>
        <w:rFonts w:ascii="Trebuchet MS" w:eastAsia="Calibri" w:hAnsi="Trebuchet MS" w:cs="Times New Roman" w:hint="default"/>
      </w:rPr>
    </w:lvl>
    <w:lvl w:ilvl="1" w:tplc="0B2C1400">
      <w:numFmt w:val="bullet"/>
      <w:lvlText w:val=""/>
      <w:lvlJc w:val="left"/>
      <w:pPr>
        <w:ind w:left="1800" w:hanging="720"/>
      </w:pPr>
      <w:rPr>
        <w:rFonts w:ascii="Symbol" w:eastAsia="Calibri"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63627"/>
    <w:multiLevelType w:val="hybridMultilevel"/>
    <w:tmpl w:val="7EF4D00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DFF56CD"/>
    <w:multiLevelType w:val="hybridMultilevel"/>
    <w:tmpl w:val="A0205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A0D96"/>
    <w:multiLevelType w:val="hybridMultilevel"/>
    <w:tmpl w:val="BC4EB5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1D617DE"/>
    <w:multiLevelType w:val="hybridMultilevel"/>
    <w:tmpl w:val="A872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610344"/>
    <w:multiLevelType w:val="hybridMultilevel"/>
    <w:tmpl w:val="F6F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04E5C"/>
    <w:multiLevelType w:val="multilevel"/>
    <w:tmpl w:val="2D4E64D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E70E55"/>
    <w:multiLevelType w:val="hybridMultilevel"/>
    <w:tmpl w:val="1E52A4C6"/>
    <w:lvl w:ilvl="0" w:tplc="C520F63E">
      <w:start w:val="1"/>
      <w:numFmt w:val="bullet"/>
      <w:lvlText w:val=""/>
      <w:lvlJc w:val="left"/>
      <w:pPr>
        <w:tabs>
          <w:tab w:val="num" w:pos="720"/>
        </w:tabs>
        <w:ind w:left="720" w:hanging="360"/>
      </w:pPr>
      <w:rPr>
        <w:rFonts w:ascii="Wingdings" w:hAnsi="Wingdings" w:hint="default"/>
      </w:rPr>
    </w:lvl>
    <w:lvl w:ilvl="1" w:tplc="2D12845E" w:tentative="1">
      <w:start w:val="1"/>
      <w:numFmt w:val="bullet"/>
      <w:lvlText w:val=""/>
      <w:lvlJc w:val="left"/>
      <w:pPr>
        <w:tabs>
          <w:tab w:val="num" w:pos="1440"/>
        </w:tabs>
        <w:ind w:left="1440" w:hanging="360"/>
      </w:pPr>
      <w:rPr>
        <w:rFonts w:ascii="Wingdings" w:hAnsi="Wingdings" w:hint="default"/>
      </w:rPr>
    </w:lvl>
    <w:lvl w:ilvl="2" w:tplc="7B26E85C" w:tentative="1">
      <w:start w:val="1"/>
      <w:numFmt w:val="bullet"/>
      <w:lvlText w:val=""/>
      <w:lvlJc w:val="left"/>
      <w:pPr>
        <w:tabs>
          <w:tab w:val="num" w:pos="2160"/>
        </w:tabs>
        <w:ind w:left="2160" w:hanging="360"/>
      </w:pPr>
      <w:rPr>
        <w:rFonts w:ascii="Wingdings" w:hAnsi="Wingdings" w:hint="default"/>
      </w:rPr>
    </w:lvl>
    <w:lvl w:ilvl="3" w:tplc="C452F36E" w:tentative="1">
      <w:start w:val="1"/>
      <w:numFmt w:val="bullet"/>
      <w:lvlText w:val=""/>
      <w:lvlJc w:val="left"/>
      <w:pPr>
        <w:tabs>
          <w:tab w:val="num" w:pos="2880"/>
        </w:tabs>
        <w:ind w:left="2880" w:hanging="360"/>
      </w:pPr>
      <w:rPr>
        <w:rFonts w:ascii="Wingdings" w:hAnsi="Wingdings" w:hint="default"/>
      </w:rPr>
    </w:lvl>
    <w:lvl w:ilvl="4" w:tplc="467EA0CE" w:tentative="1">
      <w:start w:val="1"/>
      <w:numFmt w:val="bullet"/>
      <w:lvlText w:val=""/>
      <w:lvlJc w:val="left"/>
      <w:pPr>
        <w:tabs>
          <w:tab w:val="num" w:pos="3600"/>
        </w:tabs>
        <w:ind w:left="3600" w:hanging="360"/>
      </w:pPr>
      <w:rPr>
        <w:rFonts w:ascii="Wingdings" w:hAnsi="Wingdings" w:hint="default"/>
      </w:rPr>
    </w:lvl>
    <w:lvl w:ilvl="5" w:tplc="9816EA28" w:tentative="1">
      <w:start w:val="1"/>
      <w:numFmt w:val="bullet"/>
      <w:lvlText w:val=""/>
      <w:lvlJc w:val="left"/>
      <w:pPr>
        <w:tabs>
          <w:tab w:val="num" w:pos="4320"/>
        </w:tabs>
        <w:ind w:left="4320" w:hanging="360"/>
      </w:pPr>
      <w:rPr>
        <w:rFonts w:ascii="Wingdings" w:hAnsi="Wingdings" w:hint="default"/>
      </w:rPr>
    </w:lvl>
    <w:lvl w:ilvl="6" w:tplc="9A5C6824" w:tentative="1">
      <w:start w:val="1"/>
      <w:numFmt w:val="bullet"/>
      <w:lvlText w:val=""/>
      <w:lvlJc w:val="left"/>
      <w:pPr>
        <w:tabs>
          <w:tab w:val="num" w:pos="5040"/>
        </w:tabs>
        <w:ind w:left="5040" w:hanging="360"/>
      </w:pPr>
      <w:rPr>
        <w:rFonts w:ascii="Wingdings" w:hAnsi="Wingdings" w:hint="default"/>
      </w:rPr>
    </w:lvl>
    <w:lvl w:ilvl="7" w:tplc="9BE4ED50" w:tentative="1">
      <w:start w:val="1"/>
      <w:numFmt w:val="bullet"/>
      <w:lvlText w:val=""/>
      <w:lvlJc w:val="left"/>
      <w:pPr>
        <w:tabs>
          <w:tab w:val="num" w:pos="5760"/>
        </w:tabs>
        <w:ind w:left="5760" w:hanging="360"/>
      </w:pPr>
      <w:rPr>
        <w:rFonts w:ascii="Wingdings" w:hAnsi="Wingdings" w:hint="default"/>
      </w:rPr>
    </w:lvl>
    <w:lvl w:ilvl="8" w:tplc="A11429D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8A047D"/>
    <w:multiLevelType w:val="hybridMultilevel"/>
    <w:tmpl w:val="E130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DB1466"/>
    <w:multiLevelType w:val="hybridMultilevel"/>
    <w:tmpl w:val="A2C26096"/>
    <w:lvl w:ilvl="0" w:tplc="0CDCB90C">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3" w15:restartNumberingAfterBreak="0">
    <w:nsid w:val="72DA57EE"/>
    <w:multiLevelType w:val="hybridMultilevel"/>
    <w:tmpl w:val="FAF895C2"/>
    <w:lvl w:ilvl="0" w:tplc="C302D7D0">
      <w:start w:val="1"/>
      <w:numFmt w:val="bullet"/>
      <w:lvlText w:val=""/>
      <w:lvlJc w:val="left"/>
      <w:pPr>
        <w:tabs>
          <w:tab w:val="num" w:pos="720"/>
        </w:tabs>
        <w:ind w:left="720" w:hanging="360"/>
      </w:pPr>
      <w:rPr>
        <w:rFonts w:ascii="Wingdings" w:hAnsi="Wingdings" w:hint="default"/>
      </w:rPr>
    </w:lvl>
    <w:lvl w:ilvl="1" w:tplc="E12E50BA" w:tentative="1">
      <w:start w:val="1"/>
      <w:numFmt w:val="bullet"/>
      <w:lvlText w:val=""/>
      <w:lvlJc w:val="left"/>
      <w:pPr>
        <w:tabs>
          <w:tab w:val="num" w:pos="1440"/>
        </w:tabs>
        <w:ind w:left="1440" w:hanging="360"/>
      </w:pPr>
      <w:rPr>
        <w:rFonts w:ascii="Wingdings" w:hAnsi="Wingdings" w:hint="default"/>
      </w:rPr>
    </w:lvl>
    <w:lvl w:ilvl="2" w:tplc="716A6CEE" w:tentative="1">
      <w:start w:val="1"/>
      <w:numFmt w:val="bullet"/>
      <w:lvlText w:val=""/>
      <w:lvlJc w:val="left"/>
      <w:pPr>
        <w:tabs>
          <w:tab w:val="num" w:pos="2160"/>
        </w:tabs>
        <w:ind w:left="2160" w:hanging="360"/>
      </w:pPr>
      <w:rPr>
        <w:rFonts w:ascii="Wingdings" w:hAnsi="Wingdings" w:hint="default"/>
      </w:rPr>
    </w:lvl>
    <w:lvl w:ilvl="3" w:tplc="7B365C6A" w:tentative="1">
      <w:start w:val="1"/>
      <w:numFmt w:val="bullet"/>
      <w:lvlText w:val=""/>
      <w:lvlJc w:val="left"/>
      <w:pPr>
        <w:tabs>
          <w:tab w:val="num" w:pos="2880"/>
        </w:tabs>
        <w:ind w:left="2880" w:hanging="360"/>
      </w:pPr>
      <w:rPr>
        <w:rFonts w:ascii="Wingdings" w:hAnsi="Wingdings" w:hint="default"/>
      </w:rPr>
    </w:lvl>
    <w:lvl w:ilvl="4" w:tplc="AD064A98" w:tentative="1">
      <w:start w:val="1"/>
      <w:numFmt w:val="bullet"/>
      <w:lvlText w:val=""/>
      <w:lvlJc w:val="left"/>
      <w:pPr>
        <w:tabs>
          <w:tab w:val="num" w:pos="3600"/>
        </w:tabs>
        <w:ind w:left="3600" w:hanging="360"/>
      </w:pPr>
      <w:rPr>
        <w:rFonts w:ascii="Wingdings" w:hAnsi="Wingdings" w:hint="default"/>
      </w:rPr>
    </w:lvl>
    <w:lvl w:ilvl="5" w:tplc="FBB05CFE" w:tentative="1">
      <w:start w:val="1"/>
      <w:numFmt w:val="bullet"/>
      <w:lvlText w:val=""/>
      <w:lvlJc w:val="left"/>
      <w:pPr>
        <w:tabs>
          <w:tab w:val="num" w:pos="4320"/>
        </w:tabs>
        <w:ind w:left="4320" w:hanging="360"/>
      </w:pPr>
      <w:rPr>
        <w:rFonts w:ascii="Wingdings" w:hAnsi="Wingdings" w:hint="default"/>
      </w:rPr>
    </w:lvl>
    <w:lvl w:ilvl="6" w:tplc="073029E6" w:tentative="1">
      <w:start w:val="1"/>
      <w:numFmt w:val="bullet"/>
      <w:lvlText w:val=""/>
      <w:lvlJc w:val="left"/>
      <w:pPr>
        <w:tabs>
          <w:tab w:val="num" w:pos="5040"/>
        </w:tabs>
        <w:ind w:left="5040" w:hanging="360"/>
      </w:pPr>
      <w:rPr>
        <w:rFonts w:ascii="Wingdings" w:hAnsi="Wingdings" w:hint="default"/>
      </w:rPr>
    </w:lvl>
    <w:lvl w:ilvl="7" w:tplc="B61E48EE" w:tentative="1">
      <w:start w:val="1"/>
      <w:numFmt w:val="bullet"/>
      <w:lvlText w:val=""/>
      <w:lvlJc w:val="left"/>
      <w:pPr>
        <w:tabs>
          <w:tab w:val="num" w:pos="5760"/>
        </w:tabs>
        <w:ind w:left="5760" w:hanging="360"/>
      </w:pPr>
      <w:rPr>
        <w:rFonts w:ascii="Wingdings" w:hAnsi="Wingdings" w:hint="default"/>
      </w:rPr>
    </w:lvl>
    <w:lvl w:ilvl="8" w:tplc="4EEC36F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600B5D"/>
    <w:multiLevelType w:val="hybridMultilevel"/>
    <w:tmpl w:val="3E408ABE"/>
    <w:lvl w:ilvl="0" w:tplc="063C9A62">
      <w:start w:val="1"/>
      <w:numFmt w:val="bullet"/>
      <w:lvlText w:val=""/>
      <w:lvlJc w:val="left"/>
      <w:pPr>
        <w:tabs>
          <w:tab w:val="num" w:pos="720"/>
        </w:tabs>
        <w:ind w:left="720" w:hanging="360"/>
      </w:pPr>
      <w:rPr>
        <w:rFonts w:ascii="Wingdings" w:hAnsi="Wingdings" w:hint="default"/>
      </w:rPr>
    </w:lvl>
    <w:lvl w:ilvl="1" w:tplc="133C50CA" w:tentative="1">
      <w:start w:val="1"/>
      <w:numFmt w:val="bullet"/>
      <w:lvlText w:val=""/>
      <w:lvlJc w:val="left"/>
      <w:pPr>
        <w:tabs>
          <w:tab w:val="num" w:pos="1440"/>
        </w:tabs>
        <w:ind w:left="1440" w:hanging="360"/>
      </w:pPr>
      <w:rPr>
        <w:rFonts w:ascii="Wingdings" w:hAnsi="Wingdings" w:hint="default"/>
      </w:rPr>
    </w:lvl>
    <w:lvl w:ilvl="2" w:tplc="D0FE1A28" w:tentative="1">
      <w:start w:val="1"/>
      <w:numFmt w:val="bullet"/>
      <w:lvlText w:val=""/>
      <w:lvlJc w:val="left"/>
      <w:pPr>
        <w:tabs>
          <w:tab w:val="num" w:pos="2160"/>
        </w:tabs>
        <w:ind w:left="2160" w:hanging="360"/>
      </w:pPr>
      <w:rPr>
        <w:rFonts w:ascii="Wingdings" w:hAnsi="Wingdings" w:hint="default"/>
      </w:rPr>
    </w:lvl>
    <w:lvl w:ilvl="3" w:tplc="BC521022" w:tentative="1">
      <w:start w:val="1"/>
      <w:numFmt w:val="bullet"/>
      <w:lvlText w:val=""/>
      <w:lvlJc w:val="left"/>
      <w:pPr>
        <w:tabs>
          <w:tab w:val="num" w:pos="2880"/>
        </w:tabs>
        <w:ind w:left="2880" w:hanging="360"/>
      </w:pPr>
      <w:rPr>
        <w:rFonts w:ascii="Wingdings" w:hAnsi="Wingdings" w:hint="default"/>
      </w:rPr>
    </w:lvl>
    <w:lvl w:ilvl="4" w:tplc="5EDEE18C" w:tentative="1">
      <w:start w:val="1"/>
      <w:numFmt w:val="bullet"/>
      <w:lvlText w:val=""/>
      <w:lvlJc w:val="left"/>
      <w:pPr>
        <w:tabs>
          <w:tab w:val="num" w:pos="3600"/>
        </w:tabs>
        <w:ind w:left="3600" w:hanging="360"/>
      </w:pPr>
      <w:rPr>
        <w:rFonts w:ascii="Wingdings" w:hAnsi="Wingdings" w:hint="default"/>
      </w:rPr>
    </w:lvl>
    <w:lvl w:ilvl="5" w:tplc="49EC7036" w:tentative="1">
      <w:start w:val="1"/>
      <w:numFmt w:val="bullet"/>
      <w:lvlText w:val=""/>
      <w:lvlJc w:val="left"/>
      <w:pPr>
        <w:tabs>
          <w:tab w:val="num" w:pos="4320"/>
        </w:tabs>
        <w:ind w:left="4320" w:hanging="360"/>
      </w:pPr>
      <w:rPr>
        <w:rFonts w:ascii="Wingdings" w:hAnsi="Wingdings" w:hint="default"/>
      </w:rPr>
    </w:lvl>
    <w:lvl w:ilvl="6" w:tplc="2A520166" w:tentative="1">
      <w:start w:val="1"/>
      <w:numFmt w:val="bullet"/>
      <w:lvlText w:val=""/>
      <w:lvlJc w:val="left"/>
      <w:pPr>
        <w:tabs>
          <w:tab w:val="num" w:pos="5040"/>
        </w:tabs>
        <w:ind w:left="5040" w:hanging="360"/>
      </w:pPr>
      <w:rPr>
        <w:rFonts w:ascii="Wingdings" w:hAnsi="Wingdings" w:hint="default"/>
      </w:rPr>
    </w:lvl>
    <w:lvl w:ilvl="7" w:tplc="1D828918" w:tentative="1">
      <w:start w:val="1"/>
      <w:numFmt w:val="bullet"/>
      <w:lvlText w:val=""/>
      <w:lvlJc w:val="left"/>
      <w:pPr>
        <w:tabs>
          <w:tab w:val="num" w:pos="5760"/>
        </w:tabs>
        <w:ind w:left="5760" w:hanging="360"/>
      </w:pPr>
      <w:rPr>
        <w:rFonts w:ascii="Wingdings" w:hAnsi="Wingdings" w:hint="default"/>
      </w:rPr>
    </w:lvl>
    <w:lvl w:ilvl="8" w:tplc="E1B0D34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F33FD6"/>
    <w:multiLevelType w:val="hybridMultilevel"/>
    <w:tmpl w:val="4E4AFF2E"/>
    <w:lvl w:ilvl="0" w:tplc="B0C645C8">
      <w:start w:val="5"/>
      <w:numFmt w:val="bullet"/>
      <w:lvlText w:val="•"/>
      <w:lvlJc w:val="left"/>
      <w:pPr>
        <w:ind w:left="1080" w:hanging="72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860DD6"/>
    <w:multiLevelType w:val="hybridMultilevel"/>
    <w:tmpl w:val="FBA0EED4"/>
    <w:lvl w:ilvl="0" w:tplc="F662A156">
      <w:start w:val="1"/>
      <w:numFmt w:val="bullet"/>
      <w:lvlText w:val=""/>
      <w:lvlJc w:val="left"/>
      <w:pPr>
        <w:tabs>
          <w:tab w:val="num" w:pos="720"/>
        </w:tabs>
        <w:ind w:left="720" w:hanging="360"/>
      </w:pPr>
      <w:rPr>
        <w:rFonts w:ascii="Wingdings" w:hAnsi="Wingdings" w:hint="default"/>
      </w:rPr>
    </w:lvl>
    <w:lvl w:ilvl="1" w:tplc="07C8E0AE" w:tentative="1">
      <w:start w:val="1"/>
      <w:numFmt w:val="bullet"/>
      <w:lvlText w:val=""/>
      <w:lvlJc w:val="left"/>
      <w:pPr>
        <w:tabs>
          <w:tab w:val="num" w:pos="1440"/>
        </w:tabs>
        <w:ind w:left="1440" w:hanging="360"/>
      </w:pPr>
      <w:rPr>
        <w:rFonts w:ascii="Wingdings" w:hAnsi="Wingdings" w:hint="default"/>
      </w:rPr>
    </w:lvl>
    <w:lvl w:ilvl="2" w:tplc="0BEA4EA2" w:tentative="1">
      <w:start w:val="1"/>
      <w:numFmt w:val="bullet"/>
      <w:lvlText w:val=""/>
      <w:lvlJc w:val="left"/>
      <w:pPr>
        <w:tabs>
          <w:tab w:val="num" w:pos="2160"/>
        </w:tabs>
        <w:ind w:left="2160" w:hanging="360"/>
      </w:pPr>
      <w:rPr>
        <w:rFonts w:ascii="Wingdings" w:hAnsi="Wingdings" w:hint="default"/>
      </w:rPr>
    </w:lvl>
    <w:lvl w:ilvl="3" w:tplc="F072D2DA" w:tentative="1">
      <w:start w:val="1"/>
      <w:numFmt w:val="bullet"/>
      <w:lvlText w:val=""/>
      <w:lvlJc w:val="left"/>
      <w:pPr>
        <w:tabs>
          <w:tab w:val="num" w:pos="2880"/>
        </w:tabs>
        <w:ind w:left="2880" w:hanging="360"/>
      </w:pPr>
      <w:rPr>
        <w:rFonts w:ascii="Wingdings" w:hAnsi="Wingdings" w:hint="default"/>
      </w:rPr>
    </w:lvl>
    <w:lvl w:ilvl="4" w:tplc="6FA22A08" w:tentative="1">
      <w:start w:val="1"/>
      <w:numFmt w:val="bullet"/>
      <w:lvlText w:val=""/>
      <w:lvlJc w:val="left"/>
      <w:pPr>
        <w:tabs>
          <w:tab w:val="num" w:pos="3600"/>
        </w:tabs>
        <w:ind w:left="3600" w:hanging="360"/>
      </w:pPr>
      <w:rPr>
        <w:rFonts w:ascii="Wingdings" w:hAnsi="Wingdings" w:hint="default"/>
      </w:rPr>
    </w:lvl>
    <w:lvl w:ilvl="5" w:tplc="E8CA3FEA" w:tentative="1">
      <w:start w:val="1"/>
      <w:numFmt w:val="bullet"/>
      <w:lvlText w:val=""/>
      <w:lvlJc w:val="left"/>
      <w:pPr>
        <w:tabs>
          <w:tab w:val="num" w:pos="4320"/>
        </w:tabs>
        <w:ind w:left="4320" w:hanging="360"/>
      </w:pPr>
      <w:rPr>
        <w:rFonts w:ascii="Wingdings" w:hAnsi="Wingdings" w:hint="default"/>
      </w:rPr>
    </w:lvl>
    <w:lvl w:ilvl="6" w:tplc="6E98418E" w:tentative="1">
      <w:start w:val="1"/>
      <w:numFmt w:val="bullet"/>
      <w:lvlText w:val=""/>
      <w:lvlJc w:val="left"/>
      <w:pPr>
        <w:tabs>
          <w:tab w:val="num" w:pos="5040"/>
        </w:tabs>
        <w:ind w:left="5040" w:hanging="360"/>
      </w:pPr>
      <w:rPr>
        <w:rFonts w:ascii="Wingdings" w:hAnsi="Wingdings" w:hint="default"/>
      </w:rPr>
    </w:lvl>
    <w:lvl w:ilvl="7" w:tplc="565EC5F2" w:tentative="1">
      <w:start w:val="1"/>
      <w:numFmt w:val="bullet"/>
      <w:lvlText w:val=""/>
      <w:lvlJc w:val="left"/>
      <w:pPr>
        <w:tabs>
          <w:tab w:val="num" w:pos="5760"/>
        </w:tabs>
        <w:ind w:left="5760" w:hanging="360"/>
      </w:pPr>
      <w:rPr>
        <w:rFonts w:ascii="Wingdings" w:hAnsi="Wingdings" w:hint="default"/>
      </w:rPr>
    </w:lvl>
    <w:lvl w:ilvl="8" w:tplc="629A18C6"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3"/>
  </w:num>
  <w:num w:numId="4">
    <w:abstractNumId w:val="45"/>
  </w:num>
  <w:num w:numId="5">
    <w:abstractNumId w:val="31"/>
  </w:num>
  <w:num w:numId="6">
    <w:abstractNumId w:val="8"/>
  </w:num>
  <w:num w:numId="7">
    <w:abstractNumId w:val="38"/>
  </w:num>
  <w:num w:numId="8">
    <w:abstractNumId w:val="2"/>
  </w:num>
  <w:num w:numId="9">
    <w:abstractNumId w:val="22"/>
  </w:num>
  <w:num w:numId="10">
    <w:abstractNumId w:val="16"/>
  </w:num>
  <w:num w:numId="11">
    <w:abstractNumId w:val="34"/>
  </w:num>
  <w:num w:numId="12">
    <w:abstractNumId w:val="42"/>
  </w:num>
  <w:num w:numId="13">
    <w:abstractNumId w:val="43"/>
  </w:num>
  <w:num w:numId="14">
    <w:abstractNumId w:val="7"/>
  </w:num>
  <w:num w:numId="15">
    <w:abstractNumId w:val="30"/>
  </w:num>
  <w:num w:numId="16">
    <w:abstractNumId w:val="26"/>
  </w:num>
  <w:num w:numId="17">
    <w:abstractNumId w:val="6"/>
  </w:num>
  <w:num w:numId="18">
    <w:abstractNumId w:val="40"/>
  </w:num>
  <w:num w:numId="19">
    <w:abstractNumId w:val="0"/>
  </w:num>
  <w:num w:numId="20">
    <w:abstractNumId w:val="13"/>
  </w:num>
  <w:num w:numId="21">
    <w:abstractNumId w:val="14"/>
  </w:num>
  <w:num w:numId="22">
    <w:abstractNumId w:val="44"/>
  </w:num>
  <w:num w:numId="23">
    <w:abstractNumId w:val="21"/>
  </w:num>
  <w:num w:numId="24">
    <w:abstractNumId w:val="24"/>
  </w:num>
  <w:num w:numId="25">
    <w:abstractNumId w:val="10"/>
  </w:num>
  <w:num w:numId="26">
    <w:abstractNumId w:val="46"/>
  </w:num>
  <w:num w:numId="27">
    <w:abstractNumId w:val="39"/>
  </w:num>
  <w:num w:numId="28">
    <w:abstractNumId w:val="36"/>
  </w:num>
  <w:num w:numId="29">
    <w:abstractNumId w:val="29"/>
  </w:num>
  <w:num w:numId="30">
    <w:abstractNumId w:val="35"/>
  </w:num>
  <w:num w:numId="31">
    <w:abstractNumId w:val="32"/>
  </w:num>
  <w:num w:numId="32">
    <w:abstractNumId w:val="17"/>
  </w:num>
  <w:num w:numId="33">
    <w:abstractNumId w:val="1"/>
  </w:num>
  <w:num w:numId="34">
    <w:abstractNumId w:val="11"/>
  </w:num>
  <w:num w:numId="35">
    <w:abstractNumId w:val="3"/>
  </w:num>
  <w:num w:numId="36">
    <w:abstractNumId w:val="9"/>
  </w:num>
  <w:num w:numId="3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9"/>
  </w:num>
  <w:num w:numId="43">
    <w:abstractNumId w:val="15"/>
  </w:num>
  <w:num w:numId="44">
    <w:abstractNumId w:val="37"/>
  </w:num>
  <w:num w:numId="45">
    <w:abstractNumId w:val="27"/>
  </w:num>
  <w:num w:numId="46">
    <w:abstractNumId w:val="18"/>
  </w:num>
  <w:num w:numId="47">
    <w:abstractNumId w:val="23"/>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053"/>
    <w:rsid w:val="000013C8"/>
    <w:rsid w:val="0000199E"/>
    <w:rsid w:val="00002082"/>
    <w:rsid w:val="0000758A"/>
    <w:rsid w:val="00012AE0"/>
    <w:rsid w:val="0001466E"/>
    <w:rsid w:val="000168CC"/>
    <w:rsid w:val="00017EAF"/>
    <w:rsid w:val="0002053D"/>
    <w:rsid w:val="00022B7E"/>
    <w:rsid w:val="00023CC9"/>
    <w:rsid w:val="0002411A"/>
    <w:rsid w:val="00026248"/>
    <w:rsid w:val="000314E3"/>
    <w:rsid w:val="00031B49"/>
    <w:rsid w:val="00032328"/>
    <w:rsid w:val="00032B94"/>
    <w:rsid w:val="00042D83"/>
    <w:rsid w:val="00043839"/>
    <w:rsid w:val="000445E6"/>
    <w:rsid w:val="00046E24"/>
    <w:rsid w:val="00050647"/>
    <w:rsid w:val="000510D8"/>
    <w:rsid w:val="000512BF"/>
    <w:rsid w:val="00056956"/>
    <w:rsid w:val="00056EFC"/>
    <w:rsid w:val="00061569"/>
    <w:rsid w:val="00061896"/>
    <w:rsid w:val="00062DAA"/>
    <w:rsid w:val="00063638"/>
    <w:rsid w:val="00063999"/>
    <w:rsid w:val="00063F3A"/>
    <w:rsid w:val="000646F7"/>
    <w:rsid w:val="00067EF7"/>
    <w:rsid w:val="00070507"/>
    <w:rsid w:val="000717F9"/>
    <w:rsid w:val="000802CA"/>
    <w:rsid w:val="0008102D"/>
    <w:rsid w:val="00081BBC"/>
    <w:rsid w:val="000821EB"/>
    <w:rsid w:val="000824E8"/>
    <w:rsid w:val="00083114"/>
    <w:rsid w:val="00085666"/>
    <w:rsid w:val="00086851"/>
    <w:rsid w:val="00086C54"/>
    <w:rsid w:val="00086DE8"/>
    <w:rsid w:val="00090923"/>
    <w:rsid w:val="0009366B"/>
    <w:rsid w:val="00093D5C"/>
    <w:rsid w:val="00096F47"/>
    <w:rsid w:val="00097B87"/>
    <w:rsid w:val="000A13BB"/>
    <w:rsid w:val="000A2E12"/>
    <w:rsid w:val="000A59FD"/>
    <w:rsid w:val="000A5EDE"/>
    <w:rsid w:val="000A7A7A"/>
    <w:rsid w:val="000A7EF6"/>
    <w:rsid w:val="000B1CC9"/>
    <w:rsid w:val="000B39CE"/>
    <w:rsid w:val="000B4D32"/>
    <w:rsid w:val="000B5B6A"/>
    <w:rsid w:val="000B6518"/>
    <w:rsid w:val="000B6FB1"/>
    <w:rsid w:val="000B7956"/>
    <w:rsid w:val="000C04C7"/>
    <w:rsid w:val="000C44BF"/>
    <w:rsid w:val="000C58DE"/>
    <w:rsid w:val="000C6E8F"/>
    <w:rsid w:val="000C7544"/>
    <w:rsid w:val="000D0369"/>
    <w:rsid w:val="000D056B"/>
    <w:rsid w:val="000D0833"/>
    <w:rsid w:val="000D1327"/>
    <w:rsid w:val="000D1CE1"/>
    <w:rsid w:val="000D4B54"/>
    <w:rsid w:val="000D5FE6"/>
    <w:rsid w:val="000D643B"/>
    <w:rsid w:val="000D6E92"/>
    <w:rsid w:val="000E0812"/>
    <w:rsid w:val="000E180B"/>
    <w:rsid w:val="000E23B7"/>
    <w:rsid w:val="000E3799"/>
    <w:rsid w:val="000E3965"/>
    <w:rsid w:val="000E4C02"/>
    <w:rsid w:val="000E52D7"/>
    <w:rsid w:val="000F02A5"/>
    <w:rsid w:val="000F18A5"/>
    <w:rsid w:val="000F1A19"/>
    <w:rsid w:val="000F44E5"/>
    <w:rsid w:val="000F75D5"/>
    <w:rsid w:val="00100292"/>
    <w:rsid w:val="00104F2D"/>
    <w:rsid w:val="00105E7D"/>
    <w:rsid w:val="0010725D"/>
    <w:rsid w:val="001108CB"/>
    <w:rsid w:val="00112A42"/>
    <w:rsid w:val="00114076"/>
    <w:rsid w:val="00120AD2"/>
    <w:rsid w:val="00121106"/>
    <w:rsid w:val="00121C31"/>
    <w:rsid w:val="00122824"/>
    <w:rsid w:val="001232C1"/>
    <w:rsid w:val="00124824"/>
    <w:rsid w:val="00124A6D"/>
    <w:rsid w:val="00124C08"/>
    <w:rsid w:val="001262D2"/>
    <w:rsid w:val="0012674D"/>
    <w:rsid w:val="00126F10"/>
    <w:rsid w:val="001272AE"/>
    <w:rsid w:val="00132091"/>
    <w:rsid w:val="00132DE8"/>
    <w:rsid w:val="00136DD3"/>
    <w:rsid w:val="00137997"/>
    <w:rsid w:val="0014064C"/>
    <w:rsid w:val="00140952"/>
    <w:rsid w:val="0014264D"/>
    <w:rsid w:val="00144FF6"/>
    <w:rsid w:val="00145863"/>
    <w:rsid w:val="00145F24"/>
    <w:rsid w:val="00150CF8"/>
    <w:rsid w:val="001538F1"/>
    <w:rsid w:val="00153A32"/>
    <w:rsid w:val="00154E08"/>
    <w:rsid w:val="00157547"/>
    <w:rsid w:val="001603DD"/>
    <w:rsid w:val="00160C8A"/>
    <w:rsid w:val="0016103A"/>
    <w:rsid w:val="00161704"/>
    <w:rsid w:val="001617EA"/>
    <w:rsid w:val="0016239A"/>
    <w:rsid w:val="00165B26"/>
    <w:rsid w:val="0016603C"/>
    <w:rsid w:val="00170DBE"/>
    <w:rsid w:val="00174A71"/>
    <w:rsid w:val="0017508D"/>
    <w:rsid w:val="001756FE"/>
    <w:rsid w:val="00175ED9"/>
    <w:rsid w:val="00176A0D"/>
    <w:rsid w:val="00177B80"/>
    <w:rsid w:val="001834CA"/>
    <w:rsid w:val="001879FC"/>
    <w:rsid w:val="0019402E"/>
    <w:rsid w:val="001940EE"/>
    <w:rsid w:val="00196C83"/>
    <w:rsid w:val="001A3F66"/>
    <w:rsid w:val="001A4219"/>
    <w:rsid w:val="001A4B7E"/>
    <w:rsid w:val="001A6F7D"/>
    <w:rsid w:val="001B0266"/>
    <w:rsid w:val="001B2473"/>
    <w:rsid w:val="001B335C"/>
    <w:rsid w:val="001B5446"/>
    <w:rsid w:val="001B70C6"/>
    <w:rsid w:val="001C219D"/>
    <w:rsid w:val="001C68EA"/>
    <w:rsid w:val="001D2B03"/>
    <w:rsid w:val="001D4623"/>
    <w:rsid w:val="001D4C40"/>
    <w:rsid w:val="001D68E8"/>
    <w:rsid w:val="001D75FA"/>
    <w:rsid w:val="001E121A"/>
    <w:rsid w:val="001E523B"/>
    <w:rsid w:val="001E52B8"/>
    <w:rsid w:val="001E6335"/>
    <w:rsid w:val="001E7E3C"/>
    <w:rsid w:val="001F4EA7"/>
    <w:rsid w:val="001F6381"/>
    <w:rsid w:val="001F6461"/>
    <w:rsid w:val="001F736A"/>
    <w:rsid w:val="00202E2E"/>
    <w:rsid w:val="002120FC"/>
    <w:rsid w:val="002127F7"/>
    <w:rsid w:val="0021387E"/>
    <w:rsid w:val="00213B39"/>
    <w:rsid w:val="00214A2F"/>
    <w:rsid w:val="002176A9"/>
    <w:rsid w:val="00220C71"/>
    <w:rsid w:val="00220C8C"/>
    <w:rsid w:val="0022374C"/>
    <w:rsid w:val="00224278"/>
    <w:rsid w:val="00224B30"/>
    <w:rsid w:val="00224CF9"/>
    <w:rsid w:val="00224FC0"/>
    <w:rsid w:val="0022538A"/>
    <w:rsid w:val="00225D04"/>
    <w:rsid w:val="00226634"/>
    <w:rsid w:val="00226E7D"/>
    <w:rsid w:val="002271C3"/>
    <w:rsid w:val="002339F0"/>
    <w:rsid w:val="00240B62"/>
    <w:rsid w:val="00243E06"/>
    <w:rsid w:val="00244F39"/>
    <w:rsid w:val="002453E8"/>
    <w:rsid w:val="0024772F"/>
    <w:rsid w:val="00247ACC"/>
    <w:rsid w:val="00250965"/>
    <w:rsid w:val="0025188A"/>
    <w:rsid w:val="002524D2"/>
    <w:rsid w:val="0025322A"/>
    <w:rsid w:val="00255B12"/>
    <w:rsid w:val="00257DFB"/>
    <w:rsid w:val="0026017D"/>
    <w:rsid w:val="002605AF"/>
    <w:rsid w:val="00262E16"/>
    <w:rsid w:val="00264144"/>
    <w:rsid w:val="00264AAD"/>
    <w:rsid w:val="00265A3A"/>
    <w:rsid w:val="00266311"/>
    <w:rsid w:val="00267CD7"/>
    <w:rsid w:val="002719E9"/>
    <w:rsid w:val="00271C69"/>
    <w:rsid w:val="002729DE"/>
    <w:rsid w:val="00272A76"/>
    <w:rsid w:val="00274999"/>
    <w:rsid w:val="00276A35"/>
    <w:rsid w:val="00280F35"/>
    <w:rsid w:val="00282D74"/>
    <w:rsid w:val="00284C24"/>
    <w:rsid w:val="002855C0"/>
    <w:rsid w:val="00286643"/>
    <w:rsid w:val="0028735D"/>
    <w:rsid w:val="002873D1"/>
    <w:rsid w:val="00291777"/>
    <w:rsid w:val="00292226"/>
    <w:rsid w:val="002958F2"/>
    <w:rsid w:val="002964BD"/>
    <w:rsid w:val="00297FCC"/>
    <w:rsid w:val="002A65A2"/>
    <w:rsid w:val="002A6A8D"/>
    <w:rsid w:val="002A736F"/>
    <w:rsid w:val="002B0FB5"/>
    <w:rsid w:val="002B24C8"/>
    <w:rsid w:val="002B2FF4"/>
    <w:rsid w:val="002B30E5"/>
    <w:rsid w:val="002B3383"/>
    <w:rsid w:val="002B3760"/>
    <w:rsid w:val="002B464C"/>
    <w:rsid w:val="002B5251"/>
    <w:rsid w:val="002B6B90"/>
    <w:rsid w:val="002C0BDA"/>
    <w:rsid w:val="002C34A7"/>
    <w:rsid w:val="002C45DB"/>
    <w:rsid w:val="002C798A"/>
    <w:rsid w:val="002D0EC1"/>
    <w:rsid w:val="002D457B"/>
    <w:rsid w:val="002D5393"/>
    <w:rsid w:val="002D6A14"/>
    <w:rsid w:val="002D731D"/>
    <w:rsid w:val="002E0C26"/>
    <w:rsid w:val="002E1220"/>
    <w:rsid w:val="002E3175"/>
    <w:rsid w:val="002E3A4A"/>
    <w:rsid w:val="002E5031"/>
    <w:rsid w:val="002E5A85"/>
    <w:rsid w:val="002F0FF8"/>
    <w:rsid w:val="002F2D8A"/>
    <w:rsid w:val="002F343A"/>
    <w:rsid w:val="002F3BA7"/>
    <w:rsid w:val="002F7AED"/>
    <w:rsid w:val="003006B1"/>
    <w:rsid w:val="003049FF"/>
    <w:rsid w:val="00304C29"/>
    <w:rsid w:val="003059C5"/>
    <w:rsid w:val="00306045"/>
    <w:rsid w:val="00306F8A"/>
    <w:rsid w:val="0031020F"/>
    <w:rsid w:val="00310D1D"/>
    <w:rsid w:val="003127F0"/>
    <w:rsid w:val="00313A6E"/>
    <w:rsid w:val="00315F1D"/>
    <w:rsid w:val="0031622F"/>
    <w:rsid w:val="00316D42"/>
    <w:rsid w:val="00317570"/>
    <w:rsid w:val="00320283"/>
    <w:rsid w:val="003210F7"/>
    <w:rsid w:val="00321FD1"/>
    <w:rsid w:val="00322900"/>
    <w:rsid w:val="00322AA9"/>
    <w:rsid w:val="0032664A"/>
    <w:rsid w:val="00330D8B"/>
    <w:rsid w:val="00332211"/>
    <w:rsid w:val="00334453"/>
    <w:rsid w:val="00337233"/>
    <w:rsid w:val="003378EB"/>
    <w:rsid w:val="00340677"/>
    <w:rsid w:val="00344A08"/>
    <w:rsid w:val="00352B7A"/>
    <w:rsid w:val="003533BF"/>
    <w:rsid w:val="003534B7"/>
    <w:rsid w:val="003538D2"/>
    <w:rsid w:val="003545CA"/>
    <w:rsid w:val="00354898"/>
    <w:rsid w:val="003562AA"/>
    <w:rsid w:val="00356393"/>
    <w:rsid w:val="003570BE"/>
    <w:rsid w:val="0035799D"/>
    <w:rsid w:val="00360A88"/>
    <w:rsid w:val="00362E79"/>
    <w:rsid w:val="00362EFD"/>
    <w:rsid w:val="003646C2"/>
    <w:rsid w:val="0036794C"/>
    <w:rsid w:val="00367B90"/>
    <w:rsid w:val="003723C1"/>
    <w:rsid w:val="00373133"/>
    <w:rsid w:val="00373D49"/>
    <w:rsid w:val="0037442B"/>
    <w:rsid w:val="00382C7D"/>
    <w:rsid w:val="00384169"/>
    <w:rsid w:val="00386078"/>
    <w:rsid w:val="00386897"/>
    <w:rsid w:val="003942D3"/>
    <w:rsid w:val="003A04EB"/>
    <w:rsid w:val="003A0DAA"/>
    <w:rsid w:val="003A1A21"/>
    <w:rsid w:val="003A420C"/>
    <w:rsid w:val="003B0495"/>
    <w:rsid w:val="003B0FA7"/>
    <w:rsid w:val="003B1D2C"/>
    <w:rsid w:val="003B39E1"/>
    <w:rsid w:val="003B3C23"/>
    <w:rsid w:val="003B3D72"/>
    <w:rsid w:val="003B4415"/>
    <w:rsid w:val="003B4AC6"/>
    <w:rsid w:val="003B56CC"/>
    <w:rsid w:val="003B5A1A"/>
    <w:rsid w:val="003C166F"/>
    <w:rsid w:val="003C4C33"/>
    <w:rsid w:val="003C5715"/>
    <w:rsid w:val="003C7C42"/>
    <w:rsid w:val="003D02BF"/>
    <w:rsid w:val="003D124E"/>
    <w:rsid w:val="003D26E2"/>
    <w:rsid w:val="003D3CFF"/>
    <w:rsid w:val="003D47DE"/>
    <w:rsid w:val="003E3C6D"/>
    <w:rsid w:val="003E4544"/>
    <w:rsid w:val="003E4650"/>
    <w:rsid w:val="003E6FF7"/>
    <w:rsid w:val="003E7F3A"/>
    <w:rsid w:val="003F06DE"/>
    <w:rsid w:val="003F0F71"/>
    <w:rsid w:val="003F1CFC"/>
    <w:rsid w:val="003F1F75"/>
    <w:rsid w:val="003F3EA4"/>
    <w:rsid w:val="003F5F4F"/>
    <w:rsid w:val="003F78CE"/>
    <w:rsid w:val="003F7DDA"/>
    <w:rsid w:val="003F7E2B"/>
    <w:rsid w:val="00400E14"/>
    <w:rsid w:val="00402557"/>
    <w:rsid w:val="0040472C"/>
    <w:rsid w:val="00404EE0"/>
    <w:rsid w:val="00405053"/>
    <w:rsid w:val="004059BC"/>
    <w:rsid w:val="0041119E"/>
    <w:rsid w:val="0041279D"/>
    <w:rsid w:val="00416990"/>
    <w:rsid w:val="004170A5"/>
    <w:rsid w:val="00417847"/>
    <w:rsid w:val="0041798A"/>
    <w:rsid w:val="00417C21"/>
    <w:rsid w:val="004207FC"/>
    <w:rsid w:val="00421F9E"/>
    <w:rsid w:val="004303DB"/>
    <w:rsid w:val="00431BA5"/>
    <w:rsid w:val="00432CCE"/>
    <w:rsid w:val="00432E41"/>
    <w:rsid w:val="0043335F"/>
    <w:rsid w:val="004348CC"/>
    <w:rsid w:val="004363C9"/>
    <w:rsid w:val="00440A2C"/>
    <w:rsid w:val="00440ED9"/>
    <w:rsid w:val="004417EA"/>
    <w:rsid w:val="004418A4"/>
    <w:rsid w:val="00441B75"/>
    <w:rsid w:val="00451391"/>
    <w:rsid w:val="0045238B"/>
    <w:rsid w:val="00453EC2"/>
    <w:rsid w:val="00455194"/>
    <w:rsid w:val="00455D7A"/>
    <w:rsid w:val="004603EE"/>
    <w:rsid w:val="0046548D"/>
    <w:rsid w:val="00466858"/>
    <w:rsid w:val="0046691C"/>
    <w:rsid w:val="004675F1"/>
    <w:rsid w:val="00471711"/>
    <w:rsid w:val="00471917"/>
    <w:rsid w:val="00472AE7"/>
    <w:rsid w:val="004736C9"/>
    <w:rsid w:val="004751E9"/>
    <w:rsid w:val="00475B27"/>
    <w:rsid w:val="0048217F"/>
    <w:rsid w:val="00483EB3"/>
    <w:rsid w:val="0048657B"/>
    <w:rsid w:val="00492138"/>
    <w:rsid w:val="00494B44"/>
    <w:rsid w:val="004967FC"/>
    <w:rsid w:val="004969C3"/>
    <w:rsid w:val="00496E08"/>
    <w:rsid w:val="004A2EEC"/>
    <w:rsid w:val="004A3931"/>
    <w:rsid w:val="004A49A5"/>
    <w:rsid w:val="004A516E"/>
    <w:rsid w:val="004A671F"/>
    <w:rsid w:val="004A779D"/>
    <w:rsid w:val="004B2544"/>
    <w:rsid w:val="004B25A6"/>
    <w:rsid w:val="004B2DA4"/>
    <w:rsid w:val="004B31F4"/>
    <w:rsid w:val="004B4462"/>
    <w:rsid w:val="004B4BFE"/>
    <w:rsid w:val="004B4F03"/>
    <w:rsid w:val="004B5750"/>
    <w:rsid w:val="004C05F1"/>
    <w:rsid w:val="004C29EC"/>
    <w:rsid w:val="004C393E"/>
    <w:rsid w:val="004C4984"/>
    <w:rsid w:val="004C6B8B"/>
    <w:rsid w:val="004D43B3"/>
    <w:rsid w:val="004D4A12"/>
    <w:rsid w:val="004D4B76"/>
    <w:rsid w:val="004D5961"/>
    <w:rsid w:val="004D782E"/>
    <w:rsid w:val="004E047F"/>
    <w:rsid w:val="004E5794"/>
    <w:rsid w:val="004F04F1"/>
    <w:rsid w:val="004F0FF0"/>
    <w:rsid w:val="004F4359"/>
    <w:rsid w:val="004F4D16"/>
    <w:rsid w:val="004F6C98"/>
    <w:rsid w:val="004F72D0"/>
    <w:rsid w:val="004F7A4A"/>
    <w:rsid w:val="005015C4"/>
    <w:rsid w:val="00502854"/>
    <w:rsid w:val="00502ABE"/>
    <w:rsid w:val="0050326E"/>
    <w:rsid w:val="00503A64"/>
    <w:rsid w:val="0050614E"/>
    <w:rsid w:val="00507DAF"/>
    <w:rsid w:val="00510777"/>
    <w:rsid w:val="005122C7"/>
    <w:rsid w:val="005135EE"/>
    <w:rsid w:val="00513E77"/>
    <w:rsid w:val="005175F5"/>
    <w:rsid w:val="00521971"/>
    <w:rsid w:val="00522B8B"/>
    <w:rsid w:val="005235D9"/>
    <w:rsid w:val="00525DAF"/>
    <w:rsid w:val="005304E7"/>
    <w:rsid w:val="005313B4"/>
    <w:rsid w:val="00534F29"/>
    <w:rsid w:val="0053535C"/>
    <w:rsid w:val="0053545A"/>
    <w:rsid w:val="0053637C"/>
    <w:rsid w:val="005403F6"/>
    <w:rsid w:val="00542306"/>
    <w:rsid w:val="00542AEF"/>
    <w:rsid w:val="00544AE6"/>
    <w:rsid w:val="005540EB"/>
    <w:rsid w:val="005559DE"/>
    <w:rsid w:val="0055687F"/>
    <w:rsid w:val="00556BDD"/>
    <w:rsid w:val="00557C9C"/>
    <w:rsid w:val="00570CEA"/>
    <w:rsid w:val="005742B0"/>
    <w:rsid w:val="00574E42"/>
    <w:rsid w:val="00575438"/>
    <w:rsid w:val="0057725D"/>
    <w:rsid w:val="00580E42"/>
    <w:rsid w:val="005813FF"/>
    <w:rsid w:val="00582C89"/>
    <w:rsid w:val="00582E58"/>
    <w:rsid w:val="0058349A"/>
    <w:rsid w:val="00583C7A"/>
    <w:rsid w:val="00594B77"/>
    <w:rsid w:val="00595813"/>
    <w:rsid w:val="00597E52"/>
    <w:rsid w:val="005A07EE"/>
    <w:rsid w:val="005A29A3"/>
    <w:rsid w:val="005A427F"/>
    <w:rsid w:val="005A55B6"/>
    <w:rsid w:val="005B06AD"/>
    <w:rsid w:val="005B2AB9"/>
    <w:rsid w:val="005B374C"/>
    <w:rsid w:val="005B5F75"/>
    <w:rsid w:val="005B6CA8"/>
    <w:rsid w:val="005B6EA9"/>
    <w:rsid w:val="005B70E6"/>
    <w:rsid w:val="005B76FD"/>
    <w:rsid w:val="005C0A60"/>
    <w:rsid w:val="005C0DF6"/>
    <w:rsid w:val="005C2888"/>
    <w:rsid w:val="005C3274"/>
    <w:rsid w:val="005C34B3"/>
    <w:rsid w:val="005C3ADE"/>
    <w:rsid w:val="005C41B5"/>
    <w:rsid w:val="005C4AB5"/>
    <w:rsid w:val="005C53BA"/>
    <w:rsid w:val="005D2AC9"/>
    <w:rsid w:val="005D4025"/>
    <w:rsid w:val="005D54C6"/>
    <w:rsid w:val="005D705D"/>
    <w:rsid w:val="005E43AA"/>
    <w:rsid w:val="005E4C25"/>
    <w:rsid w:val="005F0B10"/>
    <w:rsid w:val="006013D7"/>
    <w:rsid w:val="006018F2"/>
    <w:rsid w:val="00604281"/>
    <w:rsid w:val="006101C3"/>
    <w:rsid w:val="006227F9"/>
    <w:rsid w:val="00623520"/>
    <w:rsid w:val="00623CF7"/>
    <w:rsid w:val="006243DB"/>
    <w:rsid w:val="0062459B"/>
    <w:rsid w:val="006250E8"/>
    <w:rsid w:val="0062521B"/>
    <w:rsid w:val="00625E43"/>
    <w:rsid w:val="00637907"/>
    <w:rsid w:val="00640F2F"/>
    <w:rsid w:val="00641922"/>
    <w:rsid w:val="00643FE3"/>
    <w:rsid w:val="0064492B"/>
    <w:rsid w:val="00644F71"/>
    <w:rsid w:val="00647ACB"/>
    <w:rsid w:val="00647DD4"/>
    <w:rsid w:val="00650961"/>
    <w:rsid w:val="00651411"/>
    <w:rsid w:val="006518B2"/>
    <w:rsid w:val="00651B3E"/>
    <w:rsid w:val="00652A31"/>
    <w:rsid w:val="00653498"/>
    <w:rsid w:val="006545BE"/>
    <w:rsid w:val="00654FF7"/>
    <w:rsid w:val="006553C4"/>
    <w:rsid w:val="006554AB"/>
    <w:rsid w:val="00655F00"/>
    <w:rsid w:val="006568D0"/>
    <w:rsid w:val="00657359"/>
    <w:rsid w:val="00662731"/>
    <w:rsid w:val="00663AF0"/>
    <w:rsid w:val="006641A9"/>
    <w:rsid w:val="00664ED5"/>
    <w:rsid w:val="00665CBB"/>
    <w:rsid w:val="00666C22"/>
    <w:rsid w:val="00667795"/>
    <w:rsid w:val="00670AD2"/>
    <w:rsid w:val="00671877"/>
    <w:rsid w:val="00675620"/>
    <w:rsid w:val="006815F0"/>
    <w:rsid w:val="00683CB2"/>
    <w:rsid w:val="0068629F"/>
    <w:rsid w:val="00687E29"/>
    <w:rsid w:val="0069007B"/>
    <w:rsid w:val="006911C0"/>
    <w:rsid w:val="00693CA7"/>
    <w:rsid w:val="006A07C6"/>
    <w:rsid w:val="006A3BD7"/>
    <w:rsid w:val="006A546E"/>
    <w:rsid w:val="006A69A9"/>
    <w:rsid w:val="006A7E54"/>
    <w:rsid w:val="006B0BCA"/>
    <w:rsid w:val="006B4227"/>
    <w:rsid w:val="006B47E8"/>
    <w:rsid w:val="006B7016"/>
    <w:rsid w:val="006B73B1"/>
    <w:rsid w:val="006C2181"/>
    <w:rsid w:val="006C2848"/>
    <w:rsid w:val="006C490F"/>
    <w:rsid w:val="006C51C3"/>
    <w:rsid w:val="006C7565"/>
    <w:rsid w:val="006D3794"/>
    <w:rsid w:val="006D380E"/>
    <w:rsid w:val="006D5D86"/>
    <w:rsid w:val="006D7B28"/>
    <w:rsid w:val="006E0307"/>
    <w:rsid w:val="006E27D4"/>
    <w:rsid w:val="006E7404"/>
    <w:rsid w:val="006E74F0"/>
    <w:rsid w:val="006E7A30"/>
    <w:rsid w:val="006F04C1"/>
    <w:rsid w:val="006F12F7"/>
    <w:rsid w:val="006F14D2"/>
    <w:rsid w:val="006F6892"/>
    <w:rsid w:val="007017BF"/>
    <w:rsid w:val="00703F4A"/>
    <w:rsid w:val="00705948"/>
    <w:rsid w:val="00705D9D"/>
    <w:rsid w:val="0070601B"/>
    <w:rsid w:val="0070666C"/>
    <w:rsid w:val="0070672D"/>
    <w:rsid w:val="00707063"/>
    <w:rsid w:val="00710F32"/>
    <w:rsid w:val="007125E4"/>
    <w:rsid w:val="00713B04"/>
    <w:rsid w:val="00714C7F"/>
    <w:rsid w:val="00717417"/>
    <w:rsid w:val="00724BD0"/>
    <w:rsid w:val="00726EE1"/>
    <w:rsid w:val="00730D25"/>
    <w:rsid w:val="00731C96"/>
    <w:rsid w:val="00735293"/>
    <w:rsid w:val="00742E9A"/>
    <w:rsid w:val="00753DAA"/>
    <w:rsid w:val="00762398"/>
    <w:rsid w:val="0076348F"/>
    <w:rsid w:val="007651A1"/>
    <w:rsid w:val="007671A7"/>
    <w:rsid w:val="00767D0D"/>
    <w:rsid w:val="0077148C"/>
    <w:rsid w:val="007723E0"/>
    <w:rsid w:val="007731D1"/>
    <w:rsid w:val="00773CA7"/>
    <w:rsid w:val="00774245"/>
    <w:rsid w:val="00775064"/>
    <w:rsid w:val="007775F5"/>
    <w:rsid w:val="0078011E"/>
    <w:rsid w:val="0078019C"/>
    <w:rsid w:val="00780276"/>
    <w:rsid w:val="007805A5"/>
    <w:rsid w:val="007815DE"/>
    <w:rsid w:val="0078248B"/>
    <w:rsid w:val="00783ED0"/>
    <w:rsid w:val="00784194"/>
    <w:rsid w:val="007860AC"/>
    <w:rsid w:val="0078654C"/>
    <w:rsid w:val="00790714"/>
    <w:rsid w:val="007941FB"/>
    <w:rsid w:val="0079588D"/>
    <w:rsid w:val="007A4457"/>
    <w:rsid w:val="007A6541"/>
    <w:rsid w:val="007A7789"/>
    <w:rsid w:val="007B1536"/>
    <w:rsid w:val="007B1BAA"/>
    <w:rsid w:val="007B2B22"/>
    <w:rsid w:val="007B4D7D"/>
    <w:rsid w:val="007B5BDC"/>
    <w:rsid w:val="007B7C23"/>
    <w:rsid w:val="007C3CFF"/>
    <w:rsid w:val="007C3EF9"/>
    <w:rsid w:val="007C4FA7"/>
    <w:rsid w:val="007C5471"/>
    <w:rsid w:val="007C5833"/>
    <w:rsid w:val="007C6164"/>
    <w:rsid w:val="007D7B42"/>
    <w:rsid w:val="007E04B5"/>
    <w:rsid w:val="007E13D6"/>
    <w:rsid w:val="007E2336"/>
    <w:rsid w:val="007E5A93"/>
    <w:rsid w:val="007F12B1"/>
    <w:rsid w:val="007F2479"/>
    <w:rsid w:val="007F3DEF"/>
    <w:rsid w:val="007F7AC8"/>
    <w:rsid w:val="0080183C"/>
    <w:rsid w:val="00803A5B"/>
    <w:rsid w:val="00804450"/>
    <w:rsid w:val="00805780"/>
    <w:rsid w:val="00806781"/>
    <w:rsid w:val="00810849"/>
    <w:rsid w:val="00810A91"/>
    <w:rsid w:val="00810E87"/>
    <w:rsid w:val="008115D6"/>
    <w:rsid w:val="00813548"/>
    <w:rsid w:val="008135E6"/>
    <w:rsid w:val="00814848"/>
    <w:rsid w:val="00814FBF"/>
    <w:rsid w:val="00816303"/>
    <w:rsid w:val="00820497"/>
    <w:rsid w:val="00820725"/>
    <w:rsid w:val="00820DF1"/>
    <w:rsid w:val="00823306"/>
    <w:rsid w:val="00831FC9"/>
    <w:rsid w:val="00832C48"/>
    <w:rsid w:val="00833859"/>
    <w:rsid w:val="00834018"/>
    <w:rsid w:val="00835806"/>
    <w:rsid w:val="008358D7"/>
    <w:rsid w:val="0084031C"/>
    <w:rsid w:val="008407B6"/>
    <w:rsid w:val="00842489"/>
    <w:rsid w:val="00842A18"/>
    <w:rsid w:val="00842BD8"/>
    <w:rsid w:val="0084341B"/>
    <w:rsid w:val="00844378"/>
    <w:rsid w:val="008450AC"/>
    <w:rsid w:val="00846EB9"/>
    <w:rsid w:val="0084767C"/>
    <w:rsid w:val="00854101"/>
    <w:rsid w:val="00854B22"/>
    <w:rsid w:val="00860DE4"/>
    <w:rsid w:val="00863AA3"/>
    <w:rsid w:val="00864A96"/>
    <w:rsid w:val="008655FC"/>
    <w:rsid w:val="00867D1A"/>
    <w:rsid w:val="00871384"/>
    <w:rsid w:val="00873751"/>
    <w:rsid w:val="00876D3B"/>
    <w:rsid w:val="008806AB"/>
    <w:rsid w:val="00882096"/>
    <w:rsid w:val="0088243B"/>
    <w:rsid w:val="00883ACC"/>
    <w:rsid w:val="008842B4"/>
    <w:rsid w:val="00885E42"/>
    <w:rsid w:val="00886821"/>
    <w:rsid w:val="00890D6F"/>
    <w:rsid w:val="00891CA1"/>
    <w:rsid w:val="00891D58"/>
    <w:rsid w:val="00892489"/>
    <w:rsid w:val="00892755"/>
    <w:rsid w:val="00893E38"/>
    <w:rsid w:val="008940B2"/>
    <w:rsid w:val="008962DF"/>
    <w:rsid w:val="008A0FEB"/>
    <w:rsid w:val="008A7E8B"/>
    <w:rsid w:val="008B2DB3"/>
    <w:rsid w:val="008B327B"/>
    <w:rsid w:val="008B65C6"/>
    <w:rsid w:val="008B6E5D"/>
    <w:rsid w:val="008B73FF"/>
    <w:rsid w:val="008B7BA1"/>
    <w:rsid w:val="008C2DEA"/>
    <w:rsid w:val="008C45F3"/>
    <w:rsid w:val="008C7C21"/>
    <w:rsid w:val="008D0592"/>
    <w:rsid w:val="008D0999"/>
    <w:rsid w:val="008D3CCA"/>
    <w:rsid w:val="008D3F91"/>
    <w:rsid w:val="008D5F31"/>
    <w:rsid w:val="008D748B"/>
    <w:rsid w:val="008E2FC1"/>
    <w:rsid w:val="008E3A9E"/>
    <w:rsid w:val="008E5589"/>
    <w:rsid w:val="008E5DF8"/>
    <w:rsid w:val="008E6106"/>
    <w:rsid w:val="008E694E"/>
    <w:rsid w:val="008E6FD9"/>
    <w:rsid w:val="008F1B7C"/>
    <w:rsid w:val="008F2538"/>
    <w:rsid w:val="008F4202"/>
    <w:rsid w:val="008F518E"/>
    <w:rsid w:val="008F5D18"/>
    <w:rsid w:val="008F749A"/>
    <w:rsid w:val="008F7709"/>
    <w:rsid w:val="008F7CCA"/>
    <w:rsid w:val="00900172"/>
    <w:rsid w:val="009019A4"/>
    <w:rsid w:val="0090224B"/>
    <w:rsid w:val="00903ABA"/>
    <w:rsid w:val="0090429D"/>
    <w:rsid w:val="009054C7"/>
    <w:rsid w:val="00905CB5"/>
    <w:rsid w:val="00910A7B"/>
    <w:rsid w:val="00911679"/>
    <w:rsid w:val="00913E55"/>
    <w:rsid w:val="00915168"/>
    <w:rsid w:val="00916196"/>
    <w:rsid w:val="00916B8D"/>
    <w:rsid w:val="00917A34"/>
    <w:rsid w:val="00923C3D"/>
    <w:rsid w:val="00924896"/>
    <w:rsid w:val="009268ED"/>
    <w:rsid w:val="009269B3"/>
    <w:rsid w:val="00926D78"/>
    <w:rsid w:val="009301ED"/>
    <w:rsid w:val="00935B3F"/>
    <w:rsid w:val="00940DF6"/>
    <w:rsid w:val="00941590"/>
    <w:rsid w:val="00943F43"/>
    <w:rsid w:val="00945662"/>
    <w:rsid w:val="0094705C"/>
    <w:rsid w:val="00947AB1"/>
    <w:rsid w:val="00950B29"/>
    <w:rsid w:val="00951F2E"/>
    <w:rsid w:val="009555BD"/>
    <w:rsid w:val="009576C8"/>
    <w:rsid w:val="00960423"/>
    <w:rsid w:val="00960E53"/>
    <w:rsid w:val="00962A84"/>
    <w:rsid w:val="00963019"/>
    <w:rsid w:val="009634DA"/>
    <w:rsid w:val="00966B18"/>
    <w:rsid w:val="00971DBE"/>
    <w:rsid w:val="00973D43"/>
    <w:rsid w:val="0097520C"/>
    <w:rsid w:val="009811E9"/>
    <w:rsid w:val="009814AA"/>
    <w:rsid w:val="00982073"/>
    <w:rsid w:val="00983A84"/>
    <w:rsid w:val="009852B2"/>
    <w:rsid w:val="00985D17"/>
    <w:rsid w:val="009927F2"/>
    <w:rsid w:val="00992B6D"/>
    <w:rsid w:val="00993DAD"/>
    <w:rsid w:val="009943AD"/>
    <w:rsid w:val="009953C0"/>
    <w:rsid w:val="009977C6"/>
    <w:rsid w:val="009A0985"/>
    <w:rsid w:val="009A1E7E"/>
    <w:rsid w:val="009A24EB"/>
    <w:rsid w:val="009A603E"/>
    <w:rsid w:val="009B2017"/>
    <w:rsid w:val="009B207D"/>
    <w:rsid w:val="009B53E7"/>
    <w:rsid w:val="009B5BA9"/>
    <w:rsid w:val="009B659D"/>
    <w:rsid w:val="009B742F"/>
    <w:rsid w:val="009B787A"/>
    <w:rsid w:val="009C0671"/>
    <w:rsid w:val="009C0905"/>
    <w:rsid w:val="009C1F3C"/>
    <w:rsid w:val="009C22D3"/>
    <w:rsid w:val="009D12AF"/>
    <w:rsid w:val="009D4518"/>
    <w:rsid w:val="009D5E40"/>
    <w:rsid w:val="009D5E7B"/>
    <w:rsid w:val="009E011B"/>
    <w:rsid w:val="009E0BDD"/>
    <w:rsid w:val="009E0D72"/>
    <w:rsid w:val="009E3165"/>
    <w:rsid w:val="009E4BEA"/>
    <w:rsid w:val="009E6A0D"/>
    <w:rsid w:val="009F0773"/>
    <w:rsid w:val="009F0D2E"/>
    <w:rsid w:val="009F23E2"/>
    <w:rsid w:val="009F2708"/>
    <w:rsid w:val="00A00BC9"/>
    <w:rsid w:val="00A00DA2"/>
    <w:rsid w:val="00A0283A"/>
    <w:rsid w:val="00A07E44"/>
    <w:rsid w:val="00A10437"/>
    <w:rsid w:val="00A10679"/>
    <w:rsid w:val="00A1151F"/>
    <w:rsid w:val="00A11ED1"/>
    <w:rsid w:val="00A202E4"/>
    <w:rsid w:val="00A24DB3"/>
    <w:rsid w:val="00A25728"/>
    <w:rsid w:val="00A26FEA"/>
    <w:rsid w:val="00A27605"/>
    <w:rsid w:val="00A301D7"/>
    <w:rsid w:val="00A30E39"/>
    <w:rsid w:val="00A32EC1"/>
    <w:rsid w:val="00A3402C"/>
    <w:rsid w:val="00A34500"/>
    <w:rsid w:val="00A34991"/>
    <w:rsid w:val="00A37D68"/>
    <w:rsid w:val="00A40896"/>
    <w:rsid w:val="00A40F0C"/>
    <w:rsid w:val="00A425C6"/>
    <w:rsid w:val="00A4333F"/>
    <w:rsid w:val="00A43658"/>
    <w:rsid w:val="00A43919"/>
    <w:rsid w:val="00A44DDF"/>
    <w:rsid w:val="00A50ACA"/>
    <w:rsid w:val="00A514DE"/>
    <w:rsid w:val="00A517F7"/>
    <w:rsid w:val="00A551A2"/>
    <w:rsid w:val="00A57B36"/>
    <w:rsid w:val="00A61872"/>
    <w:rsid w:val="00A61F59"/>
    <w:rsid w:val="00A6335D"/>
    <w:rsid w:val="00A63498"/>
    <w:rsid w:val="00A63587"/>
    <w:rsid w:val="00A63853"/>
    <w:rsid w:val="00A64521"/>
    <w:rsid w:val="00A648D7"/>
    <w:rsid w:val="00A64CDD"/>
    <w:rsid w:val="00A659FA"/>
    <w:rsid w:val="00A66540"/>
    <w:rsid w:val="00A701BE"/>
    <w:rsid w:val="00A73CDC"/>
    <w:rsid w:val="00A7597C"/>
    <w:rsid w:val="00A76A6C"/>
    <w:rsid w:val="00A80F48"/>
    <w:rsid w:val="00A83654"/>
    <w:rsid w:val="00A83A46"/>
    <w:rsid w:val="00A83BBA"/>
    <w:rsid w:val="00A84B6B"/>
    <w:rsid w:val="00A86B48"/>
    <w:rsid w:val="00A902EB"/>
    <w:rsid w:val="00A904DD"/>
    <w:rsid w:val="00A91113"/>
    <w:rsid w:val="00A955A8"/>
    <w:rsid w:val="00A97CA6"/>
    <w:rsid w:val="00AA0267"/>
    <w:rsid w:val="00AA3908"/>
    <w:rsid w:val="00AA5358"/>
    <w:rsid w:val="00AB270D"/>
    <w:rsid w:val="00AB44DD"/>
    <w:rsid w:val="00AB4641"/>
    <w:rsid w:val="00AB5508"/>
    <w:rsid w:val="00AB584E"/>
    <w:rsid w:val="00AC042B"/>
    <w:rsid w:val="00AC05CD"/>
    <w:rsid w:val="00AC11E2"/>
    <w:rsid w:val="00AC1D6B"/>
    <w:rsid w:val="00AC29E7"/>
    <w:rsid w:val="00AC503F"/>
    <w:rsid w:val="00AC747E"/>
    <w:rsid w:val="00AD07B6"/>
    <w:rsid w:val="00AD3FC8"/>
    <w:rsid w:val="00AD4AA3"/>
    <w:rsid w:val="00AD6AFF"/>
    <w:rsid w:val="00AE20AB"/>
    <w:rsid w:val="00AE4AA1"/>
    <w:rsid w:val="00AE6903"/>
    <w:rsid w:val="00AE7F76"/>
    <w:rsid w:val="00AF13EC"/>
    <w:rsid w:val="00AF21AA"/>
    <w:rsid w:val="00AF2268"/>
    <w:rsid w:val="00AF2CCF"/>
    <w:rsid w:val="00AF6352"/>
    <w:rsid w:val="00AF647F"/>
    <w:rsid w:val="00AF67E4"/>
    <w:rsid w:val="00B01DBE"/>
    <w:rsid w:val="00B05E4E"/>
    <w:rsid w:val="00B0619F"/>
    <w:rsid w:val="00B064D6"/>
    <w:rsid w:val="00B07CA2"/>
    <w:rsid w:val="00B12935"/>
    <w:rsid w:val="00B13025"/>
    <w:rsid w:val="00B131B2"/>
    <w:rsid w:val="00B13371"/>
    <w:rsid w:val="00B16BD0"/>
    <w:rsid w:val="00B20C68"/>
    <w:rsid w:val="00B2110E"/>
    <w:rsid w:val="00B21342"/>
    <w:rsid w:val="00B22854"/>
    <w:rsid w:val="00B2323B"/>
    <w:rsid w:val="00B3069A"/>
    <w:rsid w:val="00B33B68"/>
    <w:rsid w:val="00B357B3"/>
    <w:rsid w:val="00B35899"/>
    <w:rsid w:val="00B35A21"/>
    <w:rsid w:val="00B40193"/>
    <w:rsid w:val="00B4486A"/>
    <w:rsid w:val="00B452DB"/>
    <w:rsid w:val="00B46844"/>
    <w:rsid w:val="00B47D64"/>
    <w:rsid w:val="00B5062C"/>
    <w:rsid w:val="00B51AC1"/>
    <w:rsid w:val="00B533C1"/>
    <w:rsid w:val="00B53627"/>
    <w:rsid w:val="00B537EE"/>
    <w:rsid w:val="00B545F4"/>
    <w:rsid w:val="00B558B6"/>
    <w:rsid w:val="00B560B3"/>
    <w:rsid w:val="00B56CA1"/>
    <w:rsid w:val="00B56D84"/>
    <w:rsid w:val="00B56F9B"/>
    <w:rsid w:val="00B6334A"/>
    <w:rsid w:val="00B66274"/>
    <w:rsid w:val="00B6697E"/>
    <w:rsid w:val="00B712AB"/>
    <w:rsid w:val="00B71359"/>
    <w:rsid w:val="00B73848"/>
    <w:rsid w:val="00B73BA4"/>
    <w:rsid w:val="00B73C0C"/>
    <w:rsid w:val="00B749F1"/>
    <w:rsid w:val="00B74CF0"/>
    <w:rsid w:val="00B74EC8"/>
    <w:rsid w:val="00B76B5F"/>
    <w:rsid w:val="00B8450F"/>
    <w:rsid w:val="00B84764"/>
    <w:rsid w:val="00B877DA"/>
    <w:rsid w:val="00B90CDD"/>
    <w:rsid w:val="00B9121E"/>
    <w:rsid w:val="00B91F30"/>
    <w:rsid w:val="00B92A79"/>
    <w:rsid w:val="00B93742"/>
    <w:rsid w:val="00B94661"/>
    <w:rsid w:val="00B94A68"/>
    <w:rsid w:val="00B97B2C"/>
    <w:rsid w:val="00BA072B"/>
    <w:rsid w:val="00BA4643"/>
    <w:rsid w:val="00BA6818"/>
    <w:rsid w:val="00BB0F58"/>
    <w:rsid w:val="00BB1197"/>
    <w:rsid w:val="00BB2183"/>
    <w:rsid w:val="00BB60E2"/>
    <w:rsid w:val="00BC4F69"/>
    <w:rsid w:val="00BC61B4"/>
    <w:rsid w:val="00BD06F3"/>
    <w:rsid w:val="00BD1283"/>
    <w:rsid w:val="00BD2638"/>
    <w:rsid w:val="00BD3397"/>
    <w:rsid w:val="00BD39AC"/>
    <w:rsid w:val="00BD3CDC"/>
    <w:rsid w:val="00BD4367"/>
    <w:rsid w:val="00BD59DE"/>
    <w:rsid w:val="00BD72CD"/>
    <w:rsid w:val="00BE408F"/>
    <w:rsid w:val="00BE6950"/>
    <w:rsid w:val="00BF09F4"/>
    <w:rsid w:val="00BF1D9A"/>
    <w:rsid w:val="00BF4360"/>
    <w:rsid w:val="00BF7459"/>
    <w:rsid w:val="00BF7DAF"/>
    <w:rsid w:val="00BF7E7F"/>
    <w:rsid w:val="00C05913"/>
    <w:rsid w:val="00C10322"/>
    <w:rsid w:val="00C146EC"/>
    <w:rsid w:val="00C16530"/>
    <w:rsid w:val="00C17890"/>
    <w:rsid w:val="00C17962"/>
    <w:rsid w:val="00C20D5B"/>
    <w:rsid w:val="00C21341"/>
    <w:rsid w:val="00C213BC"/>
    <w:rsid w:val="00C24BA2"/>
    <w:rsid w:val="00C25D0A"/>
    <w:rsid w:val="00C260DA"/>
    <w:rsid w:val="00C32246"/>
    <w:rsid w:val="00C35706"/>
    <w:rsid w:val="00C36864"/>
    <w:rsid w:val="00C377C2"/>
    <w:rsid w:val="00C37C34"/>
    <w:rsid w:val="00C425BB"/>
    <w:rsid w:val="00C42A11"/>
    <w:rsid w:val="00C45142"/>
    <w:rsid w:val="00C4553F"/>
    <w:rsid w:val="00C50696"/>
    <w:rsid w:val="00C50D93"/>
    <w:rsid w:val="00C50E05"/>
    <w:rsid w:val="00C5156F"/>
    <w:rsid w:val="00C53AB7"/>
    <w:rsid w:val="00C540C0"/>
    <w:rsid w:val="00C5557E"/>
    <w:rsid w:val="00C55980"/>
    <w:rsid w:val="00C5712D"/>
    <w:rsid w:val="00C57258"/>
    <w:rsid w:val="00C57AD2"/>
    <w:rsid w:val="00C609FC"/>
    <w:rsid w:val="00C61208"/>
    <w:rsid w:val="00C61FF8"/>
    <w:rsid w:val="00C643E3"/>
    <w:rsid w:val="00C64721"/>
    <w:rsid w:val="00C665F0"/>
    <w:rsid w:val="00C66890"/>
    <w:rsid w:val="00C675E6"/>
    <w:rsid w:val="00C708AC"/>
    <w:rsid w:val="00C71599"/>
    <w:rsid w:val="00C73A3C"/>
    <w:rsid w:val="00C74486"/>
    <w:rsid w:val="00C808D7"/>
    <w:rsid w:val="00C81EB6"/>
    <w:rsid w:val="00C82115"/>
    <w:rsid w:val="00C82D18"/>
    <w:rsid w:val="00C845A7"/>
    <w:rsid w:val="00C856EE"/>
    <w:rsid w:val="00C85A12"/>
    <w:rsid w:val="00C85B6A"/>
    <w:rsid w:val="00C86EFA"/>
    <w:rsid w:val="00C926DA"/>
    <w:rsid w:val="00C92F60"/>
    <w:rsid w:val="00C93625"/>
    <w:rsid w:val="00C97489"/>
    <w:rsid w:val="00C974EA"/>
    <w:rsid w:val="00C976A3"/>
    <w:rsid w:val="00CA0D25"/>
    <w:rsid w:val="00CA200E"/>
    <w:rsid w:val="00CA648E"/>
    <w:rsid w:val="00CB5133"/>
    <w:rsid w:val="00CB53AA"/>
    <w:rsid w:val="00CB5ADC"/>
    <w:rsid w:val="00CB5E43"/>
    <w:rsid w:val="00CB7DE8"/>
    <w:rsid w:val="00CC58E5"/>
    <w:rsid w:val="00CD084A"/>
    <w:rsid w:val="00CD0FA1"/>
    <w:rsid w:val="00CD28F9"/>
    <w:rsid w:val="00CD46E2"/>
    <w:rsid w:val="00CD4C39"/>
    <w:rsid w:val="00CE0B67"/>
    <w:rsid w:val="00CE6023"/>
    <w:rsid w:val="00CF09AB"/>
    <w:rsid w:val="00CF1CE0"/>
    <w:rsid w:val="00CF2277"/>
    <w:rsid w:val="00CF45BA"/>
    <w:rsid w:val="00CF58AC"/>
    <w:rsid w:val="00D015AA"/>
    <w:rsid w:val="00D01C3B"/>
    <w:rsid w:val="00D02CF0"/>
    <w:rsid w:val="00D0349E"/>
    <w:rsid w:val="00D05E91"/>
    <w:rsid w:val="00D0657B"/>
    <w:rsid w:val="00D10480"/>
    <w:rsid w:val="00D1060E"/>
    <w:rsid w:val="00D12368"/>
    <w:rsid w:val="00D1421D"/>
    <w:rsid w:val="00D14CF7"/>
    <w:rsid w:val="00D16730"/>
    <w:rsid w:val="00D177C8"/>
    <w:rsid w:val="00D20E41"/>
    <w:rsid w:val="00D21797"/>
    <w:rsid w:val="00D217FF"/>
    <w:rsid w:val="00D223D4"/>
    <w:rsid w:val="00D23003"/>
    <w:rsid w:val="00D23286"/>
    <w:rsid w:val="00D246F4"/>
    <w:rsid w:val="00D30609"/>
    <w:rsid w:val="00D30D97"/>
    <w:rsid w:val="00D32846"/>
    <w:rsid w:val="00D32B05"/>
    <w:rsid w:val="00D33868"/>
    <w:rsid w:val="00D34A8C"/>
    <w:rsid w:val="00D34F4D"/>
    <w:rsid w:val="00D350C8"/>
    <w:rsid w:val="00D35EB7"/>
    <w:rsid w:val="00D4220C"/>
    <w:rsid w:val="00D42A44"/>
    <w:rsid w:val="00D4394C"/>
    <w:rsid w:val="00D43FFA"/>
    <w:rsid w:val="00D46230"/>
    <w:rsid w:val="00D47725"/>
    <w:rsid w:val="00D500D0"/>
    <w:rsid w:val="00D51174"/>
    <w:rsid w:val="00D539A8"/>
    <w:rsid w:val="00D53F15"/>
    <w:rsid w:val="00D551D5"/>
    <w:rsid w:val="00D56172"/>
    <w:rsid w:val="00D563CB"/>
    <w:rsid w:val="00D564D6"/>
    <w:rsid w:val="00D566B0"/>
    <w:rsid w:val="00D569F6"/>
    <w:rsid w:val="00D60320"/>
    <w:rsid w:val="00D60EF9"/>
    <w:rsid w:val="00D640C5"/>
    <w:rsid w:val="00D71107"/>
    <w:rsid w:val="00D71492"/>
    <w:rsid w:val="00D7189B"/>
    <w:rsid w:val="00D71F6E"/>
    <w:rsid w:val="00D74ADC"/>
    <w:rsid w:val="00D7508D"/>
    <w:rsid w:val="00D76B53"/>
    <w:rsid w:val="00D86598"/>
    <w:rsid w:val="00D86BB6"/>
    <w:rsid w:val="00D930E0"/>
    <w:rsid w:val="00D94EAA"/>
    <w:rsid w:val="00D957CD"/>
    <w:rsid w:val="00D95B4A"/>
    <w:rsid w:val="00D95E31"/>
    <w:rsid w:val="00D975F3"/>
    <w:rsid w:val="00DA1291"/>
    <w:rsid w:val="00DA12AD"/>
    <w:rsid w:val="00DA36D5"/>
    <w:rsid w:val="00DA5E39"/>
    <w:rsid w:val="00DA75E1"/>
    <w:rsid w:val="00DB00F5"/>
    <w:rsid w:val="00DB053F"/>
    <w:rsid w:val="00DB070B"/>
    <w:rsid w:val="00DB25C0"/>
    <w:rsid w:val="00DB2D78"/>
    <w:rsid w:val="00DB30A0"/>
    <w:rsid w:val="00DB3B5F"/>
    <w:rsid w:val="00DB41CE"/>
    <w:rsid w:val="00DB4560"/>
    <w:rsid w:val="00DB4C2E"/>
    <w:rsid w:val="00DB4E7A"/>
    <w:rsid w:val="00DC2E50"/>
    <w:rsid w:val="00DC2F1C"/>
    <w:rsid w:val="00DC4E44"/>
    <w:rsid w:val="00DC6603"/>
    <w:rsid w:val="00DE102B"/>
    <w:rsid w:val="00DE1607"/>
    <w:rsid w:val="00DE289B"/>
    <w:rsid w:val="00DE48BA"/>
    <w:rsid w:val="00DE496A"/>
    <w:rsid w:val="00DE4C88"/>
    <w:rsid w:val="00DE52EC"/>
    <w:rsid w:val="00DE5931"/>
    <w:rsid w:val="00DE5933"/>
    <w:rsid w:val="00DE5F38"/>
    <w:rsid w:val="00DE76DB"/>
    <w:rsid w:val="00DF1692"/>
    <w:rsid w:val="00DF2559"/>
    <w:rsid w:val="00DF29BA"/>
    <w:rsid w:val="00DF5764"/>
    <w:rsid w:val="00DF7354"/>
    <w:rsid w:val="00DF7C81"/>
    <w:rsid w:val="00DF7E4B"/>
    <w:rsid w:val="00E014FB"/>
    <w:rsid w:val="00E04FDD"/>
    <w:rsid w:val="00E04FFE"/>
    <w:rsid w:val="00E07AAC"/>
    <w:rsid w:val="00E124AB"/>
    <w:rsid w:val="00E1741D"/>
    <w:rsid w:val="00E20AA5"/>
    <w:rsid w:val="00E20F81"/>
    <w:rsid w:val="00E220B4"/>
    <w:rsid w:val="00E25E92"/>
    <w:rsid w:val="00E31D07"/>
    <w:rsid w:val="00E33652"/>
    <w:rsid w:val="00E353F6"/>
    <w:rsid w:val="00E36C6C"/>
    <w:rsid w:val="00E37A9A"/>
    <w:rsid w:val="00E40BA7"/>
    <w:rsid w:val="00E441A7"/>
    <w:rsid w:val="00E45363"/>
    <w:rsid w:val="00E453D9"/>
    <w:rsid w:val="00E45674"/>
    <w:rsid w:val="00E52F09"/>
    <w:rsid w:val="00E536FB"/>
    <w:rsid w:val="00E53835"/>
    <w:rsid w:val="00E54078"/>
    <w:rsid w:val="00E545CB"/>
    <w:rsid w:val="00E55D74"/>
    <w:rsid w:val="00E56DF4"/>
    <w:rsid w:val="00E57163"/>
    <w:rsid w:val="00E6034B"/>
    <w:rsid w:val="00E6062E"/>
    <w:rsid w:val="00E6543D"/>
    <w:rsid w:val="00E70310"/>
    <w:rsid w:val="00E7252F"/>
    <w:rsid w:val="00E7455F"/>
    <w:rsid w:val="00E74BBD"/>
    <w:rsid w:val="00E8208D"/>
    <w:rsid w:val="00E85F57"/>
    <w:rsid w:val="00E9074D"/>
    <w:rsid w:val="00E945C0"/>
    <w:rsid w:val="00E94FBF"/>
    <w:rsid w:val="00E967BB"/>
    <w:rsid w:val="00EA1E8C"/>
    <w:rsid w:val="00EA23A9"/>
    <w:rsid w:val="00EA5194"/>
    <w:rsid w:val="00EB0E97"/>
    <w:rsid w:val="00EB2668"/>
    <w:rsid w:val="00EB2B5D"/>
    <w:rsid w:val="00EB2CEA"/>
    <w:rsid w:val="00EC6926"/>
    <w:rsid w:val="00EC698F"/>
    <w:rsid w:val="00ED55AA"/>
    <w:rsid w:val="00ED60A2"/>
    <w:rsid w:val="00ED62B3"/>
    <w:rsid w:val="00ED758F"/>
    <w:rsid w:val="00EE07A7"/>
    <w:rsid w:val="00EE0C32"/>
    <w:rsid w:val="00EE1771"/>
    <w:rsid w:val="00EE1B8B"/>
    <w:rsid w:val="00EE2BC2"/>
    <w:rsid w:val="00EE5B44"/>
    <w:rsid w:val="00EE722A"/>
    <w:rsid w:val="00EF08CD"/>
    <w:rsid w:val="00EF1F80"/>
    <w:rsid w:val="00EF2A25"/>
    <w:rsid w:val="00EF4690"/>
    <w:rsid w:val="00EF4920"/>
    <w:rsid w:val="00EF60BD"/>
    <w:rsid w:val="00EF6FF4"/>
    <w:rsid w:val="00EF7F2D"/>
    <w:rsid w:val="00F0141E"/>
    <w:rsid w:val="00F046BA"/>
    <w:rsid w:val="00F0645C"/>
    <w:rsid w:val="00F065DF"/>
    <w:rsid w:val="00F06D3A"/>
    <w:rsid w:val="00F07A5B"/>
    <w:rsid w:val="00F12097"/>
    <w:rsid w:val="00F1221F"/>
    <w:rsid w:val="00F144F1"/>
    <w:rsid w:val="00F15047"/>
    <w:rsid w:val="00F169CE"/>
    <w:rsid w:val="00F2158C"/>
    <w:rsid w:val="00F22598"/>
    <w:rsid w:val="00F22CB2"/>
    <w:rsid w:val="00F249C8"/>
    <w:rsid w:val="00F2521A"/>
    <w:rsid w:val="00F3258E"/>
    <w:rsid w:val="00F33E60"/>
    <w:rsid w:val="00F34739"/>
    <w:rsid w:val="00F34ADF"/>
    <w:rsid w:val="00F36B4A"/>
    <w:rsid w:val="00F378A8"/>
    <w:rsid w:val="00F43033"/>
    <w:rsid w:val="00F4401C"/>
    <w:rsid w:val="00F50805"/>
    <w:rsid w:val="00F51331"/>
    <w:rsid w:val="00F5186C"/>
    <w:rsid w:val="00F52635"/>
    <w:rsid w:val="00F53510"/>
    <w:rsid w:val="00F55C36"/>
    <w:rsid w:val="00F57541"/>
    <w:rsid w:val="00F62958"/>
    <w:rsid w:val="00F660EE"/>
    <w:rsid w:val="00F66132"/>
    <w:rsid w:val="00F66192"/>
    <w:rsid w:val="00F669A2"/>
    <w:rsid w:val="00F816ED"/>
    <w:rsid w:val="00F82767"/>
    <w:rsid w:val="00F82C6F"/>
    <w:rsid w:val="00F857EB"/>
    <w:rsid w:val="00F85D36"/>
    <w:rsid w:val="00F937EC"/>
    <w:rsid w:val="00F96477"/>
    <w:rsid w:val="00F964C8"/>
    <w:rsid w:val="00F96E28"/>
    <w:rsid w:val="00F97AA4"/>
    <w:rsid w:val="00FA30F3"/>
    <w:rsid w:val="00FA36DB"/>
    <w:rsid w:val="00FA3C2C"/>
    <w:rsid w:val="00FA498C"/>
    <w:rsid w:val="00FA54F3"/>
    <w:rsid w:val="00FA5BB4"/>
    <w:rsid w:val="00FA66A6"/>
    <w:rsid w:val="00FA6C4B"/>
    <w:rsid w:val="00FA6FCF"/>
    <w:rsid w:val="00FA7E64"/>
    <w:rsid w:val="00FB06DD"/>
    <w:rsid w:val="00FB3B82"/>
    <w:rsid w:val="00FB6144"/>
    <w:rsid w:val="00FC12FD"/>
    <w:rsid w:val="00FC352A"/>
    <w:rsid w:val="00FC3BD0"/>
    <w:rsid w:val="00FC6923"/>
    <w:rsid w:val="00FD0923"/>
    <w:rsid w:val="00FD1DF4"/>
    <w:rsid w:val="00FD3E53"/>
    <w:rsid w:val="00FD5D40"/>
    <w:rsid w:val="00FD6480"/>
    <w:rsid w:val="00FD746B"/>
    <w:rsid w:val="00FE46B2"/>
    <w:rsid w:val="00FE6853"/>
    <w:rsid w:val="00FE7BC9"/>
    <w:rsid w:val="00FF6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5A9EB"/>
  <w15:chartTrackingRefBased/>
  <w15:docId w15:val="{BDFE7318-C106-4EA1-ADBD-2940F4FE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565"/>
    <w:pPr>
      <w:spacing w:after="200" w:line="276" w:lineRule="auto"/>
    </w:pPr>
    <w:rPr>
      <w:sz w:val="22"/>
      <w:szCs w:val="22"/>
      <w:lang w:eastAsia="en-US"/>
    </w:rPr>
  </w:style>
  <w:style w:type="paragraph" w:styleId="Heading3">
    <w:name w:val="heading 3"/>
    <w:basedOn w:val="Normal"/>
    <w:next w:val="Heading4"/>
    <w:link w:val="Heading3Char"/>
    <w:qFormat/>
    <w:rsid w:val="001F4EA7"/>
    <w:pPr>
      <w:spacing w:before="400" w:after="0" w:line="240" w:lineRule="auto"/>
      <w:outlineLvl w:val="2"/>
    </w:pPr>
    <w:rPr>
      <w:rFonts w:ascii="Arial" w:eastAsia="Times New Roman" w:hAnsi="Arial" w:cs="Arial"/>
      <w:b/>
      <w:sz w:val="24"/>
      <w:szCs w:val="24"/>
    </w:rPr>
  </w:style>
  <w:style w:type="paragraph" w:styleId="Heading4">
    <w:name w:val="heading 4"/>
    <w:basedOn w:val="Normal"/>
    <w:next w:val="Normal"/>
    <w:link w:val="Heading4Char"/>
    <w:uiPriority w:val="9"/>
    <w:semiHidden/>
    <w:unhideWhenUsed/>
    <w:qFormat/>
    <w:rsid w:val="001F4EA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053"/>
    <w:pPr>
      <w:ind w:left="720"/>
      <w:contextualSpacing/>
    </w:pPr>
  </w:style>
  <w:style w:type="table" w:styleId="TableGrid">
    <w:name w:val="Table Grid"/>
    <w:basedOn w:val="TableNormal"/>
    <w:rsid w:val="00F347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00F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B00F5"/>
    <w:rPr>
      <w:rFonts w:ascii="Tahoma" w:hAnsi="Tahoma" w:cs="Tahoma"/>
      <w:sz w:val="16"/>
      <w:szCs w:val="16"/>
      <w:lang w:eastAsia="en-US"/>
    </w:rPr>
  </w:style>
  <w:style w:type="paragraph" w:styleId="FootnoteText">
    <w:name w:val="footnote text"/>
    <w:basedOn w:val="Normal"/>
    <w:link w:val="FootnoteTextChar"/>
    <w:rsid w:val="000445E6"/>
    <w:pPr>
      <w:spacing w:after="0" w:line="240" w:lineRule="auto"/>
    </w:pPr>
    <w:rPr>
      <w:rFonts w:ascii="Times New Roman" w:eastAsia="Times New Roman" w:hAnsi="Times New Roman"/>
      <w:sz w:val="20"/>
      <w:szCs w:val="20"/>
      <w:lang w:val="x-none"/>
    </w:rPr>
  </w:style>
  <w:style w:type="character" w:customStyle="1" w:styleId="FootnoteTextChar">
    <w:name w:val="Footnote Text Char"/>
    <w:link w:val="FootnoteText"/>
    <w:rsid w:val="000445E6"/>
    <w:rPr>
      <w:rFonts w:ascii="Times New Roman" w:eastAsia="Times New Roman" w:hAnsi="Times New Roman"/>
      <w:lang w:eastAsia="en-US"/>
    </w:rPr>
  </w:style>
  <w:style w:type="character" w:styleId="FootnoteReference">
    <w:name w:val="footnote reference"/>
    <w:rsid w:val="000445E6"/>
    <w:rPr>
      <w:vertAlign w:val="superscript"/>
    </w:rPr>
  </w:style>
  <w:style w:type="paragraph" w:styleId="Header">
    <w:name w:val="header"/>
    <w:basedOn w:val="Normal"/>
    <w:link w:val="HeaderChar"/>
    <w:uiPriority w:val="99"/>
    <w:unhideWhenUsed/>
    <w:rsid w:val="00DB30A0"/>
    <w:pPr>
      <w:tabs>
        <w:tab w:val="center" w:pos="4513"/>
        <w:tab w:val="right" w:pos="9026"/>
      </w:tabs>
    </w:pPr>
    <w:rPr>
      <w:lang w:val="x-none"/>
    </w:rPr>
  </w:style>
  <w:style w:type="character" w:customStyle="1" w:styleId="HeaderChar">
    <w:name w:val="Header Char"/>
    <w:link w:val="Header"/>
    <w:uiPriority w:val="99"/>
    <w:rsid w:val="00DB30A0"/>
    <w:rPr>
      <w:sz w:val="22"/>
      <w:szCs w:val="22"/>
      <w:lang w:eastAsia="en-US"/>
    </w:rPr>
  </w:style>
  <w:style w:type="paragraph" w:styleId="Footer">
    <w:name w:val="footer"/>
    <w:basedOn w:val="Normal"/>
    <w:link w:val="FooterChar"/>
    <w:uiPriority w:val="99"/>
    <w:unhideWhenUsed/>
    <w:rsid w:val="00DB30A0"/>
    <w:pPr>
      <w:tabs>
        <w:tab w:val="center" w:pos="4513"/>
        <w:tab w:val="right" w:pos="9026"/>
      </w:tabs>
    </w:pPr>
    <w:rPr>
      <w:lang w:val="x-none"/>
    </w:rPr>
  </w:style>
  <w:style w:type="character" w:customStyle="1" w:styleId="FooterChar">
    <w:name w:val="Footer Char"/>
    <w:link w:val="Footer"/>
    <w:uiPriority w:val="99"/>
    <w:rsid w:val="00DB30A0"/>
    <w:rPr>
      <w:sz w:val="22"/>
      <w:szCs w:val="22"/>
      <w:lang w:eastAsia="en-US"/>
    </w:rPr>
  </w:style>
  <w:style w:type="character" w:styleId="CommentReference">
    <w:name w:val="annotation reference"/>
    <w:uiPriority w:val="99"/>
    <w:semiHidden/>
    <w:unhideWhenUsed/>
    <w:rsid w:val="00662731"/>
    <w:rPr>
      <w:sz w:val="16"/>
      <w:szCs w:val="16"/>
    </w:rPr>
  </w:style>
  <w:style w:type="paragraph" w:styleId="CommentText">
    <w:name w:val="annotation text"/>
    <w:basedOn w:val="Normal"/>
    <w:link w:val="CommentTextChar"/>
    <w:uiPriority w:val="99"/>
    <w:semiHidden/>
    <w:unhideWhenUsed/>
    <w:rsid w:val="00662731"/>
    <w:pPr>
      <w:spacing w:line="240" w:lineRule="auto"/>
    </w:pPr>
    <w:rPr>
      <w:sz w:val="20"/>
      <w:szCs w:val="20"/>
      <w:lang w:val="x-none"/>
    </w:rPr>
  </w:style>
  <w:style w:type="character" w:customStyle="1" w:styleId="CommentTextChar">
    <w:name w:val="Comment Text Char"/>
    <w:link w:val="CommentText"/>
    <w:uiPriority w:val="99"/>
    <w:semiHidden/>
    <w:rsid w:val="00662731"/>
    <w:rPr>
      <w:lang w:eastAsia="en-US"/>
    </w:rPr>
  </w:style>
  <w:style w:type="paragraph" w:styleId="CommentSubject">
    <w:name w:val="annotation subject"/>
    <w:basedOn w:val="CommentText"/>
    <w:next w:val="CommentText"/>
    <w:link w:val="CommentSubjectChar"/>
    <w:uiPriority w:val="99"/>
    <w:semiHidden/>
    <w:unhideWhenUsed/>
    <w:rsid w:val="00662731"/>
    <w:rPr>
      <w:b/>
      <w:bCs/>
    </w:rPr>
  </w:style>
  <w:style w:type="character" w:customStyle="1" w:styleId="CommentSubjectChar">
    <w:name w:val="Comment Subject Char"/>
    <w:link w:val="CommentSubject"/>
    <w:uiPriority w:val="99"/>
    <w:semiHidden/>
    <w:rsid w:val="00662731"/>
    <w:rPr>
      <w:b/>
      <w:bCs/>
      <w:lang w:eastAsia="en-US"/>
    </w:rPr>
  </w:style>
  <w:style w:type="paragraph" w:customStyle="1" w:styleId="NumberedAnnexParaCharChar">
    <w:name w:val="Numbered Annex Para Char Char"/>
    <w:basedOn w:val="Normal"/>
    <w:rsid w:val="00C45142"/>
    <w:pPr>
      <w:numPr>
        <w:numId w:val="1"/>
      </w:numPr>
      <w:spacing w:after="0" w:line="240" w:lineRule="auto"/>
    </w:pPr>
    <w:rPr>
      <w:rFonts w:ascii="Arial" w:eastAsia="Times New Roman" w:hAnsi="Arial"/>
      <w:sz w:val="24"/>
      <w:szCs w:val="24"/>
      <w:lang w:val="en-AU" w:eastAsia="en-GB"/>
    </w:rPr>
  </w:style>
  <w:style w:type="paragraph" w:customStyle="1" w:styleId="Default">
    <w:name w:val="Default"/>
    <w:rsid w:val="00105E7D"/>
    <w:pPr>
      <w:autoSpaceDE w:val="0"/>
      <w:autoSpaceDN w:val="0"/>
      <w:adjustRightInd w:val="0"/>
    </w:pPr>
    <w:rPr>
      <w:rFonts w:ascii="Trebuchet MS" w:hAnsi="Trebuchet MS" w:cs="Trebuchet MS"/>
      <w:color w:val="000000"/>
      <w:sz w:val="24"/>
      <w:szCs w:val="24"/>
    </w:rPr>
  </w:style>
  <w:style w:type="character" w:customStyle="1" w:styleId="Heading3Char">
    <w:name w:val="Heading 3 Char"/>
    <w:link w:val="Heading3"/>
    <w:rsid w:val="001F4EA7"/>
    <w:rPr>
      <w:rFonts w:ascii="Arial" w:eastAsia="Times New Roman" w:hAnsi="Arial" w:cs="Arial"/>
      <w:b/>
      <w:sz w:val="24"/>
      <w:szCs w:val="24"/>
      <w:lang w:eastAsia="en-US"/>
    </w:rPr>
  </w:style>
  <w:style w:type="character" w:customStyle="1" w:styleId="Heading4Char">
    <w:name w:val="Heading 4 Char"/>
    <w:link w:val="Heading4"/>
    <w:uiPriority w:val="9"/>
    <w:semiHidden/>
    <w:rsid w:val="001F4EA7"/>
    <w:rPr>
      <w:rFonts w:ascii="Calibri" w:eastAsia="Times New Roman" w:hAnsi="Calibri" w:cs="Times New Roman"/>
      <w:b/>
      <w:bCs/>
      <w:sz w:val="28"/>
      <w:szCs w:val="28"/>
      <w:lang w:eastAsia="en-US"/>
    </w:rPr>
  </w:style>
  <w:style w:type="paragraph" w:customStyle="1" w:styleId="paragraph">
    <w:name w:val="paragraph"/>
    <w:basedOn w:val="Normal"/>
    <w:rsid w:val="00A57B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A57B36"/>
  </w:style>
  <w:style w:type="character" w:customStyle="1" w:styleId="eop">
    <w:name w:val="eop"/>
    <w:rsid w:val="00A5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0698">
      <w:bodyDiv w:val="1"/>
      <w:marLeft w:val="0"/>
      <w:marRight w:val="0"/>
      <w:marTop w:val="0"/>
      <w:marBottom w:val="0"/>
      <w:divBdr>
        <w:top w:val="none" w:sz="0" w:space="0" w:color="auto"/>
        <w:left w:val="none" w:sz="0" w:space="0" w:color="auto"/>
        <w:bottom w:val="none" w:sz="0" w:space="0" w:color="auto"/>
        <w:right w:val="none" w:sz="0" w:space="0" w:color="auto"/>
      </w:divBdr>
      <w:divsChild>
        <w:div w:id="134951989">
          <w:marLeft w:val="274"/>
          <w:marRight w:val="0"/>
          <w:marTop w:val="0"/>
          <w:marBottom w:val="120"/>
          <w:divBdr>
            <w:top w:val="none" w:sz="0" w:space="0" w:color="auto"/>
            <w:left w:val="none" w:sz="0" w:space="0" w:color="auto"/>
            <w:bottom w:val="none" w:sz="0" w:space="0" w:color="auto"/>
            <w:right w:val="none" w:sz="0" w:space="0" w:color="auto"/>
          </w:divBdr>
        </w:div>
        <w:div w:id="195892556">
          <w:marLeft w:val="274"/>
          <w:marRight w:val="0"/>
          <w:marTop w:val="0"/>
          <w:marBottom w:val="120"/>
          <w:divBdr>
            <w:top w:val="none" w:sz="0" w:space="0" w:color="auto"/>
            <w:left w:val="none" w:sz="0" w:space="0" w:color="auto"/>
            <w:bottom w:val="none" w:sz="0" w:space="0" w:color="auto"/>
            <w:right w:val="none" w:sz="0" w:space="0" w:color="auto"/>
          </w:divBdr>
        </w:div>
        <w:div w:id="893614188">
          <w:marLeft w:val="274"/>
          <w:marRight w:val="0"/>
          <w:marTop w:val="0"/>
          <w:marBottom w:val="120"/>
          <w:divBdr>
            <w:top w:val="none" w:sz="0" w:space="0" w:color="auto"/>
            <w:left w:val="none" w:sz="0" w:space="0" w:color="auto"/>
            <w:bottom w:val="none" w:sz="0" w:space="0" w:color="auto"/>
            <w:right w:val="none" w:sz="0" w:space="0" w:color="auto"/>
          </w:divBdr>
        </w:div>
      </w:divsChild>
    </w:div>
    <w:div w:id="89281174">
      <w:bodyDiv w:val="1"/>
      <w:marLeft w:val="0"/>
      <w:marRight w:val="0"/>
      <w:marTop w:val="0"/>
      <w:marBottom w:val="0"/>
      <w:divBdr>
        <w:top w:val="none" w:sz="0" w:space="0" w:color="auto"/>
        <w:left w:val="none" w:sz="0" w:space="0" w:color="auto"/>
        <w:bottom w:val="none" w:sz="0" w:space="0" w:color="auto"/>
        <w:right w:val="none" w:sz="0" w:space="0" w:color="auto"/>
      </w:divBdr>
      <w:divsChild>
        <w:div w:id="953901944">
          <w:marLeft w:val="274"/>
          <w:marRight w:val="0"/>
          <w:marTop w:val="0"/>
          <w:marBottom w:val="120"/>
          <w:divBdr>
            <w:top w:val="none" w:sz="0" w:space="0" w:color="auto"/>
            <w:left w:val="none" w:sz="0" w:space="0" w:color="auto"/>
            <w:bottom w:val="none" w:sz="0" w:space="0" w:color="auto"/>
            <w:right w:val="none" w:sz="0" w:space="0" w:color="auto"/>
          </w:divBdr>
        </w:div>
      </w:divsChild>
    </w:div>
    <w:div w:id="125856935">
      <w:bodyDiv w:val="1"/>
      <w:marLeft w:val="0"/>
      <w:marRight w:val="0"/>
      <w:marTop w:val="0"/>
      <w:marBottom w:val="0"/>
      <w:divBdr>
        <w:top w:val="none" w:sz="0" w:space="0" w:color="auto"/>
        <w:left w:val="none" w:sz="0" w:space="0" w:color="auto"/>
        <w:bottom w:val="none" w:sz="0" w:space="0" w:color="auto"/>
        <w:right w:val="none" w:sz="0" w:space="0" w:color="auto"/>
      </w:divBdr>
      <w:divsChild>
        <w:div w:id="163016516">
          <w:marLeft w:val="274"/>
          <w:marRight w:val="0"/>
          <w:marTop w:val="0"/>
          <w:marBottom w:val="60"/>
          <w:divBdr>
            <w:top w:val="none" w:sz="0" w:space="0" w:color="auto"/>
            <w:left w:val="none" w:sz="0" w:space="0" w:color="auto"/>
            <w:bottom w:val="none" w:sz="0" w:space="0" w:color="auto"/>
            <w:right w:val="none" w:sz="0" w:space="0" w:color="auto"/>
          </w:divBdr>
        </w:div>
        <w:div w:id="530186836">
          <w:marLeft w:val="274"/>
          <w:marRight w:val="0"/>
          <w:marTop w:val="0"/>
          <w:marBottom w:val="60"/>
          <w:divBdr>
            <w:top w:val="none" w:sz="0" w:space="0" w:color="auto"/>
            <w:left w:val="none" w:sz="0" w:space="0" w:color="auto"/>
            <w:bottom w:val="none" w:sz="0" w:space="0" w:color="auto"/>
            <w:right w:val="none" w:sz="0" w:space="0" w:color="auto"/>
          </w:divBdr>
        </w:div>
        <w:div w:id="618033417">
          <w:marLeft w:val="274"/>
          <w:marRight w:val="0"/>
          <w:marTop w:val="0"/>
          <w:marBottom w:val="60"/>
          <w:divBdr>
            <w:top w:val="none" w:sz="0" w:space="0" w:color="auto"/>
            <w:left w:val="none" w:sz="0" w:space="0" w:color="auto"/>
            <w:bottom w:val="none" w:sz="0" w:space="0" w:color="auto"/>
            <w:right w:val="none" w:sz="0" w:space="0" w:color="auto"/>
          </w:divBdr>
        </w:div>
        <w:div w:id="850409328">
          <w:marLeft w:val="274"/>
          <w:marRight w:val="0"/>
          <w:marTop w:val="0"/>
          <w:marBottom w:val="60"/>
          <w:divBdr>
            <w:top w:val="none" w:sz="0" w:space="0" w:color="auto"/>
            <w:left w:val="none" w:sz="0" w:space="0" w:color="auto"/>
            <w:bottom w:val="none" w:sz="0" w:space="0" w:color="auto"/>
            <w:right w:val="none" w:sz="0" w:space="0" w:color="auto"/>
          </w:divBdr>
        </w:div>
        <w:div w:id="1434008087">
          <w:marLeft w:val="274"/>
          <w:marRight w:val="0"/>
          <w:marTop w:val="0"/>
          <w:marBottom w:val="60"/>
          <w:divBdr>
            <w:top w:val="none" w:sz="0" w:space="0" w:color="auto"/>
            <w:left w:val="none" w:sz="0" w:space="0" w:color="auto"/>
            <w:bottom w:val="none" w:sz="0" w:space="0" w:color="auto"/>
            <w:right w:val="none" w:sz="0" w:space="0" w:color="auto"/>
          </w:divBdr>
        </w:div>
        <w:div w:id="1435050890">
          <w:marLeft w:val="274"/>
          <w:marRight w:val="0"/>
          <w:marTop w:val="0"/>
          <w:marBottom w:val="60"/>
          <w:divBdr>
            <w:top w:val="none" w:sz="0" w:space="0" w:color="auto"/>
            <w:left w:val="none" w:sz="0" w:space="0" w:color="auto"/>
            <w:bottom w:val="none" w:sz="0" w:space="0" w:color="auto"/>
            <w:right w:val="none" w:sz="0" w:space="0" w:color="auto"/>
          </w:divBdr>
        </w:div>
        <w:div w:id="1683972300">
          <w:marLeft w:val="274"/>
          <w:marRight w:val="0"/>
          <w:marTop w:val="0"/>
          <w:marBottom w:val="60"/>
          <w:divBdr>
            <w:top w:val="none" w:sz="0" w:space="0" w:color="auto"/>
            <w:left w:val="none" w:sz="0" w:space="0" w:color="auto"/>
            <w:bottom w:val="none" w:sz="0" w:space="0" w:color="auto"/>
            <w:right w:val="none" w:sz="0" w:space="0" w:color="auto"/>
          </w:divBdr>
        </w:div>
      </w:divsChild>
    </w:div>
    <w:div w:id="178277221">
      <w:bodyDiv w:val="1"/>
      <w:marLeft w:val="0"/>
      <w:marRight w:val="0"/>
      <w:marTop w:val="0"/>
      <w:marBottom w:val="0"/>
      <w:divBdr>
        <w:top w:val="none" w:sz="0" w:space="0" w:color="auto"/>
        <w:left w:val="none" w:sz="0" w:space="0" w:color="auto"/>
        <w:bottom w:val="none" w:sz="0" w:space="0" w:color="auto"/>
        <w:right w:val="none" w:sz="0" w:space="0" w:color="auto"/>
      </w:divBdr>
    </w:div>
    <w:div w:id="298463035">
      <w:bodyDiv w:val="1"/>
      <w:marLeft w:val="0"/>
      <w:marRight w:val="0"/>
      <w:marTop w:val="0"/>
      <w:marBottom w:val="0"/>
      <w:divBdr>
        <w:top w:val="none" w:sz="0" w:space="0" w:color="auto"/>
        <w:left w:val="none" w:sz="0" w:space="0" w:color="auto"/>
        <w:bottom w:val="none" w:sz="0" w:space="0" w:color="auto"/>
        <w:right w:val="none" w:sz="0" w:space="0" w:color="auto"/>
      </w:divBdr>
      <w:divsChild>
        <w:div w:id="579288859">
          <w:marLeft w:val="288"/>
          <w:marRight w:val="0"/>
          <w:marTop w:val="0"/>
          <w:marBottom w:val="160"/>
          <w:divBdr>
            <w:top w:val="none" w:sz="0" w:space="0" w:color="auto"/>
            <w:left w:val="none" w:sz="0" w:space="0" w:color="auto"/>
            <w:bottom w:val="none" w:sz="0" w:space="0" w:color="auto"/>
            <w:right w:val="none" w:sz="0" w:space="0" w:color="auto"/>
          </w:divBdr>
        </w:div>
        <w:div w:id="1180390729">
          <w:marLeft w:val="288"/>
          <w:marRight w:val="0"/>
          <w:marTop w:val="0"/>
          <w:marBottom w:val="160"/>
          <w:divBdr>
            <w:top w:val="none" w:sz="0" w:space="0" w:color="auto"/>
            <w:left w:val="none" w:sz="0" w:space="0" w:color="auto"/>
            <w:bottom w:val="none" w:sz="0" w:space="0" w:color="auto"/>
            <w:right w:val="none" w:sz="0" w:space="0" w:color="auto"/>
          </w:divBdr>
        </w:div>
        <w:div w:id="2055881273">
          <w:marLeft w:val="288"/>
          <w:marRight w:val="0"/>
          <w:marTop w:val="0"/>
          <w:marBottom w:val="160"/>
          <w:divBdr>
            <w:top w:val="none" w:sz="0" w:space="0" w:color="auto"/>
            <w:left w:val="none" w:sz="0" w:space="0" w:color="auto"/>
            <w:bottom w:val="none" w:sz="0" w:space="0" w:color="auto"/>
            <w:right w:val="none" w:sz="0" w:space="0" w:color="auto"/>
          </w:divBdr>
        </w:div>
      </w:divsChild>
    </w:div>
    <w:div w:id="394082674">
      <w:bodyDiv w:val="1"/>
      <w:marLeft w:val="0"/>
      <w:marRight w:val="0"/>
      <w:marTop w:val="0"/>
      <w:marBottom w:val="0"/>
      <w:divBdr>
        <w:top w:val="none" w:sz="0" w:space="0" w:color="auto"/>
        <w:left w:val="none" w:sz="0" w:space="0" w:color="auto"/>
        <w:bottom w:val="none" w:sz="0" w:space="0" w:color="auto"/>
        <w:right w:val="none" w:sz="0" w:space="0" w:color="auto"/>
      </w:divBdr>
    </w:div>
    <w:div w:id="448206895">
      <w:bodyDiv w:val="1"/>
      <w:marLeft w:val="0"/>
      <w:marRight w:val="0"/>
      <w:marTop w:val="0"/>
      <w:marBottom w:val="0"/>
      <w:divBdr>
        <w:top w:val="none" w:sz="0" w:space="0" w:color="auto"/>
        <w:left w:val="none" w:sz="0" w:space="0" w:color="auto"/>
        <w:bottom w:val="none" w:sz="0" w:space="0" w:color="auto"/>
        <w:right w:val="none" w:sz="0" w:space="0" w:color="auto"/>
      </w:divBdr>
      <w:divsChild>
        <w:div w:id="310672805">
          <w:marLeft w:val="274"/>
          <w:marRight w:val="0"/>
          <w:marTop w:val="0"/>
          <w:marBottom w:val="120"/>
          <w:divBdr>
            <w:top w:val="none" w:sz="0" w:space="0" w:color="auto"/>
            <w:left w:val="none" w:sz="0" w:space="0" w:color="auto"/>
            <w:bottom w:val="none" w:sz="0" w:space="0" w:color="auto"/>
            <w:right w:val="none" w:sz="0" w:space="0" w:color="auto"/>
          </w:divBdr>
        </w:div>
        <w:div w:id="592712421">
          <w:marLeft w:val="274"/>
          <w:marRight w:val="0"/>
          <w:marTop w:val="0"/>
          <w:marBottom w:val="120"/>
          <w:divBdr>
            <w:top w:val="none" w:sz="0" w:space="0" w:color="auto"/>
            <w:left w:val="none" w:sz="0" w:space="0" w:color="auto"/>
            <w:bottom w:val="none" w:sz="0" w:space="0" w:color="auto"/>
            <w:right w:val="none" w:sz="0" w:space="0" w:color="auto"/>
          </w:divBdr>
        </w:div>
        <w:div w:id="671224210">
          <w:marLeft w:val="274"/>
          <w:marRight w:val="0"/>
          <w:marTop w:val="0"/>
          <w:marBottom w:val="120"/>
          <w:divBdr>
            <w:top w:val="none" w:sz="0" w:space="0" w:color="auto"/>
            <w:left w:val="none" w:sz="0" w:space="0" w:color="auto"/>
            <w:bottom w:val="none" w:sz="0" w:space="0" w:color="auto"/>
            <w:right w:val="none" w:sz="0" w:space="0" w:color="auto"/>
          </w:divBdr>
        </w:div>
      </w:divsChild>
    </w:div>
    <w:div w:id="560404961">
      <w:bodyDiv w:val="1"/>
      <w:marLeft w:val="0"/>
      <w:marRight w:val="0"/>
      <w:marTop w:val="0"/>
      <w:marBottom w:val="0"/>
      <w:divBdr>
        <w:top w:val="none" w:sz="0" w:space="0" w:color="auto"/>
        <w:left w:val="none" w:sz="0" w:space="0" w:color="auto"/>
        <w:bottom w:val="none" w:sz="0" w:space="0" w:color="auto"/>
        <w:right w:val="none" w:sz="0" w:space="0" w:color="auto"/>
      </w:divBdr>
      <w:divsChild>
        <w:div w:id="494036680">
          <w:marLeft w:val="288"/>
          <w:marRight w:val="0"/>
          <w:marTop w:val="0"/>
          <w:marBottom w:val="160"/>
          <w:divBdr>
            <w:top w:val="none" w:sz="0" w:space="0" w:color="auto"/>
            <w:left w:val="none" w:sz="0" w:space="0" w:color="auto"/>
            <w:bottom w:val="none" w:sz="0" w:space="0" w:color="auto"/>
            <w:right w:val="none" w:sz="0" w:space="0" w:color="auto"/>
          </w:divBdr>
        </w:div>
        <w:div w:id="935018274">
          <w:marLeft w:val="288"/>
          <w:marRight w:val="0"/>
          <w:marTop w:val="0"/>
          <w:marBottom w:val="160"/>
          <w:divBdr>
            <w:top w:val="none" w:sz="0" w:space="0" w:color="auto"/>
            <w:left w:val="none" w:sz="0" w:space="0" w:color="auto"/>
            <w:bottom w:val="none" w:sz="0" w:space="0" w:color="auto"/>
            <w:right w:val="none" w:sz="0" w:space="0" w:color="auto"/>
          </w:divBdr>
        </w:div>
        <w:div w:id="1943100593">
          <w:marLeft w:val="288"/>
          <w:marRight w:val="0"/>
          <w:marTop w:val="0"/>
          <w:marBottom w:val="160"/>
          <w:divBdr>
            <w:top w:val="none" w:sz="0" w:space="0" w:color="auto"/>
            <w:left w:val="none" w:sz="0" w:space="0" w:color="auto"/>
            <w:bottom w:val="none" w:sz="0" w:space="0" w:color="auto"/>
            <w:right w:val="none" w:sz="0" w:space="0" w:color="auto"/>
          </w:divBdr>
        </w:div>
      </w:divsChild>
    </w:div>
    <w:div w:id="599879060">
      <w:bodyDiv w:val="1"/>
      <w:marLeft w:val="0"/>
      <w:marRight w:val="0"/>
      <w:marTop w:val="0"/>
      <w:marBottom w:val="0"/>
      <w:divBdr>
        <w:top w:val="none" w:sz="0" w:space="0" w:color="auto"/>
        <w:left w:val="none" w:sz="0" w:space="0" w:color="auto"/>
        <w:bottom w:val="none" w:sz="0" w:space="0" w:color="auto"/>
        <w:right w:val="none" w:sz="0" w:space="0" w:color="auto"/>
      </w:divBdr>
      <w:divsChild>
        <w:div w:id="288584944">
          <w:marLeft w:val="274"/>
          <w:marRight w:val="0"/>
          <w:marTop w:val="0"/>
          <w:marBottom w:val="40"/>
          <w:divBdr>
            <w:top w:val="none" w:sz="0" w:space="0" w:color="auto"/>
            <w:left w:val="none" w:sz="0" w:space="0" w:color="auto"/>
            <w:bottom w:val="none" w:sz="0" w:space="0" w:color="auto"/>
            <w:right w:val="none" w:sz="0" w:space="0" w:color="auto"/>
          </w:divBdr>
        </w:div>
        <w:div w:id="324280447">
          <w:marLeft w:val="274"/>
          <w:marRight w:val="0"/>
          <w:marTop w:val="0"/>
          <w:marBottom w:val="40"/>
          <w:divBdr>
            <w:top w:val="none" w:sz="0" w:space="0" w:color="auto"/>
            <w:left w:val="none" w:sz="0" w:space="0" w:color="auto"/>
            <w:bottom w:val="none" w:sz="0" w:space="0" w:color="auto"/>
            <w:right w:val="none" w:sz="0" w:space="0" w:color="auto"/>
          </w:divBdr>
        </w:div>
        <w:div w:id="673846247">
          <w:marLeft w:val="274"/>
          <w:marRight w:val="0"/>
          <w:marTop w:val="0"/>
          <w:marBottom w:val="40"/>
          <w:divBdr>
            <w:top w:val="none" w:sz="0" w:space="0" w:color="auto"/>
            <w:left w:val="none" w:sz="0" w:space="0" w:color="auto"/>
            <w:bottom w:val="none" w:sz="0" w:space="0" w:color="auto"/>
            <w:right w:val="none" w:sz="0" w:space="0" w:color="auto"/>
          </w:divBdr>
        </w:div>
        <w:div w:id="1025130081">
          <w:marLeft w:val="274"/>
          <w:marRight w:val="0"/>
          <w:marTop w:val="0"/>
          <w:marBottom w:val="40"/>
          <w:divBdr>
            <w:top w:val="none" w:sz="0" w:space="0" w:color="auto"/>
            <w:left w:val="none" w:sz="0" w:space="0" w:color="auto"/>
            <w:bottom w:val="none" w:sz="0" w:space="0" w:color="auto"/>
            <w:right w:val="none" w:sz="0" w:space="0" w:color="auto"/>
          </w:divBdr>
        </w:div>
        <w:div w:id="1042945310">
          <w:marLeft w:val="274"/>
          <w:marRight w:val="0"/>
          <w:marTop w:val="0"/>
          <w:marBottom w:val="40"/>
          <w:divBdr>
            <w:top w:val="none" w:sz="0" w:space="0" w:color="auto"/>
            <w:left w:val="none" w:sz="0" w:space="0" w:color="auto"/>
            <w:bottom w:val="none" w:sz="0" w:space="0" w:color="auto"/>
            <w:right w:val="none" w:sz="0" w:space="0" w:color="auto"/>
          </w:divBdr>
        </w:div>
        <w:div w:id="1604999298">
          <w:marLeft w:val="274"/>
          <w:marRight w:val="0"/>
          <w:marTop w:val="0"/>
          <w:marBottom w:val="40"/>
          <w:divBdr>
            <w:top w:val="none" w:sz="0" w:space="0" w:color="auto"/>
            <w:left w:val="none" w:sz="0" w:space="0" w:color="auto"/>
            <w:bottom w:val="none" w:sz="0" w:space="0" w:color="auto"/>
            <w:right w:val="none" w:sz="0" w:space="0" w:color="auto"/>
          </w:divBdr>
        </w:div>
        <w:div w:id="1659993042">
          <w:marLeft w:val="274"/>
          <w:marRight w:val="0"/>
          <w:marTop w:val="0"/>
          <w:marBottom w:val="40"/>
          <w:divBdr>
            <w:top w:val="none" w:sz="0" w:space="0" w:color="auto"/>
            <w:left w:val="none" w:sz="0" w:space="0" w:color="auto"/>
            <w:bottom w:val="none" w:sz="0" w:space="0" w:color="auto"/>
            <w:right w:val="none" w:sz="0" w:space="0" w:color="auto"/>
          </w:divBdr>
        </w:div>
        <w:div w:id="1702053907">
          <w:marLeft w:val="274"/>
          <w:marRight w:val="0"/>
          <w:marTop w:val="0"/>
          <w:marBottom w:val="40"/>
          <w:divBdr>
            <w:top w:val="none" w:sz="0" w:space="0" w:color="auto"/>
            <w:left w:val="none" w:sz="0" w:space="0" w:color="auto"/>
            <w:bottom w:val="none" w:sz="0" w:space="0" w:color="auto"/>
            <w:right w:val="none" w:sz="0" w:space="0" w:color="auto"/>
          </w:divBdr>
        </w:div>
        <w:div w:id="1873229790">
          <w:marLeft w:val="274"/>
          <w:marRight w:val="0"/>
          <w:marTop w:val="0"/>
          <w:marBottom w:val="40"/>
          <w:divBdr>
            <w:top w:val="none" w:sz="0" w:space="0" w:color="auto"/>
            <w:left w:val="none" w:sz="0" w:space="0" w:color="auto"/>
            <w:bottom w:val="none" w:sz="0" w:space="0" w:color="auto"/>
            <w:right w:val="none" w:sz="0" w:space="0" w:color="auto"/>
          </w:divBdr>
        </w:div>
      </w:divsChild>
    </w:div>
    <w:div w:id="628702489">
      <w:bodyDiv w:val="1"/>
      <w:marLeft w:val="0"/>
      <w:marRight w:val="0"/>
      <w:marTop w:val="0"/>
      <w:marBottom w:val="0"/>
      <w:divBdr>
        <w:top w:val="none" w:sz="0" w:space="0" w:color="auto"/>
        <w:left w:val="none" w:sz="0" w:space="0" w:color="auto"/>
        <w:bottom w:val="none" w:sz="0" w:space="0" w:color="auto"/>
        <w:right w:val="none" w:sz="0" w:space="0" w:color="auto"/>
      </w:divBdr>
      <w:divsChild>
        <w:div w:id="16544728">
          <w:marLeft w:val="274"/>
          <w:marRight w:val="0"/>
          <w:marTop w:val="0"/>
          <w:marBottom w:val="80"/>
          <w:divBdr>
            <w:top w:val="none" w:sz="0" w:space="0" w:color="auto"/>
            <w:left w:val="none" w:sz="0" w:space="0" w:color="auto"/>
            <w:bottom w:val="none" w:sz="0" w:space="0" w:color="auto"/>
            <w:right w:val="none" w:sz="0" w:space="0" w:color="auto"/>
          </w:divBdr>
        </w:div>
        <w:div w:id="1494295152">
          <w:marLeft w:val="274"/>
          <w:marRight w:val="0"/>
          <w:marTop w:val="0"/>
          <w:marBottom w:val="80"/>
          <w:divBdr>
            <w:top w:val="none" w:sz="0" w:space="0" w:color="auto"/>
            <w:left w:val="none" w:sz="0" w:space="0" w:color="auto"/>
            <w:bottom w:val="none" w:sz="0" w:space="0" w:color="auto"/>
            <w:right w:val="none" w:sz="0" w:space="0" w:color="auto"/>
          </w:divBdr>
        </w:div>
        <w:div w:id="1927839647">
          <w:marLeft w:val="274"/>
          <w:marRight w:val="0"/>
          <w:marTop w:val="0"/>
          <w:marBottom w:val="80"/>
          <w:divBdr>
            <w:top w:val="none" w:sz="0" w:space="0" w:color="auto"/>
            <w:left w:val="none" w:sz="0" w:space="0" w:color="auto"/>
            <w:bottom w:val="none" w:sz="0" w:space="0" w:color="auto"/>
            <w:right w:val="none" w:sz="0" w:space="0" w:color="auto"/>
          </w:divBdr>
        </w:div>
      </w:divsChild>
    </w:div>
    <w:div w:id="645010739">
      <w:bodyDiv w:val="1"/>
      <w:marLeft w:val="0"/>
      <w:marRight w:val="0"/>
      <w:marTop w:val="0"/>
      <w:marBottom w:val="0"/>
      <w:divBdr>
        <w:top w:val="none" w:sz="0" w:space="0" w:color="auto"/>
        <w:left w:val="none" w:sz="0" w:space="0" w:color="auto"/>
        <w:bottom w:val="none" w:sz="0" w:space="0" w:color="auto"/>
        <w:right w:val="none" w:sz="0" w:space="0" w:color="auto"/>
      </w:divBdr>
      <w:divsChild>
        <w:div w:id="998115546">
          <w:marLeft w:val="274"/>
          <w:marRight w:val="0"/>
          <w:marTop w:val="0"/>
          <w:marBottom w:val="120"/>
          <w:divBdr>
            <w:top w:val="none" w:sz="0" w:space="0" w:color="auto"/>
            <w:left w:val="none" w:sz="0" w:space="0" w:color="auto"/>
            <w:bottom w:val="none" w:sz="0" w:space="0" w:color="auto"/>
            <w:right w:val="none" w:sz="0" w:space="0" w:color="auto"/>
          </w:divBdr>
        </w:div>
      </w:divsChild>
    </w:div>
    <w:div w:id="669482974">
      <w:bodyDiv w:val="1"/>
      <w:marLeft w:val="0"/>
      <w:marRight w:val="0"/>
      <w:marTop w:val="0"/>
      <w:marBottom w:val="0"/>
      <w:divBdr>
        <w:top w:val="none" w:sz="0" w:space="0" w:color="auto"/>
        <w:left w:val="none" w:sz="0" w:space="0" w:color="auto"/>
        <w:bottom w:val="none" w:sz="0" w:space="0" w:color="auto"/>
        <w:right w:val="none" w:sz="0" w:space="0" w:color="auto"/>
      </w:divBdr>
    </w:div>
    <w:div w:id="676158311">
      <w:bodyDiv w:val="1"/>
      <w:marLeft w:val="0"/>
      <w:marRight w:val="0"/>
      <w:marTop w:val="0"/>
      <w:marBottom w:val="0"/>
      <w:divBdr>
        <w:top w:val="none" w:sz="0" w:space="0" w:color="auto"/>
        <w:left w:val="none" w:sz="0" w:space="0" w:color="auto"/>
        <w:bottom w:val="none" w:sz="0" w:space="0" w:color="auto"/>
        <w:right w:val="none" w:sz="0" w:space="0" w:color="auto"/>
      </w:divBdr>
    </w:div>
    <w:div w:id="711616434">
      <w:bodyDiv w:val="1"/>
      <w:marLeft w:val="0"/>
      <w:marRight w:val="0"/>
      <w:marTop w:val="0"/>
      <w:marBottom w:val="0"/>
      <w:divBdr>
        <w:top w:val="none" w:sz="0" w:space="0" w:color="auto"/>
        <w:left w:val="none" w:sz="0" w:space="0" w:color="auto"/>
        <w:bottom w:val="none" w:sz="0" w:space="0" w:color="auto"/>
        <w:right w:val="none" w:sz="0" w:space="0" w:color="auto"/>
      </w:divBdr>
    </w:div>
    <w:div w:id="724181269">
      <w:bodyDiv w:val="1"/>
      <w:marLeft w:val="0"/>
      <w:marRight w:val="0"/>
      <w:marTop w:val="0"/>
      <w:marBottom w:val="0"/>
      <w:divBdr>
        <w:top w:val="none" w:sz="0" w:space="0" w:color="auto"/>
        <w:left w:val="none" w:sz="0" w:space="0" w:color="auto"/>
        <w:bottom w:val="none" w:sz="0" w:space="0" w:color="auto"/>
        <w:right w:val="none" w:sz="0" w:space="0" w:color="auto"/>
      </w:divBdr>
      <w:divsChild>
        <w:div w:id="546063676">
          <w:marLeft w:val="288"/>
          <w:marRight w:val="0"/>
          <w:marTop w:val="0"/>
          <w:marBottom w:val="120"/>
          <w:divBdr>
            <w:top w:val="none" w:sz="0" w:space="0" w:color="auto"/>
            <w:left w:val="none" w:sz="0" w:space="0" w:color="auto"/>
            <w:bottom w:val="none" w:sz="0" w:space="0" w:color="auto"/>
            <w:right w:val="none" w:sz="0" w:space="0" w:color="auto"/>
          </w:divBdr>
        </w:div>
        <w:div w:id="781994127">
          <w:marLeft w:val="288"/>
          <w:marRight w:val="0"/>
          <w:marTop w:val="0"/>
          <w:marBottom w:val="120"/>
          <w:divBdr>
            <w:top w:val="none" w:sz="0" w:space="0" w:color="auto"/>
            <w:left w:val="none" w:sz="0" w:space="0" w:color="auto"/>
            <w:bottom w:val="none" w:sz="0" w:space="0" w:color="auto"/>
            <w:right w:val="none" w:sz="0" w:space="0" w:color="auto"/>
          </w:divBdr>
        </w:div>
        <w:div w:id="1203984459">
          <w:marLeft w:val="288"/>
          <w:marRight w:val="0"/>
          <w:marTop w:val="0"/>
          <w:marBottom w:val="120"/>
          <w:divBdr>
            <w:top w:val="none" w:sz="0" w:space="0" w:color="auto"/>
            <w:left w:val="none" w:sz="0" w:space="0" w:color="auto"/>
            <w:bottom w:val="none" w:sz="0" w:space="0" w:color="auto"/>
            <w:right w:val="none" w:sz="0" w:space="0" w:color="auto"/>
          </w:divBdr>
        </w:div>
        <w:div w:id="1300302168">
          <w:marLeft w:val="288"/>
          <w:marRight w:val="0"/>
          <w:marTop w:val="0"/>
          <w:marBottom w:val="120"/>
          <w:divBdr>
            <w:top w:val="none" w:sz="0" w:space="0" w:color="auto"/>
            <w:left w:val="none" w:sz="0" w:space="0" w:color="auto"/>
            <w:bottom w:val="none" w:sz="0" w:space="0" w:color="auto"/>
            <w:right w:val="none" w:sz="0" w:space="0" w:color="auto"/>
          </w:divBdr>
        </w:div>
        <w:div w:id="1574198676">
          <w:marLeft w:val="288"/>
          <w:marRight w:val="0"/>
          <w:marTop w:val="0"/>
          <w:marBottom w:val="120"/>
          <w:divBdr>
            <w:top w:val="none" w:sz="0" w:space="0" w:color="auto"/>
            <w:left w:val="none" w:sz="0" w:space="0" w:color="auto"/>
            <w:bottom w:val="none" w:sz="0" w:space="0" w:color="auto"/>
            <w:right w:val="none" w:sz="0" w:space="0" w:color="auto"/>
          </w:divBdr>
        </w:div>
        <w:div w:id="1723867350">
          <w:marLeft w:val="288"/>
          <w:marRight w:val="0"/>
          <w:marTop w:val="0"/>
          <w:marBottom w:val="120"/>
          <w:divBdr>
            <w:top w:val="none" w:sz="0" w:space="0" w:color="auto"/>
            <w:left w:val="none" w:sz="0" w:space="0" w:color="auto"/>
            <w:bottom w:val="none" w:sz="0" w:space="0" w:color="auto"/>
            <w:right w:val="none" w:sz="0" w:space="0" w:color="auto"/>
          </w:divBdr>
        </w:div>
      </w:divsChild>
    </w:div>
    <w:div w:id="729690100">
      <w:bodyDiv w:val="1"/>
      <w:marLeft w:val="0"/>
      <w:marRight w:val="0"/>
      <w:marTop w:val="0"/>
      <w:marBottom w:val="0"/>
      <w:divBdr>
        <w:top w:val="none" w:sz="0" w:space="0" w:color="auto"/>
        <w:left w:val="none" w:sz="0" w:space="0" w:color="auto"/>
        <w:bottom w:val="none" w:sz="0" w:space="0" w:color="auto"/>
        <w:right w:val="none" w:sz="0" w:space="0" w:color="auto"/>
      </w:divBdr>
      <w:divsChild>
        <w:div w:id="69736936">
          <w:marLeft w:val="274"/>
          <w:marRight w:val="0"/>
          <w:marTop w:val="0"/>
          <w:marBottom w:val="40"/>
          <w:divBdr>
            <w:top w:val="none" w:sz="0" w:space="0" w:color="auto"/>
            <w:left w:val="none" w:sz="0" w:space="0" w:color="auto"/>
            <w:bottom w:val="none" w:sz="0" w:space="0" w:color="auto"/>
            <w:right w:val="none" w:sz="0" w:space="0" w:color="auto"/>
          </w:divBdr>
        </w:div>
        <w:div w:id="229464945">
          <w:marLeft w:val="274"/>
          <w:marRight w:val="0"/>
          <w:marTop w:val="0"/>
          <w:marBottom w:val="40"/>
          <w:divBdr>
            <w:top w:val="none" w:sz="0" w:space="0" w:color="auto"/>
            <w:left w:val="none" w:sz="0" w:space="0" w:color="auto"/>
            <w:bottom w:val="none" w:sz="0" w:space="0" w:color="auto"/>
            <w:right w:val="none" w:sz="0" w:space="0" w:color="auto"/>
          </w:divBdr>
        </w:div>
        <w:div w:id="359863603">
          <w:marLeft w:val="274"/>
          <w:marRight w:val="0"/>
          <w:marTop w:val="0"/>
          <w:marBottom w:val="40"/>
          <w:divBdr>
            <w:top w:val="none" w:sz="0" w:space="0" w:color="auto"/>
            <w:left w:val="none" w:sz="0" w:space="0" w:color="auto"/>
            <w:bottom w:val="none" w:sz="0" w:space="0" w:color="auto"/>
            <w:right w:val="none" w:sz="0" w:space="0" w:color="auto"/>
          </w:divBdr>
        </w:div>
        <w:div w:id="571702672">
          <w:marLeft w:val="274"/>
          <w:marRight w:val="0"/>
          <w:marTop w:val="0"/>
          <w:marBottom w:val="40"/>
          <w:divBdr>
            <w:top w:val="none" w:sz="0" w:space="0" w:color="auto"/>
            <w:left w:val="none" w:sz="0" w:space="0" w:color="auto"/>
            <w:bottom w:val="none" w:sz="0" w:space="0" w:color="auto"/>
            <w:right w:val="none" w:sz="0" w:space="0" w:color="auto"/>
          </w:divBdr>
        </w:div>
        <w:div w:id="582420115">
          <w:marLeft w:val="274"/>
          <w:marRight w:val="0"/>
          <w:marTop w:val="0"/>
          <w:marBottom w:val="40"/>
          <w:divBdr>
            <w:top w:val="none" w:sz="0" w:space="0" w:color="auto"/>
            <w:left w:val="none" w:sz="0" w:space="0" w:color="auto"/>
            <w:bottom w:val="none" w:sz="0" w:space="0" w:color="auto"/>
            <w:right w:val="none" w:sz="0" w:space="0" w:color="auto"/>
          </w:divBdr>
        </w:div>
        <w:div w:id="843277826">
          <w:marLeft w:val="274"/>
          <w:marRight w:val="0"/>
          <w:marTop w:val="0"/>
          <w:marBottom w:val="40"/>
          <w:divBdr>
            <w:top w:val="none" w:sz="0" w:space="0" w:color="auto"/>
            <w:left w:val="none" w:sz="0" w:space="0" w:color="auto"/>
            <w:bottom w:val="none" w:sz="0" w:space="0" w:color="auto"/>
            <w:right w:val="none" w:sz="0" w:space="0" w:color="auto"/>
          </w:divBdr>
        </w:div>
        <w:div w:id="966349060">
          <w:marLeft w:val="274"/>
          <w:marRight w:val="0"/>
          <w:marTop w:val="0"/>
          <w:marBottom w:val="40"/>
          <w:divBdr>
            <w:top w:val="none" w:sz="0" w:space="0" w:color="auto"/>
            <w:left w:val="none" w:sz="0" w:space="0" w:color="auto"/>
            <w:bottom w:val="none" w:sz="0" w:space="0" w:color="auto"/>
            <w:right w:val="none" w:sz="0" w:space="0" w:color="auto"/>
          </w:divBdr>
        </w:div>
        <w:div w:id="972517588">
          <w:marLeft w:val="274"/>
          <w:marRight w:val="0"/>
          <w:marTop w:val="0"/>
          <w:marBottom w:val="40"/>
          <w:divBdr>
            <w:top w:val="none" w:sz="0" w:space="0" w:color="auto"/>
            <w:left w:val="none" w:sz="0" w:space="0" w:color="auto"/>
            <w:bottom w:val="none" w:sz="0" w:space="0" w:color="auto"/>
            <w:right w:val="none" w:sz="0" w:space="0" w:color="auto"/>
          </w:divBdr>
        </w:div>
        <w:div w:id="1871916425">
          <w:marLeft w:val="274"/>
          <w:marRight w:val="0"/>
          <w:marTop w:val="0"/>
          <w:marBottom w:val="40"/>
          <w:divBdr>
            <w:top w:val="none" w:sz="0" w:space="0" w:color="auto"/>
            <w:left w:val="none" w:sz="0" w:space="0" w:color="auto"/>
            <w:bottom w:val="none" w:sz="0" w:space="0" w:color="auto"/>
            <w:right w:val="none" w:sz="0" w:space="0" w:color="auto"/>
          </w:divBdr>
        </w:div>
      </w:divsChild>
    </w:div>
    <w:div w:id="801845885">
      <w:bodyDiv w:val="1"/>
      <w:marLeft w:val="0"/>
      <w:marRight w:val="0"/>
      <w:marTop w:val="0"/>
      <w:marBottom w:val="0"/>
      <w:divBdr>
        <w:top w:val="none" w:sz="0" w:space="0" w:color="auto"/>
        <w:left w:val="none" w:sz="0" w:space="0" w:color="auto"/>
        <w:bottom w:val="none" w:sz="0" w:space="0" w:color="auto"/>
        <w:right w:val="none" w:sz="0" w:space="0" w:color="auto"/>
      </w:divBdr>
    </w:div>
    <w:div w:id="812676272">
      <w:bodyDiv w:val="1"/>
      <w:marLeft w:val="0"/>
      <w:marRight w:val="0"/>
      <w:marTop w:val="0"/>
      <w:marBottom w:val="0"/>
      <w:divBdr>
        <w:top w:val="none" w:sz="0" w:space="0" w:color="auto"/>
        <w:left w:val="none" w:sz="0" w:space="0" w:color="auto"/>
        <w:bottom w:val="none" w:sz="0" w:space="0" w:color="auto"/>
        <w:right w:val="none" w:sz="0" w:space="0" w:color="auto"/>
      </w:divBdr>
    </w:div>
    <w:div w:id="813832136">
      <w:bodyDiv w:val="1"/>
      <w:marLeft w:val="0"/>
      <w:marRight w:val="0"/>
      <w:marTop w:val="0"/>
      <w:marBottom w:val="0"/>
      <w:divBdr>
        <w:top w:val="none" w:sz="0" w:space="0" w:color="auto"/>
        <w:left w:val="none" w:sz="0" w:space="0" w:color="auto"/>
        <w:bottom w:val="none" w:sz="0" w:space="0" w:color="auto"/>
        <w:right w:val="none" w:sz="0" w:space="0" w:color="auto"/>
      </w:divBdr>
      <w:divsChild>
        <w:div w:id="93597147">
          <w:marLeft w:val="-75"/>
          <w:marRight w:val="0"/>
          <w:marTop w:val="30"/>
          <w:marBottom w:val="30"/>
          <w:divBdr>
            <w:top w:val="none" w:sz="0" w:space="0" w:color="auto"/>
            <w:left w:val="none" w:sz="0" w:space="0" w:color="auto"/>
            <w:bottom w:val="none" w:sz="0" w:space="0" w:color="auto"/>
            <w:right w:val="none" w:sz="0" w:space="0" w:color="auto"/>
          </w:divBdr>
          <w:divsChild>
            <w:div w:id="3871777">
              <w:marLeft w:val="0"/>
              <w:marRight w:val="0"/>
              <w:marTop w:val="0"/>
              <w:marBottom w:val="0"/>
              <w:divBdr>
                <w:top w:val="none" w:sz="0" w:space="0" w:color="auto"/>
                <w:left w:val="none" w:sz="0" w:space="0" w:color="auto"/>
                <w:bottom w:val="none" w:sz="0" w:space="0" w:color="auto"/>
                <w:right w:val="none" w:sz="0" w:space="0" w:color="auto"/>
              </w:divBdr>
              <w:divsChild>
                <w:div w:id="1432772665">
                  <w:marLeft w:val="0"/>
                  <w:marRight w:val="0"/>
                  <w:marTop w:val="0"/>
                  <w:marBottom w:val="0"/>
                  <w:divBdr>
                    <w:top w:val="none" w:sz="0" w:space="0" w:color="auto"/>
                    <w:left w:val="none" w:sz="0" w:space="0" w:color="auto"/>
                    <w:bottom w:val="none" w:sz="0" w:space="0" w:color="auto"/>
                    <w:right w:val="none" w:sz="0" w:space="0" w:color="auto"/>
                  </w:divBdr>
                </w:div>
              </w:divsChild>
            </w:div>
            <w:div w:id="84809008">
              <w:marLeft w:val="0"/>
              <w:marRight w:val="0"/>
              <w:marTop w:val="0"/>
              <w:marBottom w:val="0"/>
              <w:divBdr>
                <w:top w:val="none" w:sz="0" w:space="0" w:color="auto"/>
                <w:left w:val="none" w:sz="0" w:space="0" w:color="auto"/>
                <w:bottom w:val="none" w:sz="0" w:space="0" w:color="auto"/>
                <w:right w:val="none" w:sz="0" w:space="0" w:color="auto"/>
              </w:divBdr>
              <w:divsChild>
                <w:div w:id="2018846429">
                  <w:marLeft w:val="0"/>
                  <w:marRight w:val="0"/>
                  <w:marTop w:val="0"/>
                  <w:marBottom w:val="0"/>
                  <w:divBdr>
                    <w:top w:val="none" w:sz="0" w:space="0" w:color="auto"/>
                    <w:left w:val="none" w:sz="0" w:space="0" w:color="auto"/>
                    <w:bottom w:val="none" w:sz="0" w:space="0" w:color="auto"/>
                    <w:right w:val="none" w:sz="0" w:space="0" w:color="auto"/>
                  </w:divBdr>
                </w:div>
              </w:divsChild>
            </w:div>
            <w:div w:id="165174523">
              <w:marLeft w:val="0"/>
              <w:marRight w:val="0"/>
              <w:marTop w:val="0"/>
              <w:marBottom w:val="0"/>
              <w:divBdr>
                <w:top w:val="none" w:sz="0" w:space="0" w:color="auto"/>
                <w:left w:val="none" w:sz="0" w:space="0" w:color="auto"/>
                <w:bottom w:val="none" w:sz="0" w:space="0" w:color="auto"/>
                <w:right w:val="none" w:sz="0" w:space="0" w:color="auto"/>
              </w:divBdr>
              <w:divsChild>
                <w:div w:id="962232022">
                  <w:marLeft w:val="0"/>
                  <w:marRight w:val="0"/>
                  <w:marTop w:val="0"/>
                  <w:marBottom w:val="0"/>
                  <w:divBdr>
                    <w:top w:val="none" w:sz="0" w:space="0" w:color="auto"/>
                    <w:left w:val="none" w:sz="0" w:space="0" w:color="auto"/>
                    <w:bottom w:val="none" w:sz="0" w:space="0" w:color="auto"/>
                    <w:right w:val="none" w:sz="0" w:space="0" w:color="auto"/>
                  </w:divBdr>
                </w:div>
              </w:divsChild>
            </w:div>
            <w:div w:id="236019016">
              <w:marLeft w:val="0"/>
              <w:marRight w:val="0"/>
              <w:marTop w:val="0"/>
              <w:marBottom w:val="0"/>
              <w:divBdr>
                <w:top w:val="none" w:sz="0" w:space="0" w:color="auto"/>
                <w:left w:val="none" w:sz="0" w:space="0" w:color="auto"/>
                <w:bottom w:val="none" w:sz="0" w:space="0" w:color="auto"/>
                <w:right w:val="none" w:sz="0" w:space="0" w:color="auto"/>
              </w:divBdr>
              <w:divsChild>
                <w:div w:id="998118799">
                  <w:marLeft w:val="0"/>
                  <w:marRight w:val="0"/>
                  <w:marTop w:val="0"/>
                  <w:marBottom w:val="0"/>
                  <w:divBdr>
                    <w:top w:val="none" w:sz="0" w:space="0" w:color="auto"/>
                    <w:left w:val="none" w:sz="0" w:space="0" w:color="auto"/>
                    <w:bottom w:val="none" w:sz="0" w:space="0" w:color="auto"/>
                    <w:right w:val="none" w:sz="0" w:space="0" w:color="auto"/>
                  </w:divBdr>
                </w:div>
              </w:divsChild>
            </w:div>
            <w:div w:id="1114248216">
              <w:marLeft w:val="0"/>
              <w:marRight w:val="0"/>
              <w:marTop w:val="0"/>
              <w:marBottom w:val="0"/>
              <w:divBdr>
                <w:top w:val="none" w:sz="0" w:space="0" w:color="auto"/>
                <w:left w:val="none" w:sz="0" w:space="0" w:color="auto"/>
                <w:bottom w:val="none" w:sz="0" w:space="0" w:color="auto"/>
                <w:right w:val="none" w:sz="0" w:space="0" w:color="auto"/>
              </w:divBdr>
              <w:divsChild>
                <w:div w:id="983704130">
                  <w:marLeft w:val="0"/>
                  <w:marRight w:val="0"/>
                  <w:marTop w:val="0"/>
                  <w:marBottom w:val="0"/>
                  <w:divBdr>
                    <w:top w:val="none" w:sz="0" w:space="0" w:color="auto"/>
                    <w:left w:val="none" w:sz="0" w:space="0" w:color="auto"/>
                    <w:bottom w:val="none" w:sz="0" w:space="0" w:color="auto"/>
                    <w:right w:val="none" w:sz="0" w:space="0" w:color="auto"/>
                  </w:divBdr>
                </w:div>
              </w:divsChild>
            </w:div>
            <w:div w:id="1212375934">
              <w:marLeft w:val="0"/>
              <w:marRight w:val="0"/>
              <w:marTop w:val="0"/>
              <w:marBottom w:val="0"/>
              <w:divBdr>
                <w:top w:val="none" w:sz="0" w:space="0" w:color="auto"/>
                <w:left w:val="none" w:sz="0" w:space="0" w:color="auto"/>
                <w:bottom w:val="none" w:sz="0" w:space="0" w:color="auto"/>
                <w:right w:val="none" w:sz="0" w:space="0" w:color="auto"/>
              </w:divBdr>
              <w:divsChild>
                <w:div w:id="700979417">
                  <w:marLeft w:val="0"/>
                  <w:marRight w:val="0"/>
                  <w:marTop w:val="0"/>
                  <w:marBottom w:val="0"/>
                  <w:divBdr>
                    <w:top w:val="none" w:sz="0" w:space="0" w:color="auto"/>
                    <w:left w:val="none" w:sz="0" w:space="0" w:color="auto"/>
                    <w:bottom w:val="none" w:sz="0" w:space="0" w:color="auto"/>
                    <w:right w:val="none" w:sz="0" w:space="0" w:color="auto"/>
                  </w:divBdr>
                </w:div>
              </w:divsChild>
            </w:div>
            <w:div w:id="1318195165">
              <w:marLeft w:val="0"/>
              <w:marRight w:val="0"/>
              <w:marTop w:val="0"/>
              <w:marBottom w:val="0"/>
              <w:divBdr>
                <w:top w:val="none" w:sz="0" w:space="0" w:color="auto"/>
                <w:left w:val="none" w:sz="0" w:space="0" w:color="auto"/>
                <w:bottom w:val="none" w:sz="0" w:space="0" w:color="auto"/>
                <w:right w:val="none" w:sz="0" w:space="0" w:color="auto"/>
              </w:divBdr>
              <w:divsChild>
                <w:div w:id="143471455">
                  <w:marLeft w:val="0"/>
                  <w:marRight w:val="0"/>
                  <w:marTop w:val="0"/>
                  <w:marBottom w:val="0"/>
                  <w:divBdr>
                    <w:top w:val="none" w:sz="0" w:space="0" w:color="auto"/>
                    <w:left w:val="none" w:sz="0" w:space="0" w:color="auto"/>
                    <w:bottom w:val="none" w:sz="0" w:space="0" w:color="auto"/>
                    <w:right w:val="none" w:sz="0" w:space="0" w:color="auto"/>
                  </w:divBdr>
                </w:div>
              </w:divsChild>
            </w:div>
            <w:div w:id="1411198717">
              <w:marLeft w:val="0"/>
              <w:marRight w:val="0"/>
              <w:marTop w:val="0"/>
              <w:marBottom w:val="0"/>
              <w:divBdr>
                <w:top w:val="none" w:sz="0" w:space="0" w:color="auto"/>
                <w:left w:val="none" w:sz="0" w:space="0" w:color="auto"/>
                <w:bottom w:val="none" w:sz="0" w:space="0" w:color="auto"/>
                <w:right w:val="none" w:sz="0" w:space="0" w:color="auto"/>
              </w:divBdr>
              <w:divsChild>
                <w:div w:id="1377772302">
                  <w:marLeft w:val="0"/>
                  <w:marRight w:val="0"/>
                  <w:marTop w:val="0"/>
                  <w:marBottom w:val="0"/>
                  <w:divBdr>
                    <w:top w:val="none" w:sz="0" w:space="0" w:color="auto"/>
                    <w:left w:val="none" w:sz="0" w:space="0" w:color="auto"/>
                    <w:bottom w:val="none" w:sz="0" w:space="0" w:color="auto"/>
                    <w:right w:val="none" w:sz="0" w:space="0" w:color="auto"/>
                  </w:divBdr>
                </w:div>
              </w:divsChild>
            </w:div>
            <w:div w:id="1479611003">
              <w:marLeft w:val="0"/>
              <w:marRight w:val="0"/>
              <w:marTop w:val="0"/>
              <w:marBottom w:val="0"/>
              <w:divBdr>
                <w:top w:val="none" w:sz="0" w:space="0" w:color="auto"/>
                <w:left w:val="none" w:sz="0" w:space="0" w:color="auto"/>
                <w:bottom w:val="none" w:sz="0" w:space="0" w:color="auto"/>
                <w:right w:val="none" w:sz="0" w:space="0" w:color="auto"/>
              </w:divBdr>
              <w:divsChild>
                <w:div w:id="1520923014">
                  <w:marLeft w:val="0"/>
                  <w:marRight w:val="0"/>
                  <w:marTop w:val="0"/>
                  <w:marBottom w:val="0"/>
                  <w:divBdr>
                    <w:top w:val="none" w:sz="0" w:space="0" w:color="auto"/>
                    <w:left w:val="none" w:sz="0" w:space="0" w:color="auto"/>
                    <w:bottom w:val="none" w:sz="0" w:space="0" w:color="auto"/>
                    <w:right w:val="none" w:sz="0" w:space="0" w:color="auto"/>
                  </w:divBdr>
                </w:div>
              </w:divsChild>
            </w:div>
            <w:div w:id="1519343274">
              <w:marLeft w:val="0"/>
              <w:marRight w:val="0"/>
              <w:marTop w:val="0"/>
              <w:marBottom w:val="0"/>
              <w:divBdr>
                <w:top w:val="none" w:sz="0" w:space="0" w:color="auto"/>
                <w:left w:val="none" w:sz="0" w:space="0" w:color="auto"/>
                <w:bottom w:val="none" w:sz="0" w:space="0" w:color="auto"/>
                <w:right w:val="none" w:sz="0" w:space="0" w:color="auto"/>
              </w:divBdr>
              <w:divsChild>
                <w:div w:id="1806267376">
                  <w:marLeft w:val="0"/>
                  <w:marRight w:val="0"/>
                  <w:marTop w:val="0"/>
                  <w:marBottom w:val="0"/>
                  <w:divBdr>
                    <w:top w:val="none" w:sz="0" w:space="0" w:color="auto"/>
                    <w:left w:val="none" w:sz="0" w:space="0" w:color="auto"/>
                    <w:bottom w:val="none" w:sz="0" w:space="0" w:color="auto"/>
                    <w:right w:val="none" w:sz="0" w:space="0" w:color="auto"/>
                  </w:divBdr>
                </w:div>
              </w:divsChild>
            </w:div>
            <w:div w:id="1523545781">
              <w:marLeft w:val="0"/>
              <w:marRight w:val="0"/>
              <w:marTop w:val="0"/>
              <w:marBottom w:val="0"/>
              <w:divBdr>
                <w:top w:val="none" w:sz="0" w:space="0" w:color="auto"/>
                <w:left w:val="none" w:sz="0" w:space="0" w:color="auto"/>
                <w:bottom w:val="none" w:sz="0" w:space="0" w:color="auto"/>
                <w:right w:val="none" w:sz="0" w:space="0" w:color="auto"/>
              </w:divBdr>
              <w:divsChild>
                <w:div w:id="781537528">
                  <w:marLeft w:val="0"/>
                  <w:marRight w:val="0"/>
                  <w:marTop w:val="0"/>
                  <w:marBottom w:val="0"/>
                  <w:divBdr>
                    <w:top w:val="none" w:sz="0" w:space="0" w:color="auto"/>
                    <w:left w:val="none" w:sz="0" w:space="0" w:color="auto"/>
                    <w:bottom w:val="none" w:sz="0" w:space="0" w:color="auto"/>
                    <w:right w:val="none" w:sz="0" w:space="0" w:color="auto"/>
                  </w:divBdr>
                </w:div>
              </w:divsChild>
            </w:div>
            <w:div w:id="1568950727">
              <w:marLeft w:val="0"/>
              <w:marRight w:val="0"/>
              <w:marTop w:val="0"/>
              <w:marBottom w:val="0"/>
              <w:divBdr>
                <w:top w:val="none" w:sz="0" w:space="0" w:color="auto"/>
                <w:left w:val="none" w:sz="0" w:space="0" w:color="auto"/>
                <w:bottom w:val="none" w:sz="0" w:space="0" w:color="auto"/>
                <w:right w:val="none" w:sz="0" w:space="0" w:color="auto"/>
              </w:divBdr>
              <w:divsChild>
                <w:div w:id="874974288">
                  <w:marLeft w:val="0"/>
                  <w:marRight w:val="0"/>
                  <w:marTop w:val="0"/>
                  <w:marBottom w:val="0"/>
                  <w:divBdr>
                    <w:top w:val="none" w:sz="0" w:space="0" w:color="auto"/>
                    <w:left w:val="none" w:sz="0" w:space="0" w:color="auto"/>
                    <w:bottom w:val="none" w:sz="0" w:space="0" w:color="auto"/>
                    <w:right w:val="none" w:sz="0" w:space="0" w:color="auto"/>
                  </w:divBdr>
                </w:div>
              </w:divsChild>
            </w:div>
            <w:div w:id="1579484842">
              <w:marLeft w:val="0"/>
              <w:marRight w:val="0"/>
              <w:marTop w:val="0"/>
              <w:marBottom w:val="0"/>
              <w:divBdr>
                <w:top w:val="none" w:sz="0" w:space="0" w:color="auto"/>
                <w:left w:val="none" w:sz="0" w:space="0" w:color="auto"/>
                <w:bottom w:val="none" w:sz="0" w:space="0" w:color="auto"/>
                <w:right w:val="none" w:sz="0" w:space="0" w:color="auto"/>
              </w:divBdr>
              <w:divsChild>
                <w:div w:id="703286290">
                  <w:marLeft w:val="0"/>
                  <w:marRight w:val="0"/>
                  <w:marTop w:val="0"/>
                  <w:marBottom w:val="0"/>
                  <w:divBdr>
                    <w:top w:val="none" w:sz="0" w:space="0" w:color="auto"/>
                    <w:left w:val="none" w:sz="0" w:space="0" w:color="auto"/>
                    <w:bottom w:val="none" w:sz="0" w:space="0" w:color="auto"/>
                    <w:right w:val="none" w:sz="0" w:space="0" w:color="auto"/>
                  </w:divBdr>
                </w:div>
              </w:divsChild>
            </w:div>
            <w:div w:id="1597860709">
              <w:marLeft w:val="0"/>
              <w:marRight w:val="0"/>
              <w:marTop w:val="0"/>
              <w:marBottom w:val="0"/>
              <w:divBdr>
                <w:top w:val="none" w:sz="0" w:space="0" w:color="auto"/>
                <w:left w:val="none" w:sz="0" w:space="0" w:color="auto"/>
                <w:bottom w:val="none" w:sz="0" w:space="0" w:color="auto"/>
                <w:right w:val="none" w:sz="0" w:space="0" w:color="auto"/>
              </w:divBdr>
              <w:divsChild>
                <w:div w:id="996687505">
                  <w:marLeft w:val="0"/>
                  <w:marRight w:val="0"/>
                  <w:marTop w:val="0"/>
                  <w:marBottom w:val="0"/>
                  <w:divBdr>
                    <w:top w:val="none" w:sz="0" w:space="0" w:color="auto"/>
                    <w:left w:val="none" w:sz="0" w:space="0" w:color="auto"/>
                    <w:bottom w:val="none" w:sz="0" w:space="0" w:color="auto"/>
                    <w:right w:val="none" w:sz="0" w:space="0" w:color="auto"/>
                  </w:divBdr>
                </w:div>
              </w:divsChild>
            </w:div>
            <w:div w:id="1800874433">
              <w:marLeft w:val="0"/>
              <w:marRight w:val="0"/>
              <w:marTop w:val="0"/>
              <w:marBottom w:val="0"/>
              <w:divBdr>
                <w:top w:val="none" w:sz="0" w:space="0" w:color="auto"/>
                <w:left w:val="none" w:sz="0" w:space="0" w:color="auto"/>
                <w:bottom w:val="none" w:sz="0" w:space="0" w:color="auto"/>
                <w:right w:val="none" w:sz="0" w:space="0" w:color="auto"/>
              </w:divBdr>
              <w:divsChild>
                <w:div w:id="941914847">
                  <w:marLeft w:val="0"/>
                  <w:marRight w:val="0"/>
                  <w:marTop w:val="0"/>
                  <w:marBottom w:val="0"/>
                  <w:divBdr>
                    <w:top w:val="none" w:sz="0" w:space="0" w:color="auto"/>
                    <w:left w:val="none" w:sz="0" w:space="0" w:color="auto"/>
                    <w:bottom w:val="none" w:sz="0" w:space="0" w:color="auto"/>
                    <w:right w:val="none" w:sz="0" w:space="0" w:color="auto"/>
                  </w:divBdr>
                </w:div>
              </w:divsChild>
            </w:div>
            <w:div w:id="2087261400">
              <w:marLeft w:val="0"/>
              <w:marRight w:val="0"/>
              <w:marTop w:val="0"/>
              <w:marBottom w:val="0"/>
              <w:divBdr>
                <w:top w:val="none" w:sz="0" w:space="0" w:color="auto"/>
                <w:left w:val="none" w:sz="0" w:space="0" w:color="auto"/>
                <w:bottom w:val="none" w:sz="0" w:space="0" w:color="auto"/>
                <w:right w:val="none" w:sz="0" w:space="0" w:color="auto"/>
              </w:divBdr>
              <w:divsChild>
                <w:div w:id="7735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5486">
          <w:marLeft w:val="0"/>
          <w:marRight w:val="0"/>
          <w:marTop w:val="0"/>
          <w:marBottom w:val="0"/>
          <w:divBdr>
            <w:top w:val="none" w:sz="0" w:space="0" w:color="auto"/>
            <w:left w:val="none" w:sz="0" w:space="0" w:color="auto"/>
            <w:bottom w:val="none" w:sz="0" w:space="0" w:color="auto"/>
            <w:right w:val="none" w:sz="0" w:space="0" w:color="auto"/>
          </w:divBdr>
        </w:div>
      </w:divsChild>
    </w:div>
    <w:div w:id="851190575">
      <w:bodyDiv w:val="1"/>
      <w:marLeft w:val="0"/>
      <w:marRight w:val="0"/>
      <w:marTop w:val="0"/>
      <w:marBottom w:val="0"/>
      <w:divBdr>
        <w:top w:val="none" w:sz="0" w:space="0" w:color="auto"/>
        <w:left w:val="none" w:sz="0" w:space="0" w:color="auto"/>
        <w:bottom w:val="none" w:sz="0" w:space="0" w:color="auto"/>
        <w:right w:val="none" w:sz="0" w:space="0" w:color="auto"/>
      </w:divBdr>
      <w:divsChild>
        <w:div w:id="263920962">
          <w:marLeft w:val="274"/>
          <w:marRight w:val="0"/>
          <w:marTop w:val="0"/>
          <w:marBottom w:val="40"/>
          <w:divBdr>
            <w:top w:val="none" w:sz="0" w:space="0" w:color="auto"/>
            <w:left w:val="none" w:sz="0" w:space="0" w:color="auto"/>
            <w:bottom w:val="none" w:sz="0" w:space="0" w:color="auto"/>
            <w:right w:val="none" w:sz="0" w:space="0" w:color="auto"/>
          </w:divBdr>
        </w:div>
        <w:div w:id="434785042">
          <w:marLeft w:val="274"/>
          <w:marRight w:val="0"/>
          <w:marTop w:val="0"/>
          <w:marBottom w:val="40"/>
          <w:divBdr>
            <w:top w:val="none" w:sz="0" w:space="0" w:color="auto"/>
            <w:left w:val="none" w:sz="0" w:space="0" w:color="auto"/>
            <w:bottom w:val="none" w:sz="0" w:space="0" w:color="auto"/>
            <w:right w:val="none" w:sz="0" w:space="0" w:color="auto"/>
          </w:divBdr>
        </w:div>
        <w:div w:id="681929603">
          <w:marLeft w:val="274"/>
          <w:marRight w:val="0"/>
          <w:marTop w:val="0"/>
          <w:marBottom w:val="40"/>
          <w:divBdr>
            <w:top w:val="none" w:sz="0" w:space="0" w:color="auto"/>
            <w:left w:val="none" w:sz="0" w:space="0" w:color="auto"/>
            <w:bottom w:val="none" w:sz="0" w:space="0" w:color="auto"/>
            <w:right w:val="none" w:sz="0" w:space="0" w:color="auto"/>
          </w:divBdr>
        </w:div>
        <w:div w:id="843861711">
          <w:marLeft w:val="274"/>
          <w:marRight w:val="0"/>
          <w:marTop w:val="0"/>
          <w:marBottom w:val="40"/>
          <w:divBdr>
            <w:top w:val="none" w:sz="0" w:space="0" w:color="auto"/>
            <w:left w:val="none" w:sz="0" w:space="0" w:color="auto"/>
            <w:bottom w:val="none" w:sz="0" w:space="0" w:color="auto"/>
            <w:right w:val="none" w:sz="0" w:space="0" w:color="auto"/>
          </w:divBdr>
        </w:div>
        <w:div w:id="1062556474">
          <w:marLeft w:val="274"/>
          <w:marRight w:val="0"/>
          <w:marTop w:val="0"/>
          <w:marBottom w:val="40"/>
          <w:divBdr>
            <w:top w:val="none" w:sz="0" w:space="0" w:color="auto"/>
            <w:left w:val="none" w:sz="0" w:space="0" w:color="auto"/>
            <w:bottom w:val="none" w:sz="0" w:space="0" w:color="auto"/>
            <w:right w:val="none" w:sz="0" w:space="0" w:color="auto"/>
          </w:divBdr>
        </w:div>
        <w:div w:id="1751198154">
          <w:marLeft w:val="274"/>
          <w:marRight w:val="0"/>
          <w:marTop w:val="0"/>
          <w:marBottom w:val="40"/>
          <w:divBdr>
            <w:top w:val="none" w:sz="0" w:space="0" w:color="auto"/>
            <w:left w:val="none" w:sz="0" w:space="0" w:color="auto"/>
            <w:bottom w:val="none" w:sz="0" w:space="0" w:color="auto"/>
            <w:right w:val="none" w:sz="0" w:space="0" w:color="auto"/>
          </w:divBdr>
        </w:div>
        <w:div w:id="1817450114">
          <w:marLeft w:val="274"/>
          <w:marRight w:val="0"/>
          <w:marTop w:val="0"/>
          <w:marBottom w:val="40"/>
          <w:divBdr>
            <w:top w:val="none" w:sz="0" w:space="0" w:color="auto"/>
            <w:left w:val="none" w:sz="0" w:space="0" w:color="auto"/>
            <w:bottom w:val="none" w:sz="0" w:space="0" w:color="auto"/>
            <w:right w:val="none" w:sz="0" w:space="0" w:color="auto"/>
          </w:divBdr>
        </w:div>
        <w:div w:id="1847986697">
          <w:marLeft w:val="274"/>
          <w:marRight w:val="0"/>
          <w:marTop w:val="0"/>
          <w:marBottom w:val="40"/>
          <w:divBdr>
            <w:top w:val="none" w:sz="0" w:space="0" w:color="auto"/>
            <w:left w:val="none" w:sz="0" w:space="0" w:color="auto"/>
            <w:bottom w:val="none" w:sz="0" w:space="0" w:color="auto"/>
            <w:right w:val="none" w:sz="0" w:space="0" w:color="auto"/>
          </w:divBdr>
        </w:div>
      </w:divsChild>
    </w:div>
    <w:div w:id="915819431">
      <w:bodyDiv w:val="1"/>
      <w:marLeft w:val="0"/>
      <w:marRight w:val="0"/>
      <w:marTop w:val="0"/>
      <w:marBottom w:val="0"/>
      <w:divBdr>
        <w:top w:val="none" w:sz="0" w:space="0" w:color="auto"/>
        <w:left w:val="none" w:sz="0" w:space="0" w:color="auto"/>
        <w:bottom w:val="none" w:sz="0" w:space="0" w:color="auto"/>
        <w:right w:val="none" w:sz="0" w:space="0" w:color="auto"/>
      </w:divBdr>
      <w:divsChild>
        <w:div w:id="282270073">
          <w:marLeft w:val="274"/>
          <w:marRight w:val="0"/>
          <w:marTop w:val="0"/>
          <w:marBottom w:val="120"/>
          <w:divBdr>
            <w:top w:val="none" w:sz="0" w:space="0" w:color="auto"/>
            <w:left w:val="none" w:sz="0" w:space="0" w:color="auto"/>
            <w:bottom w:val="none" w:sz="0" w:space="0" w:color="auto"/>
            <w:right w:val="none" w:sz="0" w:space="0" w:color="auto"/>
          </w:divBdr>
        </w:div>
        <w:div w:id="588587197">
          <w:marLeft w:val="274"/>
          <w:marRight w:val="0"/>
          <w:marTop w:val="0"/>
          <w:marBottom w:val="120"/>
          <w:divBdr>
            <w:top w:val="none" w:sz="0" w:space="0" w:color="auto"/>
            <w:left w:val="none" w:sz="0" w:space="0" w:color="auto"/>
            <w:bottom w:val="none" w:sz="0" w:space="0" w:color="auto"/>
            <w:right w:val="none" w:sz="0" w:space="0" w:color="auto"/>
          </w:divBdr>
        </w:div>
      </w:divsChild>
    </w:div>
    <w:div w:id="922641511">
      <w:bodyDiv w:val="1"/>
      <w:marLeft w:val="0"/>
      <w:marRight w:val="0"/>
      <w:marTop w:val="0"/>
      <w:marBottom w:val="0"/>
      <w:divBdr>
        <w:top w:val="none" w:sz="0" w:space="0" w:color="auto"/>
        <w:left w:val="none" w:sz="0" w:space="0" w:color="auto"/>
        <w:bottom w:val="none" w:sz="0" w:space="0" w:color="auto"/>
        <w:right w:val="none" w:sz="0" w:space="0" w:color="auto"/>
      </w:divBdr>
      <w:divsChild>
        <w:div w:id="188226540">
          <w:marLeft w:val="274"/>
          <w:marRight w:val="0"/>
          <w:marTop w:val="0"/>
          <w:marBottom w:val="60"/>
          <w:divBdr>
            <w:top w:val="none" w:sz="0" w:space="0" w:color="auto"/>
            <w:left w:val="none" w:sz="0" w:space="0" w:color="auto"/>
            <w:bottom w:val="none" w:sz="0" w:space="0" w:color="auto"/>
            <w:right w:val="none" w:sz="0" w:space="0" w:color="auto"/>
          </w:divBdr>
        </w:div>
        <w:div w:id="210119186">
          <w:marLeft w:val="274"/>
          <w:marRight w:val="0"/>
          <w:marTop w:val="0"/>
          <w:marBottom w:val="60"/>
          <w:divBdr>
            <w:top w:val="none" w:sz="0" w:space="0" w:color="auto"/>
            <w:left w:val="none" w:sz="0" w:space="0" w:color="auto"/>
            <w:bottom w:val="none" w:sz="0" w:space="0" w:color="auto"/>
            <w:right w:val="none" w:sz="0" w:space="0" w:color="auto"/>
          </w:divBdr>
        </w:div>
        <w:div w:id="521359005">
          <w:marLeft w:val="274"/>
          <w:marRight w:val="0"/>
          <w:marTop w:val="0"/>
          <w:marBottom w:val="60"/>
          <w:divBdr>
            <w:top w:val="none" w:sz="0" w:space="0" w:color="auto"/>
            <w:left w:val="none" w:sz="0" w:space="0" w:color="auto"/>
            <w:bottom w:val="none" w:sz="0" w:space="0" w:color="auto"/>
            <w:right w:val="none" w:sz="0" w:space="0" w:color="auto"/>
          </w:divBdr>
        </w:div>
        <w:div w:id="817263972">
          <w:marLeft w:val="274"/>
          <w:marRight w:val="0"/>
          <w:marTop w:val="0"/>
          <w:marBottom w:val="60"/>
          <w:divBdr>
            <w:top w:val="none" w:sz="0" w:space="0" w:color="auto"/>
            <w:left w:val="none" w:sz="0" w:space="0" w:color="auto"/>
            <w:bottom w:val="none" w:sz="0" w:space="0" w:color="auto"/>
            <w:right w:val="none" w:sz="0" w:space="0" w:color="auto"/>
          </w:divBdr>
        </w:div>
        <w:div w:id="1075932291">
          <w:marLeft w:val="274"/>
          <w:marRight w:val="0"/>
          <w:marTop w:val="0"/>
          <w:marBottom w:val="60"/>
          <w:divBdr>
            <w:top w:val="none" w:sz="0" w:space="0" w:color="auto"/>
            <w:left w:val="none" w:sz="0" w:space="0" w:color="auto"/>
            <w:bottom w:val="none" w:sz="0" w:space="0" w:color="auto"/>
            <w:right w:val="none" w:sz="0" w:space="0" w:color="auto"/>
          </w:divBdr>
        </w:div>
        <w:div w:id="1695304703">
          <w:marLeft w:val="274"/>
          <w:marRight w:val="0"/>
          <w:marTop w:val="0"/>
          <w:marBottom w:val="60"/>
          <w:divBdr>
            <w:top w:val="none" w:sz="0" w:space="0" w:color="auto"/>
            <w:left w:val="none" w:sz="0" w:space="0" w:color="auto"/>
            <w:bottom w:val="none" w:sz="0" w:space="0" w:color="auto"/>
            <w:right w:val="none" w:sz="0" w:space="0" w:color="auto"/>
          </w:divBdr>
        </w:div>
        <w:div w:id="1868252074">
          <w:marLeft w:val="274"/>
          <w:marRight w:val="0"/>
          <w:marTop w:val="0"/>
          <w:marBottom w:val="60"/>
          <w:divBdr>
            <w:top w:val="none" w:sz="0" w:space="0" w:color="auto"/>
            <w:left w:val="none" w:sz="0" w:space="0" w:color="auto"/>
            <w:bottom w:val="none" w:sz="0" w:space="0" w:color="auto"/>
            <w:right w:val="none" w:sz="0" w:space="0" w:color="auto"/>
          </w:divBdr>
        </w:div>
        <w:div w:id="2080207688">
          <w:marLeft w:val="274"/>
          <w:marRight w:val="0"/>
          <w:marTop w:val="0"/>
          <w:marBottom w:val="60"/>
          <w:divBdr>
            <w:top w:val="none" w:sz="0" w:space="0" w:color="auto"/>
            <w:left w:val="none" w:sz="0" w:space="0" w:color="auto"/>
            <w:bottom w:val="none" w:sz="0" w:space="0" w:color="auto"/>
            <w:right w:val="none" w:sz="0" w:space="0" w:color="auto"/>
          </w:divBdr>
        </w:div>
        <w:div w:id="2111968563">
          <w:marLeft w:val="274"/>
          <w:marRight w:val="0"/>
          <w:marTop w:val="0"/>
          <w:marBottom w:val="60"/>
          <w:divBdr>
            <w:top w:val="none" w:sz="0" w:space="0" w:color="auto"/>
            <w:left w:val="none" w:sz="0" w:space="0" w:color="auto"/>
            <w:bottom w:val="none" w:sz="0" w:space="0" w:color="auto"/>
            <w:right w:val="none" w:sz="0" w:space="0" w:color="auto"/>
          </w:divBdr>
        </w:div>
      </w:divsChild>
    </w:div>
    <w:div w:id="1007366710">
      <w:bodyDiv w:val="1"/>
      <w:marLeft w:val="0"/>
      <w:marRight w:val="0"/>
      <w:marTop w:val="0"/>
      <w:marBottom w:val="0"/>
      <w:divBdr>
        <w:top w:val="none" w:sz="0" w:space="0" w:color="auto"/>
        <w:left w:val="none" w:sz="0" w:space="0" w:color="auto"/>
        <w:bottom w:val="none" w:sz="0" w:space="0" w:color="auto"/>
        <w:right w:val="none" w:sz="0" w:space="0" w:color="auto"/>
      </w:divBdr>
      <w:divsChild>
        <w:div w:id="1479876388">
          <w:marLeft w:val="274"/>
          <w:marRight w:val="0"/>
          <w:marTop w:val="0"/>
          <w:marBottom w:val="120"/>
          <w:divBdr>
            <w:top w:val="none" w:sz="0" w:space="0" w:color="auto"/>
            <w:left w:val="none" w:sz="0" w:space="0" w:color="auto"/>
            <w:bottom w:val="none" w:sz="0" w:space="0" w:color="auto"/>
            <w:right w:val="none" w:sz="0" w:space="0" w:color="auto"/>
          </w:divBdr>
        </w:div>
        <w:div w:id="1923371396">
          <w:marLeft w:val="274"/>
          <w:marRight w:val="0"/>
          <w:marTop w:val="0"/>
          <w:marBottom w:val="120"/>
          <w:divBdr>
            <w:top w:val="none" w:sz="0" w:space="0" w:color="auto"/>
            <w:left w:val="none" w:sz="0" w:space="0" w:color="auto"/>
            <w:bottom w:val="none" w:sz="0" w:space="0" w:color="auto"/>
            <w:right w:val="none" w:sz="0" w:space="0" w:color="auto"/>
          </w:divBdr>
        </w:div>
      </w:divsChild>
    </w:div>
    <w:div w:id="1117338231">
      <w:bodyDiv w:val="1"/>
      <w:marLeft w:val="0"/>
      <w:marRight w:val="0"/>
      <w:marTop w:val="0"/>
      <w:marBottom w:val="0"/>
      <w:divBdr>
        <w:top w:val="none" w:sz="0" w:space="0" w:color="auto"/>
        <w:left w:val="none" w:sz="0" w:space="0" w:color="auto"/>
        <w:bottom w:val="none" w:sz="0" w:space="0" w:color="auto"/>
        <w:right w:val="none" w:sz="0" w:space="0" w:color="auto"/>
      </w:divBdr>
      <w:divsChild>
        <w:div w:id="270281080">
          <w:marLeft w:val="274"/>
          <w:marRight w:val="0"/>
          <w:marTop w:val="0"/>
          <w:marBottom w:val="120"/>
          <w:divBdr>
            <w:top w:val="none" w:sz="0" w:space="0" w:color="auto"/>
            <w:left w:val="none" w:sz="0" w:space="0" w:color="auto"/>
            <w:bottom w:val="none" w:sz="0" w:space="0" w:color="auto"/>
            <w:right w:val="none" w:sz="0" w:space="0" w:color="auto"/>
          </w:divBdr>
        </w:div>
        <w:div w:id="276914657">
          <w:marLeft w:val="274"/>
          <w:marRight w:val="0"/>
          <w:marTop w:val="0"/>
          <w:marBottom w:val="120"/>
          <w:divBdr>
            <w:top w:val="none" w:sz="0" w:space="0" w:color="auto"/>
            <w:left w:val="none" w:sz="0" w:space="0" w:color="auto"/>
            <w:bottom w:val="none" w:sz="0" w:space="0" w:color="auto"/>
            <w:right w:val="none" w:sz="0" w:space="0" w:color="auto"/>
          </w:divBdr>
        </w:div>
        <w:div w:id="1240554011">
          <w:marLeft w:val="274"/>
          <w:marRight w:val="0"/>
          <w:marTop w:val="0"/>
          <w:marBottom w:val="120"/>
          <w:divBdr>
            <w:top w:val="none" w:sz="0" w:space="0" w:color="auto"/>
            <w:left w:val="none" w:sz="0" w:space="0" w:color="auto"/>
            <w:bottom w:val="none" w:sz="0" w:space="0" w:color="auto"/>
            <w:right w:val="none" w:sz="0" w:space="0" w:color="auto"/>
          </w:divBdr>
        </w:div>
        <w:div w:id="1370836516">
          <w:marLeft w:val="274"/>
          <w:marRight w:val="0"/>
          <w:marTop w:val="0"/>
          <w:marBottom w:val="120"/>
          <w:divBdr>
            <w:top w:val="none" w:sz="0" w:space="0" w:color="auto"/>
            <w:left w:val="none" w:sz="0" w:space="0" w:color="auto"/>
            <w:bottom w:val="none" w:sz="0" w:space="0" w:color="auto"/>
            <w:right w:val="none" w:sz="0" w:space="0" w:color="auto"/>
          </w:divBdr>
        </w:div>
        <w:div w:id="1691644705">
          <w:marLeft w:val="274"/>
          <w:marRight w:val="0"/>
          <w:marTop w:val="0"/>
          <w:marBottom w:val="120"/>
          <w:divBdr>
            <w:top w:val="none" w:sz="0" w:space="0" w:color="auto"/>
            <w:left w:val="none" w:sz="0" w:space="0" w:color="auto"/>
            <w:bottom w:val="none" w:sz="0" w:space="0" w:color="auto"/>
            <w:right w:val="none" w:sz="0" w:space="0" w:color="auto"/>
          </w:divBdr>
        </w:div>
        <w:div w:id="1851677017">
          <w:marLeft w:val="274"/>
          <w:marRight w:val="0"/>
          <w:marTop w:val="0"/>
          <w:marBottom w:val="120"/>
          <w:divBdr>
            <w:top w:val="none" w:sz="0" w:space="0" w:color="auto"/>
            <w:left w:val="none" w:sz="0" w:space="0" w:color="auto"/>
            <w:bottom w:val="none" w:sz="0" w:space="0" w:color="auto"/>
            <w:right w:val="none" w:sz="0" w:space="0" w:color="auto"/>
          </w:divBdr>
        </w:div>
      </w:divsChild>
    </w:div>
    <w:div w:id="1148550103">
      <w:bodyDiv w:val="1"/>
      <w:marLeft w:val="0"/>
      <w:marRight w:val="0"/>
      <w:marTop w:val="0"/>
      <w:marBottom w:val="0"/>
      <w:divBdr>
        <w:top w:val="none" w:sz="0" w:space="0" w:color="auto"/>
        <w:left w:val="none" w:sz="0" w:space="0" w:color="auto"/>
        <w:bottom w:val="none" w:sz="0" w:space="0" w:color="auto"/>
        <w:right w:val="none" w:sz="0" w:space="0" w:color="auto"/>
      </w:divBdr>
      <w:divsChild>
        <w:div w:id="368998451">
          <w:marLeft w:val="274"/>
          <w:marRight w:val="0"/>
          <w:marTop w:val="0"/>
          <w:marBottom w:val="120"/>
          <w:divBdr>
            <w:top w:val="none" w:sz="0" w:space="0" w:color="auto"/>
            <w:left w:val="none" w:sz="0" w:space="0" w:color="auto"/>
            <w:bottom w:val="none" w:sz="0" w:space="0" w:color="auto"/>
            <w:right w:val="none" w:sz="0" w:space="0" w:color="auto"/>
          </w:divBdr>
        </w:div>
        <w:div w:id="1745375093">
          <w:marLeft w:val="274"/>
          <w:marRight w:val="0"/>
          <w:marTop w:val="0"/>
          <w:marBottom w:val="120"/>
          <w:divBdr>
            <w:top w:val="none" w:sz="0" w:space="0" w:color="auto"/>
            <w:left w:val="none" w:sz="0" w:space="0" w:color="auto"/>
            <w:bottom w:val="none" w:sz="0" w:space="0" w:color="auto"/>
            <w:right w:val="none" w:sz="0" w:space="0" w:color="auto"/>
          </w:divBdr>
        </w:div>
        <w:div w:id="2119400719">
          <w:marLeft w:val="274"/>
          <w:marRight w:val="0"/>
          <w:marTop w:val="0"/>
          <w:marBottom w:val="120"/>
          <w:divBdr>
            <w:top w:val="none" w:sz="0" w:space="0" w:color="auto"/>
            <w:left w:val="none" w:sz="0" w:space="0" w:color="auto"/>
            <w:bottom w:val="none" w:sz="0" w:space="0" w:color="auto"/>
            <w:right w:val="none" w:sz="0" w:space="0" w:color="auto"/>
          </w:divBdr>
        </w:div>
      </w:divsChild>
    </w:div>
    <w:div w:id="1152482526">
      <w:bodyDiv w:val="1"/>
      <w:marLeft w:val="0"/>
      <w:marRight w:val="0"/>
      <w:marTop w:val="0"/>
      <w:marBottom w:val="0"/>
      <w:divBdr>
        <w:top w:val="none" w:sz="0" w:space="0" w:color="auto"/>
        <w:left w:val="none" w:sz="0" w:space="0" w:color="auto"/>
        <w:bottom w:val="none" w:sz="0" w:space="0" w:color="auto"/>
        <w:right w:val="none" w:sz="0" w:space="0" w:color="auto"/>
      </w:divBdr>
    </w:div>
    <w:div w:id="1161966598">
      <w:bodyDiv w:val="1"/>
      <w:marLeft w:val="0"/>
      <w:marRight w:val="0"/>
      <w:marTop w:val="0"/>
      <w:marBottom w:val="0"/>
      <w:divBdr>
        <w:top w:val="none" w:sz="0" w:space="0" w:color="auto"/>
        <w:left w:val="none" w:sz="0" w:space="0" w:color="auto"/>
        <w:bottom w:val="none" w:sz="0" w:space="0" w:color="auto"/>
        <w:right w:val="none" w:sz="0" w:space="0" w:color="auto"/>
      </w:divBdr>
      <w:divsChild>
        <w:div w:id="1100638294">
          <w:marLeft w:val="274"/>
          <w:marRight w:val="0"/>
          <w:marTop w:val="0"/>
          <w:marBottom w:val="120"/>
          <w:divBdr>
            <w:top w:val="none" w:sz="0" w:space="0" w:color="auto"/>
            <w:left w:val="none" w:sz="0" w:space="0" w:color="auto"/>
            <w:bottom w:val="none" w:sz="0" w:space="0" w:color="auto"/>
            <w:right w:val="none" w:sz="0" w:space="0" w:color="auto"/>
          </w:divBdr>
        </w:div>
      </w:divsChild>
    </w:div>
    <w:div w:id="1165975027">
      <w:bodyDiv w:val="1"/>
      <w:marLeft w:val="0"/>
      <w:marRight w:val="0"/>
      <w:marTop w:val="0"/>
      <w:marBottom w:val="0"/>
      <w:divBdr>
        <w:top w:val="none" w:sz="0" w:space="0" w:color="auto"/>
        <w:left w:val="none" w:sz="0" w:space="0" w:color="auto"/>
        <w:bottom w:val="none" w:sz="0" w:space="0" w:color="auto"/>
        <w:right w:val="none" w:sz="0" w:space="0" w:color="auto"/>
      </w:divBdr>
      <w:divsChild>
        <w:div w:id="124396979">
          <w:marLeft w:val="274"/>
          <w:marRight w:val="0"/>
          <w:marTop w:val="0"/>
          <w:marBottom w:val="120"/>
          <w:divBdr>
            <w:top w:val="none" w:sz="0" w:space="0" w:color="auto"/>
            <w:left w:val="none" w:sz="0" w:space="0" w:color="auto"/>
            <w:bottom w:val="none" w:sz="0" w:space="0" w:color="auto"/>
            <w:right w:val="none" w:sz="0" w:space="0" w:color="auto"/>
          </w:divBdr>
        </w:div>
      </w:divsChild>
    </w:div>
    <w:div w:id="1228683318">
      <w:bodyDiv w:val="1"/>
      <w:marLeft w:val="0"/>
      <w:marRight w:val="0"/>
      <w:marTop w:val="0"/>
      <w:marBottom w:val="0"/>
      <w:divBdr>
        <w:top w:val="none" w:sz="0" w:space="0" w:color="auto"/>
        <w:left w:val="none" w:sz="0" w:space="0" w:color="auto"/>
        <w:bottom w:val="none" w:sz="0" w:space="0" w:color="auto"/>
        <w:right w:val="none" w:sz="0" w:space="0" w:color="auto"/>
      </w:divBdr>
    </w:div>
    <w:div w:id="1337269007">
      <w:bodyDiv w:val="1"/>
      <w:marLeft w:val="0"/>
      <w:marRight w:val="0"/>
      <w:marTop w:val="0"/>
      <w:marBottom w:val="0"/>
      <w:divBdr>
        <w:top w:val="none" w:sz="0" w:space="0" w:color="auto"/>
        <w:left w:val="none" w:sz="0" w:space="0" w:color="auto"/>
        <w:bottom w:val="none" w:sz="0" w:space="0" w:color="auto"/>
        <w:right w:val="none" w:sz="0" w:space="0" w:color="auto"/>
      </w:divBdr>
      <w:divsChild>
        <w:div w:id="357967621">
          <w:marLeft w:val="288"/>
          <w:marRight w:val="0"/>
          <w:marTop w:val="0"/>
          <w:marBottom w:val="120"/>
          <w:divBdr>
            <w:top w:val="none" w:sz="0" w:space="0" w:color="auto"/>
            <w:left w:val="none" w:sz="0" w:space="0" w:color="auto"/>
            <w:bottom w:val="none" w:sz="0" w:space="0" w:color="auto"/>
            <w:right w:val="none" w:sz="0" w:space="0" w:color="auto"/>
          </w:divBdr>
        </w:div>
        <w:div w:id="629481479">
          <w:marLeft w:val="288"/>
          <w:marRight w:val="0"/>
          <w:marTop w:val="0"/>
          <w:marBottom w:val="120"/>
          <w:divBdr>
            <w:top w:val="none" w:sz="0" w:space="0" w:color="auto"/>
            <w:left w:val="none" w:sz="0" w:space="0" w:color="auto"/>
            <w:bottom w:val="none" w:sz="0" w:space="0" w:color="auto"/>
            <w:right w:val="none" w:sz="0" w:space="0" w:color="auto"/>
          </w:divBdr>
        </w:div>
        <w:div w:id="1238706389">
          <w:marLeft w:val="288"/>
          <w:marRight w:val="0"/>
          <w:marTop w:val="0"/>
          <w:marBottom w:val="120"/>
          <w:divBdr>
            <w:top w:val="none" w:sz="0" w:space="0" w:color="auto"/>
            <w:left w:val="none" w:sz="0" w:space="0" w:color="auto"/>
            <w:bottom w:val="none" w:sz="0" w:space="0" w:color="auto"/>
            <w:right w:val="none" w:sz="0" w:space="0" w:color="auto"/>
          </w:divBdr>
        </w:div>
        <w:div w:id="1583489292">
          <w:marLeft w:val="288"/>
          <w:marRight w:val="0"/>
          <w:marTop w:val="0"/>
          <w:marBottom w:val="120"/>
          <w:divBdr>
            <w:top w:val="none" w:sz="0" w:space="0" w:color="auto"/>
            <w:left w:val="none" w:sz="0" w:space="0" w:color="auto"/>
            <w:bottom w:val="none" w:sz="0" w:space="0" w:color="auto"/>
            <w:right w:val="none" w:sz="0" w:space="0" w:color="auto"/>
          </w:divBdr>
        </w:div>
        <w:div w:id="1610165653">
          <w:marLeft w:val="288"/>
          <w:marRight w:val="0"/>
          <w:marTop w:val="0"/>
          <w:marBottom w:val="120"/>
          <w:divBdr>
            <w:top w:val="none" w:sz="0" w:space="0" w:color="auto"/>
            <w:left w:val="none" w:sz="0" w:space="0" w:color="auto"/>
            <w:bottom w:val="none" w:sz="0" w:space="0" w:color="auto"/>
            <w:right w:val="none" w:sz="0" w:space="0" w:color="auto"/>
          </w:divBdr>
        </w:div>
        <w:div w:id="1874876287">
          <w:marLeft w:val="288"/>
          <w:marRight w:val="0"/>
          <w:marTop w:val="0"/>
          <w:marBottom w:val="120"/>
          <w:divBdr>
            <w:top w:val="none" w:sz="0" w:space="0" w:color="auto"/>
            <w:left w:val="none" w:sz="0" w:space="0" w:color="auto"/>
            <w:bottom w:val="none" w:sz="0" w:space="0" w:color="auto"/>
            <w:right w:val="none" w:sz="0" w:space="0" w:color="auto"/>
          </w:divBdr>
        </w:div>
      </w:divsChild>
    </w:div>
    <w:div w:id="1399327738">
      <w:bodyDiv w:val="1"/>
      <w:marLeft w:val="0"/>
      <w:marRight w:val="0"/>
      <w:marTop w:val="0"/>
      <w:marBottom w:val="0"/>
      <w:divBdr>
        <w:top w:val="none" w:sz="0" w:space="0" w:color="auto"/>
        <w:left w:val="none" w:sz="0" w:space="0" w:color="auto"/>
        <w:bottom w:val="none" w:sz="0" w:space="0" w:color="auto"/>
        <w:right w:val="none" w:sz="0" w:space="0" w:color="auto"/>
      </w:divBdr>
    </w:div>
    <w:div w:id="1403453503">
      <w:bodyDiv w:val="1"/>
      <w:marLeft w:val="0"/>
      <w:marRight w:val="0"/>
      <w:marTop w:val="0"/>
      <w:marBottom w:val="0"/>
      <w:divBdr>
        <w:top w:val="none" w:sz="0" w:space="0" w:color="auto"/>
        <w:left w:val="none" w:sz="0" w:space="0" w:color="auto"/>
        <w:bottom w:val="none" w:sz="0" w:space="0" w:color="auto"/>
        <w:right w:val="none" w:sz="0" w:space="0" w:color="auto"/>
      </w:divBdr>
    </w:div>
    <w:div w:id="1455294415">
      <w:bodyDiv w:val="1"/>
      <w:marLeft w:val="0"/>
      <w:marRight w:val="0"/>
      <w:marTop w:val="0"/>
      <w:marBottom w:val="0"/>
      <w:divBdr>
        <w:top w:val="none" w:sz="0" w:space="0" w:color="auto"/>
        <w:left w:val="none" w:sz="0" w:space="0" w:color="auto"/>
        <w:bottom w:val="none" w:sz="0" w:space="0" w:color="auto"/>
        <w:right w:val="none" w:sz="0" w:space="0" w:color="auto"/>
      </w:divBdr>
      <w:divsChild>
        <w:div w:id="203252241">
          <w:marLeft w:val="274"/>
          <w:marRight w:val="0"/>
          <w:marTop w:val="0"/>
          <w:marBottom w:val="120"/>
          <w:divBdr>
            <w:top w:val="none" w:sz="0" w:space="0" w:color="auto"/>
            <w:left w:val="none" w:sz="0" w:space="0" w:color="auto"/>
            <w:bottom w:val="none" w:sz="0" w:space="0" w:color="auto"/>
            <w:right w:val="none" w:sz="0" w:space="0" w:color="auto"/>
          </w:divBdr>
        </w:div>
        <w:div w:id="314993857">
          <w:marLeft w:val="274"/>
          <w:marRight w:val="0"/>
          <w:marTop w:val="0"/>
          <w:marBottom w:val="120"/>
          <w:divBdr>
            <w:top w:val="none" w:sz="0" w:space="0" w:color="auto"/>
            <w:left w:val="none" w:sz="0" w:space="0" w:color="auto"/>
            <w:bottom w:val="none" w:sz="0" w:space="0" w:color="auto"/>
            <w:right w:val="none" w:sz="0" w:space="0" w:color="auto"/>
          </w:divBdr>
        </w:div>
        <w:div w:id="829490849">
          <w:marLeft w:val="274"/>
          <w:marRight w:val="0"/>
          <w:marTop w:val="0"/>
          <w:marBottom w:val="120"/>
          <w:divBdr>
            <w:top w:val="none" w:sz="0" w:space="0" w:color="auto"/>
            <w:left w:val="none" w:sz="0" w:space="0" w:color="auto"/>
            <w:bottom w:val="none" w:sz="0" w:space="0" w:color="auto"/>
            <w:right w:val="none" w:sz="0" w:space="0" w:color="auto"/>
          </w:divBdr>
        </w:div>
        <w:div w:id="886799606">
          <w:marLeft w:val="274"/>
          <w:marRight w:val="0"/>
          <w:marTop w:val="0"/>
          <w:marBottom w:val="120"/>
          <w:divBdr>
            <w:top w:val="none" w:sz="0" w:space="0" w:color="auto"/>
            <w:left w:val="none" w:sz="0" w:space="0" w:color="auto"/>
            <w:bottom w:val="none" w:sz="0" w:space="0" w:color="auto"/>
            <w:right w:val="none" w:sz="0" w:space="0" w:color="auto"/>
          </w:divBdr>
        </w:div>
        <w:div w:id="1285623716">
          <w:marLeft w:val="274"/>
          <w:marRight w:val="0"/>
          <w:marTop w:val="0"/>
          <w:marBottom w:val="120"/>
          <w:divBdr>
            <w:top w:val="none" w:sz="0" w:space="0" w:color="auto"/>
            <w:left w:val="none" w:sz="0" w:space="0" w:color="auto"/>
            <w:bottom w:val="none" w:sz="0" w:space="0" w:color="auto"/>
            <w:right w:val="none" w:sz="0" w:space="0" w:color="auto"/>
          </w:divBdr>
        </w:div>
        <w:div w:id="1416125111">
          <w:marLeft w:val="274"/>
          <w:marRight w:val="0"/>
          <w:marTop w:val="0"/>
          <w:marBottom w:val="120"/>
          <w:divBdr>
            <w:top w:val="none" w:sz="0" w:space="0" w:color="auto"/>
            <w:left w:val="none" w:sz="0" w:space="0" w:color="auto"/>
            <w:bottom w:val="none" w:sz="0" w:space="0" w:color="auto"/>
            <w:right w:val="none" w:sz="0" w:space="0" w:color="auto"/>
          </w:divBdr>
        </w:div>
        <w:div w:id="1482968845">
          <w:marLeft w:val="274"/>
          <w:marRight w:val="0"/>
          <w:marTop w:val="0"/>
          <w:marBottom w:val="120"/>
          <w:divBdr>
            <w:top w:val="none" w:sz="0" w:space="0" w:color="auto"/>
            <w:left w:val="none" w:sz="0" w:space="0" w:color="auto"/>
            <w:bottom w:val="none" w:sz="0" w:space="0" w:color="auto"/>
            <w:right w:val="none" w:sz="0" w:space="0" w:color="auto"/>
          </w:divBdr>
        </w:div>
        <w:div w:id="1750151894">
          <w:marLeft w:val="274"/>
          <w:marRight w:val="0"/>
          <w:marTop w:val="0"/>
          <w:marBottom w:val="120"/>
          <w:divBdr>
            <w:top w:val="none" w:sz="0" w:space="0" w:color="auto"/>
            <w:left w:val="none" w:sz="0" w:space="0" w:color="auto"/>
            <w:bottom w:val="none" w:sz="0" w:space="0" w:color="auto"/>
            <w:right w:val="none" w:sz="0" w:space="0" w:color="auto"/>
          </w:divBdr>
        </w:div>
        <w:div w:id="1750956591">
          <w:marLeft w:val="274"/>
          <w:marRight w:val="0"/>
          <w:marTop w:val="0"/>
          <w:marBottom w:val="120"/>
          <w:divBdr>
            <w:top w:val="none" w:sz="0" w:space="0" w:color="auto"/>
            <w:left w:val="none" w:sz="0" w:space="0" w:color="auto"/>
            <w:bottom w:val="none" w:sz="0" w:space="0" w:color="auto"/>
            <w:right w:val="none" w:sz="0" w:space="0" w:color="auto"/>
          </w:divBdr>
        </w:div>
      </w:divsChild>
    </w:div>
    <w:div w:id="1467626185">
      <w:bodyDiv w:val="1"/>
      <w:marLeft w:val="0"/>
      <w:marRight w:val="0"/>
      <w:marTop w:val="0"/>
      <w:marBottom w:val="0"/>
      <w:divBdr>
        <w:top w:val="none" w:sz="0" w:space="0" w:color="auto"/>
        <w:left w:val="none" w:sz="0" w:space="0" w:color="auto"/>
        <w:bottom w:val="none" w:sz="0" w:space="0" w:color="auto"/>
        <w:right w:val="none" w:sz="0" w:space="0" w:color="auto"/>
      </w:divBdr>
    </w:div>
    <w:div w:id="1490561797">
      <w:bodyDiv w:val="1"/>
      <w:marLeft w:val="0"/>
      <w:marRight w:val="0"/>
      <w:marTop w:val="0"/>
      <w:marBottom w:val="0"/>
      <w:divBdr>
        <w:top w:val="none" w:sz="0" w:space="0" w:color="auto"/>
        <w:left w:val="none" w:sz="0" w:space="0" w:color="auto"/>
        <w:bottom w:val="none" w:sz="0" w:space="0" w:color="auto"/>
        <w:right w:val="none" w:sz="0" w:space="0" w:color="auto"/>
      </w:divBdr>
      <w:divsChild>
        <w:div w:id="868642929">
          <w:marLeft w:val="274"/>
          <w:marRight w:val="0"/>
          <w:marTop w:val="0"/>
          <w:marBottom w:val="120"/>
          <w:divBdr>
            <w:top w:val="none" w:sz="0" w:space="0" w:color="auto"/>
            <w:left w:val="none" w:sz="0" w:space="0" w:color="auto"/>
            <w:bottom w:val="none" w:sz="0" w:space="0" w:color="auto"/>
            <w:right w:val="none" w:sz="0" w:space="0" w:color="auto"/>
          </w:divBdr>
        </w:div>
        <w:div w:id="884023478">
          <w:marLeft w:val="274"/>
          <w:marRight w:val="0"/>
          <w:marTop w:val="0"/>
          <w:marBottom w:val="120"/>
          <w:divBdr>
            <w:top w:val="none" w:sz="0" w:space="0" w:color="auto"/>
            <w:left w:val="none" w:sz="0" w:space="0" w:color="auto"/>
            <w:bottom w:val="none" w:sz="0" w:space="0" w:color="auto"/>
            <w:right w:val="none" w:sz="0" w:space="0" w:color="auto"/>
          </w:divBdr>
        </w:div>
        <w:div w:id="909189527">
          <w:marLeft w:val="274"/>
          <w:marRight w:val="0"/>
          <w:marTop w:val="0"/>
          <w:marBottom w:val="120"/>
          <w:divBdr>
            <w:top w:val="none" w:sz="0" w:space="0" w:color="auto"/>
            <w:left w:val="none" w:sz="0" w:space="0" w:color="auto"/>
            <w:bottom w:val="none" w:sz="0" w:space="0" w:color="auto"/>
            <w:right w:val="none" w:sz="0" w:space="0" w:color="auto"/>
          </w:divBdr>
        </w:div>
      </w:divsChild>
    </w:div>
    <w:div w:id="1552304871">
      <w:bodyDiv w:val="1"/>
      <w:marLeft w:val="0"/>
      <w:marRight w:val="0"/>
      <w:marTop w:val="0"/>
      <w:marBottom w:val="0"/>
      <w:divBdr>
        <w:top w:val="none" w:sz="0" w:space="0" w:color="auto"/>
        <w:left w:val="none" w:sz="0" w:space="0" w:color="auto"/>
        <w:bottom w:val="none" w:sz="0" w:space="0" w:color="auto"/>
        <w:right w:val="none" w:sz="0" w:space="0" w:color="auto"/>
      </w:divBdr>
      <w:divsChild>
        <w:div w:id="612136003">
          <w:marLeft w:val="274"/>
          <w:marRight w:val="0"/>
          <w:marTop w:val="0"/>
          <w:marBottom w:val="120"/>
          <w:divBdr>
            <w:top w:val="none" w:sz="0" w:space="0" w:color="auto"/>
            <w:left w:val="none" w:sz="0" w:space="0" w:color="auto"/>
            <w:bottom w:val="none" w:sz="0" w:space="0" w:color="auto"/>
            <w:right w:val="none" w:sz="0" w:space="0" w:color="auto"/>
          </w:divBdr>
        </w:div>
        <w:div w:id="750079272">
          <w:marLeft w:val="274"/>
          <w:marRight w:val="0"/>
          <w:marTop w:val="0"/>
          <w:marBottom w:val="120"/>
          <w:divBdr>
            <w:top w:val="none" w:sz="0" w:space="0" w:color="auto"/>
            <w:left w:val="none" w:sz="0" w:space="0" w:color="auto"/>
            <w:bottom w:val="none" w:sz="0" w:space="0" w:color="auto"/>
            <w:right w:val="none" w:sz="0" w:space="0" w:color="auto"/>
          </w:divBdr>
        </w:div>
        <w:div w:id="770473017">
          <w:marLeft w:val="274"/>
          <w:marRight w:val="0"/>
          <w:marTop w:val="0"/>
          <w:marBottom w:val="120"/>
          <w:divBdr>
            <w:top w:val="none" w:sz="0" w:space="0" w:color="auto"/>
            <w:left w:val="none" w:sz="0" w:space="0" w:color="auto"/>
            <w:bottom w:val="none" w:sz="0" w:space="0" w:color="auto"/>
            <w:right w:val="none" w:sz="0" w:space="0" w:color="auto"/>
          </w:divBdr>
        </w:div>
        <w:div w:id="790053488">
          <w:marLeft w:val="274"/>
          <w:marRight w:val="0"/>
          <w:marTop w:val="0"/>
          <w:marBottom w:val="120"/>
          <w:divBdr>
            <w:top w:val="none" w:sz="0" w:space="0" w:color="auto"/>
            <w:left w:val="none" w:sz="0" w:space="0" w:color="auto"/>
            <w:bottom w:val="none" w:sz="0" w:space="0" w:color="auto"/>
            <w:right w:val="none" w:sz="0" w:space="0" w:color="auto"/>
          </w:divBdr>
        </w:div>
        <w:div w:id="880629947">
          <w:marLeft w:val="274"/>
          <w:marRight w:val="0"/>
          <w:marTop w:val="0"/>
          <w:marBottom w:val="120"/>
          <w:divBdr>
            <w:top w:val="none" w:sz="0" w:space="0" w:color="auto"/>
            <w:left w:val="none" w:sz="0" w:space="0" w:color="auto"/>
            <w:bottom w:val="none" w:sz="0" w:space="0" w:color="auto"/>
            <w:right w:val="none" w:sz="0" w:space="0" w:color="auto"/>
          </w:divBdr>
        </w:div>
        <w:div w:id="1109466926">
          <w:marLeft w:val="274"/>
          <w:marRight w:val="0"/>
          <w:marTop w:val="0"/>
          <w:marBottom w:val="120"/>
          <w:divBdr>
            <w:top w:val="none" w:sz="0" w:space="0" w:color="auto"/>
            <w:left w:val="none" w:sz="0" w:space="0" w:color="auto"/>
            <w:bottom w:val="none" w:sz="0" w:space="0" w:color="auto"/>
            <w:right w:val="none" w:sz="0" w:space="0" w:color="auto"/>
          </w:divBdr>
        </w:div>
      </w:divsChild>
    </w:div>
    <w:div w:id="1554461919">
      <w:bodyDiv w:val="1"/>
      <w:marLeft w:val="0"/>
      <w:marRight w:val="0"/>
      <w:marTop w:val="0"/>
      <w:marBottom w:val="0"/>
      <w:divBdr>
        <w:top w:val="none" w:sz="0" w:space="0" w:color="auto"/>
        <w:left w:val="none" w:sz="0" w:space="0" w:color="auto"/>
        <w:bottom w:val="none" w:sz="0" w:space="0" w:color="auto"/>
        <w:right w:val="none" w:sz="0" w:space="0" w:color="auto"/>
      </w:divBdr>
    </w:div>
    <w:div w:id="1604846995">
      <w:bodyDiv w:val="1"/>
      <w:marLeft w:val="0"/>
      <w:marRight w:val="0"/>
      <w:marTop w:val="0"/>
      <w:marBottom w:val="0"/>
      <w:divBdr>
        <w:top w:val="none" w:sz="0" w:space="0" w:color="auto"/>
        <w:left w:val="none" w:sz="0" w:space="0" w:color="auto"/>
        <w:bottom w:val="none" w:sz="0" w:space="0" w:color="auto"/>
        <w:right w:val="none" w:sz="0" w:space="0" w:color="auto"/>
      </w:divBdr>
      <w:divsChild>
        <w:div w:id="170994636">
          <w:marLeft w:val="274"/>
          <w:marRight w:val="0"/>
          <w:marTop w:val="0"/>
          <w:marBottom w:val="120"/>
          <w:divBdr>
            <w:top w:val="none" w:sz="0" w:space="0" w:color="auto"/>
            <w:left w:val="none" w:sz="0" w:space="0" w:color="auto"/>
            <w:bottom w:val="none" w:sz="0" w:space="0" w:color="auto"/>
            <w:right w:val="none" w:sz="0" w:space="0" w:color="auto"/>
          </w:divBdr>
        </w:div>
        <w:div w:id="515194250">
          <w:marLeft w:val="274"/>
          <w:marRight w:val="0"/>
          <w:marTop w:val="0"/>
          <w:marBottom w:val="120"/>
          <w:divBdr>
            <w:top w:val="none" w:sz="0" w:space="0" w:color="auto"/>
            <w:left w:val="none" w:sz="0" w:space="0" w:color="auto"/>
            <w:bottom w:val="none" w:sz="0" w:space="0" w:color="auto"/>
            <w:right w:val="none" w:sz="0" w:space="0" w:color="auto"/>
          </w:divBdr>
        </w:div>
        <w:div w:id="648827459">
          <w:marLeft w:val="274"/>
          <w:marRight w:val="0"/>
          <w:marTop w:val="0"/>
          <w:marBottom w:val="120"/>
          <w:divBdr>
            <w:top w:val="none" w:sz="0" w:space="0" w:color="auto"/>
            <w:left w:val="none" w:sz="0" w:space="0" w:color="auto"/>
            <w:bottom w:val="none" w:sz="0" w:space="0" w:color="auto"/>
            <w:right w:val="none" w:sz="0" w:space="0" w:color="auto"/>
          </w:divBdr>
        </w:div>
        <w:div w:id="978654164">
          <w:marLeft w:val="274"/>
          <w:marRight w:val="0"/>
          <w:marTop w:val="0"/>
          <w:marBottom w:val="120"/>
          <w:divBdr>
            <w:top w:val="none" w:sz="0" w:space="0" w:color="auto"/>
            <w:left w:val="none" w:sz="0" w:space="0" w:color="auto"/>
            <w:bottom w:val="none" w:sz="0" w:space="0" w:color="auto"/>
            <w:right w:val="none" w:sz="0" w:space="0" w:color="auto"/>
          </w:divBdr>
        </w:div>
        <w:div w:id="1112358424">
          <w:marLeft w:val="274"/>
          <w:marRight w:val="0"/>
          <w:marTop w:val="0"/>
          <w:marBottom w:val="120"/>
          <w:divBdr>
            <w:top w:val="none" w:sz="0" w:space="0" w:color="auto"/>
            <w:left w:val="none" w:sz="0" w:space="0" w:color="auto"/>
            <w:bottom w:val="none" w:sz="0" w:space="0" w:color="auto"/>
            <w:right w:val="none" w:sz="0" w:space="0" w:color="auto"/>
          </w:divBdr>
        </w:div>
        <w:div w:id="1153714367">
          <w:marLeft w:val="274"/>
          <w:marRight w:val="0"/>
          <w:marTop w:val="0"/>
          <w:marBottom w:val="120"/>
          <w:divBdr>
            <w:top w:val="none" w:sz="0" w:space="0" w:color="auto"/>
            <w:left w:val="none" w:sz="0" w:space="0" w:color="auto"/>
            <w:bottom w:val="none" w:sz="0" w:space="0" w:color="auto"/>
            <w:right w:val="none" w:sz="0" w:space="0" w:color="auto"/>
          </w:divBdr>
        </w:div>
        <w:div w:id="1430854832">
          <w:marLeft w:val="274"/>
          <w:marRight w:val="0"/>
          <w:marTop w:val="0"/>
          <w:marBottom w:val="120"/>
          <w:divBdr>
            <w:top w:val="none" w:sz="0" w:space="0" w:color="auto"/>
            <w:left w:val="none" w:sz="0" w:space="0" w:color="auto"/>
            <w:bottom w:val="none" w:sz="0" w:space="0" w:color="auto"/>
            <w:right w:val="none" w:sz="0" w:space="0" w:color="auto"/>
          </w:divBdr>
        </w:div>
        <w:div w:id="1911648692">
          <w:marLeft w:val="274"/>
          <w:marRight w:val="0"/>
          <w:marTop w:val="0"/>
          <w:marBottom w:val="120"/>
          <w:divBdr>
            <w:top w:val="none" w:sz="0" w:space="0" w:color="auto"/>
            <w:left w:val="none" w:sz="0" w:space="0" w:color="auto"/>
            <w:bottom w:val="none" w:sz="0" w:space="0" w:color="auto"/>
            <w:right w:val="none" w:sz="0" w:space="0" w:color="auto"/>
          </w:divBdr>
        </w:div>
      </w:divsChild>
    </w:div>
    <w:div w:id="1638681443">
      <w:bodyDiv w:val="1"/>
      <w:marLeft w:val="0"/>
      <w:marRight w:val="0"/>
      <w:marTop w:val="0"/>
      <w:marBottom w:val="0"/>
      <w:divBdr>
        <w:top w:val="none" w:sz="0" w:space="0" w:color="auto"/>
        <w:left w:val="none" w:sz="0" w:space="0" w:color="auto"/>
        <w:bottom w:val="none" w:sz="0" w:space="0" w:color="auto"/>
        <w:right w:val="none" w:sz="0" w:space="0" w:color="auto"/>
      </w:divBdr>
      <w:divsChild>
        <w:div w:id="1028751255">
          <w:marLeft w:val="274"/>
          <w:marRight w:val="0"/>
          <w:marTop w:val="0"/>
          <w:marBottom w:val="120"/>
          <w:divBdr>
            <w:top w:val="none" w:sz="0" w:space="0" w:color="auto"/>
            <w:left w:val="none" w:sz="0" w:space="0" w:color="auto"/>
            <w:bottom w:val="none" w:sz="0" w:space="0" w:color="auto"/>
            <w:right w:val="none" w:sz="0" w:space="0" w:color="auto"/>
          </w:divBdr>
        </w:div>
        <w:div w:id="1703046355">
          <w:marLeft w:val="274"/>
          <w:marRight w:val="0"/>
          <w:marTop w:val="0"/>
          <w:marBottom w:val="120"/>
          <w:divBdr>
            <w:top w:val="none" w:sz="0" w:space="0" w:color="auto"/>
            <w:left w:val="none" w:sz="0" w:space="0" w:color="auto"/>
            <w:bottom w:val="none" w:sz="0" w:space="0" w:color="auto"/>
            <w:right w:val="none" w:sz="0" w:space="0" w:color="auto"/>
          </w:divBdr>
        </w:div>
        <w:div w:id="1782917301">
          <w:marLeft w:val="274"/>
          <w:marRight w:val="0"/>
          <w:marTop w:val="0"/>
          <w:marBottom w:val="120"/>
          <w:divBdr>
            <w:top w:val="none" w:sz="0" w:space="0" w:color="auto"/>
            <w:left w:val="none" w:sz="0" w:space="0" w:color="auto"/>
            <w:bottom w:val="none" w:sz="0" w:space="0" w:color="auto"/>
            <w:right w:val="none" w:sz="0" w:space="0" w:color="auto"/>
          </w:divBdr>
        </w:div>
      </w:divsChild>
    </w:div>
    <w:div w:id="1711221507">
      <w:bodyDiv w:val="1"/>
      <w:marLeft w:val="0"/>
      <w:marRight w:val="0"/>
      <w:marTop w:val="0"/>
      <w:marBottom w:val="0"/>
      <w:divBdr>
        <w:top w:val="none" w:sz="0" w:space="0" w:color="auto"/>
        <w:left w:val="none" w:sz="0" w:space="0" w:color="auto"/>
        <w:bottom w:val="none" w:sz="0" w:space="0" w:color="auto"/>
        <w:right w:val="none" w:sz="0" w:space="0" w:color="auto"/>
      </w:divBdr>
      <w:divsChild>
        <w:div w:id="486674996">
          <w:marLeft w:val="274"/>
          <w:marRight w:val="0"/>
          <w:marTop w:val="0"/>
          <w:marBottom w:val="120"/>
          <w:divBdr>
            <w:top w:val="none" w:sz="0" w:space="0" w:color="auto"/>
            <w:left w:val="none" w:sz="0" w:space="0" w:color="auto"/>
            <w:bottom w:val="none" w:sz="0" w:space="0" w:color="auto"/>
            <w:right w:val="none" w:sz="0" w:space="0" w:color="auto"/>
          </w:divBdr>
        </w:div>
        <w:div w:id="589237451">
          <w:marLeft w:val="274"/>
          <w:marRight w:val="0"/>
          <w:marTop w:val="0"/>
          <w:marBottom w:val="120"/>
          <w:divBdr>
            <w:top w:val="none" w:sz="0" w:space="0" w:color="auto"/>
            <w:left w:val="none" w:sz="0" w:space="0" w:color="auto"/>
            <w:bottom w:val="none" w:sz="0" w:space="0" w:color="auto"/>
            <w:right w:val="none" w:sz="0" w:space="0" w:color="auto"/>
          </w:divBdr>
        </w:div>
        <w:div w:id="1366100381">
          <w:marLeft w:val="274"/>
          <w:marRight w:val="0"/>
          <w:marTop w:val="0"/>
          <w:marBottom w:val="120"/>
          <w:divBdr>
            <w:top w:val="none" w:sz="0" w:space="0" w:color="auto"/>
            <w:left w:val="none" w:sz="0" w:space="0" w:color="auto"/>
            <w:bottom w:val="none" w:sz="0" w:space="0" w:color="auto"/>
            <w:right w:val="none" w:sz="0" w:space="0" w:color="auto"/>
          </w:divBdr>
        </w:div>
        <w:div w:id="1373113008">
          <w:marLeft w:val="274"/>
          <w:marRight w:val="0"/>
          <w:marTop w:val="0"/>
          <w:marBottom w:val="120"/>
          <w:divBdr>
            <w:top w:val="none" w:sz="0" w:space="0" w:color="auto"/>
            <w:left w:val="none" w:sz="0" w:space="0" w:color="auto"/>
            <w:bottom w:val="none" w:sz="0" w:space="0" w:color="auto"/>
            <w:right w:val="none" w:sz="0" w:space="0" w:color="auto"/>
          </w:divBdr>
        </w:div>
        <w:div w:id="1462308891">
          <w:marLeft w:val="274"/>
          <w:marRight w:val="0"/>
          <w:marTop w:val="0"/>
          <w:marBottom w:val="120"/>
          <w:divBdr>
            <w:top w:val="none" w:sz="0" w:space="0" w:color="auto"/>
            <w:left w:val="none" w:sz="0" w:space="0" w:color="auto"/>
            <w:bottom w:val="none" w:sz="0" w:space="0" w:color="auto"/>
            <w:right w:val="none" w:sz="0" w:space="0" w:color="auto"/>
          </w:divBdr>
        </w:div>
        <w:div w:id="1575630387">
          <w:marLeft w:val="274"/>
          <w:marRight w:val="0"/>
          <w:marTop w:val="0"/>
          <w:marBottom w:val="120"/>
          <w:divBdr>
            <w:top w:val="none" w:sz="0" w:space="0" w:color="auto"/>
            <w:left w:val="none" w:sz="0" w:space="0" w:color="auto"/>
            <w:bottom w:val="none" w:sz="0" w:space="0" w:color="auto"/>
            <w:right w:val="none" w:sz="0" w:space="0" w:color="auto"/>
          </w:divBdr>
        </w:div>
      </w:divsChild>
    </w:div>
    <w:div w:id="1782604201">
      <w:bodyDiv w:val="1"/>
      <w:marLeft w:val="0"/>
      <w:marRight w:val="0"/>
      <w:marTop w:val="0"/>
      <w:marBottom w:val="0"/>
      <w:divBdr>
        <w:top w:val="none" w:sz="0" w:space="0" w:color="auto"/>
        <w:left w:val="none" w:sz="0" w:space="0" w:color="auto"/>
        <w:bottom w:val="none" w:sz="0" w:space="0" w:color="auto"/>
        <w:right w:val="none" w:sz="0" w:space="0" w:color="auto"/>
      </w:divBdr>
      <w:divsChild>
        <w:div w:id="104884084">
          <w:marLeft w:val="288"/>
          <w:marRight w:val="0"/>
          <w:marTop w:val="0"/>
          <w:marBottom w:val="120"/>
          <w:divBdr>
            <w:top w:val="none" w:sz="0" w:space="0" w:color="auto"/>
            <w:left w:val="none" w:sz="0" w:space="0" w:color="auto"/>
            <w:bottom w:val="none" w:sz="0" w:space="0" w:color="auto"/>
            <w:right w:val="none" w:sz="0" w:space="0" w:color="auto"/>
          </w:divBdr>
        </w:div>
        <w:div w:id="350449710">
          <w:marLeft w:val="288"/>
          <w:marRight w:val="0"/>
          <w:marTop w:val="0"/>
          <w:marBottom w:val="120"/>
          <w:divBdr>
            <w:top w:val="none" w:sz="0" w:space="0" w:color="auto"/>
            <w:left w:val="none" w:sz="0" w:space="0" w:color="auto"/>
            <w:bottom w:val="none" w:sz="0" w:space="0" w:color="auto"/>
            <w:right w:val="none" w:sz="0" w:space="0" w:color="auto"/>
          </w:divBdr>
        </w:div>
        <w:div w:id="748580919">
          <w:marLeft w:val="288"/>
          <w:marRight w:val="0"/>
          <w:marTop w:val="0"/>
          <w:marBottom w:val="120"/>
          <w:divBdr>
            <w:top w:val="none" w:sz="0" w:space="0" w:color="auto"/>
            <w:left w:val="none" w:sz="0" w:space="0" w:color="auto"/>
            <w:bottom w:val="none" w:sz="0" w:space="0" w:color="auto"/>
            <w:right w:val="none" w:sz="0" w:space="0" w:color="auto"/>
          </w:divBdr>
        </w:div>
        <w:div w:id="786046678">
          <w:marLeft w:val="288"/>
          <w:marRight w:val="0"/>
          <w:marTop w:val="0"/>
          <w:marBottom w:val="120"/>
          <w:divBdr>
            <w:top w:val="none" w:sz="0" w:space="0" w:color="auto"/>
            <w:left w:val="none" w:sz="0" w:space="0" w:color="auto"/>
            <w:bottom w:val="none" w:sz="0" w:space="0" w:color="auto"/>
            <w:right w:val="none" w:sz="0" w:space="0" w:color="auto"/>
          </w:divBdr>
        </w:div>
        <w:div w:id="823549760">
          <w:marLeft w:val="288"/>
          <w:marRight w:val="0"/>
          <w:marTop w:val="0"/>
          <w:marBottom w:val="120"/>
          <w:divBdr>
            <w:top w:val="none" w:sz="0" w:space="0" w:color="auto"/>
            <w:left w:val="none" w:sz="0" w:space="0" w:color="auto"/>
            <w:bottom w:val="none" w:sz="0" w:space="0" w:color="auto"/>
            <w:right w:val="none" w:sz="0" w:space="0" w:color="auto"/>
          </w:divBdr>
        </w:div>
        <w:div w:id="1171943313">
          <w:marLeft w:val="288"/>
          <w:marRight w:val="0"/>
          <w:marTop w:val="0"/>
          <w:marBottom w:val="120"/>
          <w:divBdr>
            <w:top w:val="none" w:sz="0" w:space="0" w:color="auto"/>
            <w:left w:val="none" w:sz="0" w:space="0" w:color="auto"/>
            <w:bottom w:val="none" w:sz="0" w:space="0" w:color="auto"/>
            <w:right w:val="none" w:sz="0" w:space="0" w:color="auto"/>
          </w:divBdr>
        </w:div>
        <w:div w:id="1957329945">
          <w:marLeft w:val="288"/>
          <w:marRight w:val="0"/>
          <w:marTop w:val="0"/>
          <w:marBottom w:val="120"/>
          <w:divBdr>
            <w:top w:val="none" w:sz="0" w:space="0" w:color="auto"/>
            <w:left w:val="none" w:sz="0" w:space="0" w:color="auto"/>
            <w:bottom w:val="none" w:sz="0" w:space="0" w:color="auto"/>
            <w:right w:val="none" w:sz="0" w:space="0" w:color="auto"/>
          </w:divBdr>
        </w:div>
      </w:divsChild>
    </w:div>
    <w:div w:id="1790512471">
      <w:bodyDiv w:val="1"/>
      <w:marLeft w:val="0"/>
      <w:marRight w:val="0"/>
      <w:marTop w:val="0"/>
      <w:marBottom w:val="0"/>
      <w:divBdr>
        <w:top w:val="none" w:sz="0" w:space="0" w:color="auto"/>
        <w:left w:val="none" w:sz="0" w:space="0" w:color="auto"/>
        <w:bottom w:val="none" w:sz="0" w:space="0" w:color="auto"/>
        <w:right w:val="none" w:sz="0" w:space="0" w:color="auto"/>
      </w:divBdr>
      <w:divsChild>
        <w:div w:id="482159552">
          <w:marLeft w:val="274"/>
          <w:marRight w:val="0"/>
          <w:marTop w:val="0"/>
          <w:marBottom w:val="120"/>
          <w:divBdr>
            <w:top w:val="none" w:sz="0" w:space="0" w:color="auto"/>
            <w:left w:val="none" w:sz="0" w:space="0" w:color="auto"/>
            <w:bottom w:val="none" w:sz="0" w:space="0" w:color="auto"/>
            <w:right w:val="none" w:sz="0" w:space="0" w:color="auto"/>
          </w:divBdr>
        </w:div>
        <w:div w:id="657610921">
          <w:marLeft w:val="274"/>
          <w:marRight w:val="0"/>
          <w:marTop w:val="0"/>
          <w:marBottom w:val="120"/>
          <w:divBdr>
            <w:top w:val="none" w:sz="0" w:space="0" w:color="auto"/>
            <w:left w:val="none" w:sz="0" w:space="0" w:color="auto"/>
            <w:bottom w:val="none" w:sz="0" w:space="0" w:color="auto"/>
            <w:right w:val="none" w:sz="0" w:space="0" w:color="auto"/>
          </w:divBdr>
        </w:div>
        <w:div w:id="1061099112">
          <w:marLeft w:val="274"/>
          <w:marRight w:val="0"/>
          <w:marTop w:val="0"/>
          <w:marBottom w:val="120"/>
          <w:divBdr>
            <w:top w:val="none" w:sz="0" w:space="0" w:color="auto"/>
            <w:left w:val="none" w:sz="0" w:space="0" w:color="auto"/>
            <w:bottom w:val="none" w:sz="0" w:space="0" w:color="auto"/>
            <w:right w:val="none" w:sz="0" w:space="0" w:color="auto"/>
          </w:divBdr>
        </w:div>
        <w:div w:id="1341278874">
          <w:marLeft w:val="274"/>
          <w:marRight w:val="0"/>
          <w:marTop w:val="0"/>
          <w:marBottom w:val="120"/>
          <w:divBdr>
            <w:top w:val="none" w:sz="0" w:space="0" w:color="auto"/>
            <w:left w:val="none" w:sz="0" w:space="0" w:color="auto"/>
            <w:bottom w:val="none" w:sz="0" w:space="0" w:color="auto"/>
            <w:right w:val="none" w:sz="0" w:space="0" w:color="auto"/>
          </w:divBdr>
        </w:div>
        <w:div w:id="1946384511">
          <w:marLeft w:val="274"/>
          <w:marRight w:val="0"/>
          <w:marTop w:val="0"/>
          <w:marBottom w:val="120"/>
          <w:divBdr>
            <w:top w:val="none" w:sz="0" w:space="0" w:color="auto"/>
            <w:left w:val="none" w:sz="0" w:space="0" w:color="auto"/>
            <w:bottom w:val="none" w:sz="0" w:space="0" w:color="auto"/>
            <w:right w:val="none" w:sz="0" w:space="0" w:color="auto"/>
          </w:divBdr>
        </w:div>
        <w:div w:id="1974559349">
          <w:marLeft w:val="274"/>
          <w:marRight w:val="0"/>
          <w:marTop w:val="0"/>
          <w:marBottom w:val="120"/>
          <w:divBdr>
            <w:top w:val="none" w:sz="0" w:space="0" w:color="auto"/>
            <w:left w:val="none" w:sz="0" w:space="0" w:color="auto"/>
            <w:bottom w:val="none" w:sz="0" w:space="0" w:color="auto"/>
            <w:right w:val="none" w:sz="0" w:space="0" w:color="auto"/>
          </w:divBdr>
        </w:div>
      </w:divsChild>
    </w:div>
    <w:div w:id="1792699625">
      <w:bodyDiv w:val="1"/>
      <w:marLeft w:val="0"/>
      <w:marRight w:val="0"/>
      <w:marTop w:val="0"/>
      <w:marBottom w:val="0"/>
      <w:divBdr>
        <w:top w:val="none" w:sz="0" w:space="0" w:color="auto"/>
        <w:left w:val="none" w:sz="0" w:space="0" w:color="auto"/>
        <w:bottom w:val="none" w:sz="0" w:space="0" w:color="auto"/>
        <w:right w:val="none" w:sz="0" w:space="0" w:color="auto"/>
      </w:divBdr>
    </w:div>
    <w:div w:id="1820606501">
      <w:bodyDiv w:val="1"/>
      <w:marLeft w:val="0"/>
      <w:marRight w:val="0"/>
      <w:marTop w:val="0"/>
      <w:marBottom w:val="0"/>
      <w:divBdr>
        <w:top w:val="none" w:sz="0" w:space="0" w:color="auto"/>
        <w:left w:val="none" w:sz="0" w:space="0" w:color="auto"/>
        <w:bottom w:val="none" w:sz="0" w:space="0" w:color="auto"/>
        <w:right w:val="none" w:sz="0" w:space="0" w:color="auto"/>
      </w:divBdr>
    </w:div>
    <w:div w:id="1850173086">
      <w:bodyDiv w:val="1"/>
      <w:marLeft w:val="0"/>
      <w:marRight w:val="0"/>
      <w:marTop w:val="0"/>
      <w:marBottom w:val="0"/>
      <w:divBdr>
        <w:top w:val="none" w:sz="0" w:space="0" w:color="auto"/>
        <w:left w:val="none" w:sz="0" w:space="0" w:color="auto"/>
        <w:bottom w:val="none" w:sz="0" w:space="0" w:color="auto"/>
        <w:right w:val="none" w:sz="0" w:space="0" w:color="auto"/>
      </w:divBdr>
      <w:divsChild>
        <w:div w:id="181011995">
          <w:marLeft w:val="288"/>
          <w:marRight w:val="0"/>
          <w:marTop w:val="0"/>
          <w:marBottom w:val="160"/>
          <w:divBdr>
            <w:top w:val="none" w:sz="0" w:space="0" w:color="auto"/>
            <w:left w:val="none" w:sz="0" w:space="0" w:color="auto"/>
            <w:bottom w:val="none" w:sz="0" w:space="0" w:color="auto"/>
            <w:right w:val="none" w:sz="0" w:space="0" w:color="auto"/>
          </w:divBdr>
        </w:div>
        <w:div w:id="1276211500">
          <w:marLeft w:val="288"/>
          <w:marRight w:val="0"/>
          <w:marTop w:val="0"/>
          <w:marBottom w:val="160"/>
          <w:divBdr>
            <w:top w:val="none" w:sz="0" w:space="0" w:color="auto"/>
            <w:left w:val="none" w:sz="0" w:space="0" w:color="auto"/>
            <w:bottom w:val="none" w:sz="0" w:space="0" w:color="auto"/>
            <w:right w:val="none" w:sz="0" w:space="0" w:color="auto"/>
          </w:divBdr>
        </w:div>
        <w:div w:id="1403288070">
          <w:marLeft w:val="288"/>
          <w:marRight w:val="0"/>
          <w:marTop w:val="0"/>
          <w:marBottom w:val="160"/>
          <w:divBdr>
            <w:top w:val="none" w:sz="0" w:space="0" w:color="auto"/>
            <w:left w:val="none" w:sz="0" w:space="0" w:color="auto"/>
            <w:bottom w:val="none" w:sz="0" w:space="0" w:color="auto"/>
            <w:right w:val="none" w:sz="0" w:space="0" w:color="auto"/>
          </w:divBdr>
        </w:div>
      </w:divsChild>
    </w:div>
    <w:div w:id="1857301477">
      <w:bodyDiv w:val="1"/>
      <w:marLeft w:val="0"/>
      <w:marRight w:val="0"/>
      <w:marTop w:val="0"/>
      <w:marBottom w:val="0"/>
      <w:divBdr>
        <w:top w:val="none" w:sz="0" w:space="0" w:color="auto"/>
        <w:left w:val="none" w:sz="0" w:space="0" w:color="auto"/>
        <w:bottom w:val="none" w:sz="0" w:space="0" w:color="auto"/>
        <w:right w:val="none" w:sz="0" w:space="0" w:color="auto"/>
      </w:divBdr>
      <w:divsChild>
        <w:div w:id="115759978">
          <w:marLeft w:val="288"/>
          <w:marRight w:val="0"/>
          <w:marTop w:val="0"/>
          <w:marBottom w:val="80"/>
          <w:divBdr>
            <w:top w:val="none" w:sz="0" w:space="0" w:color="auto"/>
            <w:left w:val="none" w:sz="0" w:space="0" w:color="auto"/>
            <w:bottom w:val="none" w:sz="0" w:space="0" w:color="auto"/>
            <w:right w:val="none" w:sz="0" w:space="0" w:color="auto"/>
          </w:divBdr>
        </w:div>
        <w:div w:id="489562146">
          <w:marLeft w:val="288"/>
          <w:marRight w:val="0"/>
          <w:marTop w:val="0"/>
          <w:marBottom w:val="80"/>
          <w:divBdr>
            <w:top w:val="none" w:sz="0" w:space="0" w:color="auto"/>
            <w:left w:val="none" w:sz="0" w:space="0" w:color="auto"/>
            <w:bottom w:val="none" w:sz="0" w:space="0" w:color="auto"/>
            <w:right w:val="none" w:sz="0" w:space="0" w:color="auto"/>
          </w:divBdr>
        </w:div>
        <w:div w:id="522793611">
          <w:marLeft w:val="288"/>
          <w:marRight w:val="0"/>
          <w:marTop w:val="0"/>
          <w:marBottom w:val="80"/>
          <w:divBdr>
            <w:top w:val="none" w:sz="0" w:space="0" w:color="auto"/>
            <w:left w:val="none" w:sz="0" w:space="0" w:color="auto"/>
            <w:bottom w:val="none" w:sz="0" w:space="0" w:color="auto"/>
            <w:right w:val="none" w:sz="0" w:space="0" w:color="auto"/>
          </w:divBdr>
        </w:div>
        <w:div w:id="576482344">
          <w:marLeft w:val="288"/>
          <w:marRight w:val="0"/>
          <w:marTop w:val="0"/>
          <w:marBottom w:val="80"/>
          <w:divBdr>
            <w:top w:val="none" w:sz="0" w:space="0" w:color="auto"/>
            <w:left w:val="none" w:sz="0" w:space="0" w:color="auto"/>
            <w:bottom w:val="none" w:sz="0" w:space="0" w:color="auto"/>
            <w:right w:val="none" w:sz="0" w:space="0" w:color="auto"/>
          </w:divBdr>
        </w:div>
        <w:div w:id="965700081">
          <w:marLeft w:val="288"/>
          <w:marRight w:val="0"/>
          <w:marTop w:val="0"/>
          <w:marBottom w:val="80"/>
          <w:divBdr>
            <w:top w:val="none" w:sz="0" w:space="0" w:color="auto"/>
            <w:left w:val="none" w:sz="0" w:space="0" w:color="auto"/>
            <w:bottom w:val="none" w:sz="0" w:space="0" w:color="auto"/>
            <w:right w:val="none" w:sz="0" w:space="0" w:color="auto"/>
          </w:divBdr>
        </w:div>
        <w:div w:id="1539662902">
          <w:marLeft w:val="288"/>
          <w:marRight w:val="0"/>
          <w:marTop w:val="0"/>
          <w:marBottom w:val="80"/>
          <w:divBdr>
            <w:top w:val="none" w:sz="0" w:space="0" w:color="auto"/>
            <w:left w:val="none" w:sz="0" w:space="0" w:color="auto"/>
            <w:bottom w:val="none" w:sz="0" w:space="0" w:color="auto"/>
            <w:right w:val="none" w:sz="0" w:space="0" w:color="auto"/>
          </w:divBdr>
        </w:div>
        <w:div w:id="1803845175">
          <w:marLeft w:val="288"/>
          <w:marRight w:val="0"/>
          <w:marTop w:val="0"/>
          <w:marBottom w:val="80"/>
          <w:divBdr>
            <w:top w:val="none" w:sz="0" w:space="0" w:color="auto"/>
            <w:left w:val="none" w:sz="0" w:space="0" w:color="auto"/>
            <w:bottom w:val="none" w:sz="0" w:space="0" w:color="auto"/>
            <w:right w:val="none" w:sz="0" w:space="0" w:color="auto"/>
          </w:divBdr>
        </w:div>
        <w:div w:id="1903442160">
          <w:marLeft w:val="288"/>
          <w:marRight w:val="0"/>
          <w:marTop w:val="0"/>
          <w:marBottom w:val="80"/>
          <w:divBdr>
            <w:top w:val="none" w:sz="0" w:space="0" w:color="auto"/>
            <w:left w:val="none" w:sz="0" w:space="0" w:color="auto"/>
            <w:bottom w:val="none" w:sz="0" w:space="0" w:color="auto"/>
            <w:right w:val="none" w:sz="0" w:space="0" w:color="auto"/>
          </w:divBdr>
        </w:div>
      </w:divsChild>
    </w:div>
    <w:div w:id="1867399856">
      <w:bodyDiv w:val="1"/>
      <w:marLeft w:val="0"/>
      <w:marRight w:val="0"/>
      <w:marTop w:val="0"/>
      <w:marBottom w:val="0"/>
      <w:divBdr>
        <w:top w:val="none" w:sz="0" w:space="0" w:color="auto"/>
        <w:left w:val="none" w:sz="0" w:space="0" w:color="auto"/>
        <w:bottom w:val="none" w:sz="0" w:space="0" w:color="auto"/>
        <w:right w:val="none" w:sz="0" w:space="0" w:color="auto"/>
      </w:divBdr>
    </w:div>
    <w:div w:id="1896502432">
      <w:bodyDiv w:val="1"/>
      <w:marLeft w:val="0"/>
      <w:marRight w:val="0"/>
      <w:marTop w:val="0"/>
      <w:marBottom w:val="0"/>
      <w:divBdr>
        <w:top w:val="none" w:sz="0" w:space="0" w:color="auto"/>
        <w:left w:val="none" w:sz="0" w:space="0" w:color="auto"/>
        <w:bottom w:val="none" w:sz="0" w:space="0" w:color="auto"/>
        <w:right w:val="none" w:sz="0" w:space="0" w:color="auto"/>
      </w:divBdr>
      <w:divsChild>
        <w:div w:id="640427043">
          <w:marLeft w:val="288"/>
          <w:marRight w:val="0"/>
          <w:marTop w:val="0"/>
          <w:marBottom w:val="160"/>
          <w:divBdr>
            <w:top w:val="none" w:sz="0" w:space="0" w:color="auto"/>
            <w:left w:val="none" w:sz="0" w:space="0" w:color="auto"/>
            <w:bottom w:val="none" w:sz="0" w:space="0" w:color="auto"/>
            <w:right w:val="none" w:sz="0" w:space="0" w:color="auto"/>
          </w:divBdr>
        </w:div>
        <w:div w:id="800807764">
          <w:marLeft w:val="288"/>
          <w:marRight w:val="0"/>
          <w:marTop w:val="0"/>
          <w:marBottom w:val="160"/>
          <w:divBdr>
            <w:top w:val="none" w:sz="0" w:space="0" w:color="auto"/>
            <w:left w:val="none" w:sz="0" w:space="0" w:color="auto"/>
            <w:bottom w:val="none" w:sz="0" w:space="0" w:color="auto"/>
            <w:right w:val="none" w:sz="0" w:space="0" w:color="auto"/>
          </w:divBdr>
        </w:div>
        <w:div w:id="1276863536">
          <w:marLeft w:val="288"/>
          <w:marRight w:val="0"/>
          <w:marTop w:val="0"/>
          <w:marBottom w:val="160"/>
          <w:divBdr>
            <w:top w:val="none" w:sz="0" w:space="0" w:color="auto"/>
            <w:left w:val="none" w:sz="0" w:space="0" w:color="auto"/>
            <w:bottom w:val="none" w:sz="0" w:space="0" w:color="auto"/>
            <w:right w:val="none" w:sz="0" w:space="0" w:color="auto"/>
          </w:divBdr>
        </w:div>
      </w:divsChild>
    </w:div>
    <w:div w:id="2018917389">
      <w:bodyDiv w:val="1"/>
      <w:marLeft w:val="0"/>
      <w:marRight w:val="0"/>
      <w:marTop w:val="0"/>
      <w:marBottom w:val="0"/>
      <w:divBdr>
        <w:top w:val="none" w:sz="0" w:space="0" w:color="auto"/>
        <w:left w:val="none" w:sz="0" w:space="0" w:color="auto"/>
        <w:bottom w:val="none" w:sz="0" w:space="0" w:color="auto"/>
        <w:right w:val="none" w:sz="0" w:space="0" w:color="auto"/>
      </w:divBdr>
      <w:divsChild>
        <w:div w:id="47338949">
          <w:marLeft w:val="274"/>
          <w:marRight w:val="0"/>
          <w:marTop w:val="0"/>
          <w:marBottom w:val="60"/>
          <w:divBdr>
            <w:top w:val="none" w:sz="0" w:space="0" w:color="auto"/>
            <w:left w:val="none" w:sz="0" w:space="0" w:color="auto"/>
            <w:bottom w:val="none" w:sz="0" w:space="0" w:color="auto"/>
            <w:right w:val="none" w:sz="0" w:space="0" w:color="auto"/>
          </w:divBdr>
        </w:div>
        <w:div w:id="260920167">
          <w:marLeft w:val="274"/>
          <w:marRight w:val="0"/>
          <w:marTop w:val="0"/>
          <w:marBottom w:val="60"/>
          <w:divBdr>
            <w:top w:val="none" w:sz="0" w:space="0" w:color="auto"/>
            <w:left w:val="none" w:sz="0" w:space="0" w:color="auto"/>
            <w:bottom w:val="none" w:sz="0" w:space="0" w:color="auto"/>
            <w:right w:val="none" w:sz="0" w:space="0" w:color="auto"/>
          </w:divBdr>
        </w:div>
        <w:div w:id="372584353">
          <w:marLeft w:val="274"/>
          <w:marRight w:val="0"/>
          <w:marTop w:val="0"/>
          <w:marBottom w:val="60"/>
          <w:divBdr>
            <w:top w:val="none" w:sz="0" w:space="0" w:color="auto"/>
            <w:left w:val="none" w:sz="0" w:space="0" w:color="auto"/>
            <w:bottom w:val="none" w:sz="0" w:space="0" w:color="auto"/>
            <w:right w:val="none" w:sz="0" w:space="0" w:color="auto"/>
          </w:divBdr>
        </w:div>
        <w:div w:id="464468351">
          <w:marLeft w:val="274"/>
          <w:marRight w:val="0"/>
          <w:marTop w:val="0"/>
          <w:marBottom w:val="60"/>
          <w:divBdr>
            <w:top w:val="none" w:sz="0" w:space="0" w:color="auto"/>
            <w:left w:val="none" w:sz="0" w:space="0" w:color="auto"/>
            <w:bottom w:val="none" w:sz="0" w:space="0" w:color="auto"/>
            <w:right w:val="none" w:sz="0" w:space="0" w:color="auto"/>
          </w:divBdr>
        </w:div>
        <w:div w:id="613369938">
          <w:marLeft w:val="274"/>
          <w:marRight w:val="0"/>
          <w:marTop w:val="0"/>
          <w:marBottom w:val="60"/>
          <w:divBdr>
            <w:top w:val="none" w:sz="0" w:space="0" w:color="auto"/>
            <w:left w:val="none" w:sz="0" w:space="0" w:color="auto"/>
            <w:bottom w:val="none" w:sz="0" w:space="0" w:color="auto"/>
            <w:right w:val="none" w:sz="0" w:space="0" w:color="auto"/>
          </w:divBdr>
        </w:div>
        <w:div w:id="728967182">
          <w:marLeft w:val="274"/>
          <w:marRight w:val="0"/>
          <w:marTop w:val="0"/>
          <w:marBottom w:val="60"/>
          <w:divBdr>
            <w:top w:val="none" w:sz="0" w:space="0" w:color="auto"/>
            <w:left w:val="none" w:sz="0" w:space="0" w:color="auto"/>
            <w:bottom w:val="none" w:sz="0" w:space="0" w:color="auto"/>
            <w:right w:val="none" w:sz="0" w:space="0" w:color="auto"/>
          </w:divBdr>
        </w:div>
        <w:div w:id="892043257">
          <w:marLeft w:val="274"/>
          <w:marRight w:val="0"/>
          <w:marTop w:val="0"/>
          <w:marBottom w:val="60"/>
          <w:divBdr>
            <w:top w:val="none" w:sz="0" w:space="0" w:color="auto"/>
            <w:left w:val="none" w:sz="0" w:space="0" w:color="auto"/>
            <w:bottom w:val="none" w:sz="0" w:space="0" w:color="auto"/>
            <w:right w:val="none" w:sz="0" w:space="0" w:color="auto"/>
          </w:divBdr>
        </w:div>
        <w:div w:id="1274941651">
          <w:marLeft w:val="274"/>
          <w:marRight w:val="0"/>
          <w:marTop w:val="0"/>
          <w:marBottom w:val="60"/>
          <w:divBdr>
            <w:top w:val="none" w:sz="0" w:space="0" w:color="auto"/>
            <w:left w:val="none" w:sz="0" w:space="0" w:color="auto"/>
            <w:bottom w:val="none" w:sz="0" w:space="0" w:color="auto"/>
            <w:right w:val="none" w:sz="0" w:space="0" w:color="auto"/>
          </w:divBdr>
        </w:div>
        <w:div w:id="1886522600">
          <w:marLeft w:val="274"/>
          <w:marRight w:val="0"/>
          <w:marTop w:val="0"/>
          <w:marBottom w:val="60"/>
          <w:divBdr>
            <w:top w:val="none" w:sz="0" w:space="0" w:color="auto"/>
            <w:left w:val="none" w:sz="0" w:space="0" w:color="auto"/>
            <w:bottom w:val="none" w:sz="0" w:space="0" w:color="auto"/>
            <w:right w:val="none" w:sz="0" w:space="0" w:color="auto"/>
          </w:divBdr>
        </w:div>
      </w:divsChild>
    </w:div>
    <w:div w:id="2100561282">
      <w:bodyDiv w:val="1"/>
      <w:marLeft w:val="0"/>
      <w:marRight w:val="0"/>
      <w:marTop w:val="0"/>
      <w:marBottom w:val="0"/>
      <w:divBdr>
        <w:top w:val="none" w:sz="0" w:space="0" w:color="auto"/>
        <w:left w:val="none" w:sz="0" w:space="0" w:color="auto"/>
        <w:bottom w:val="none" w:sz="0" w:space="0" w:color="auto"/>
        <w:right w:val="none" w:sz="0" w:space="0" w:color="auto"/>
      </w:divBdr>
      <w:divsChild>
        <w:div w:id="77295764">
          <w:marLeft w:val="274"/>
          <w:marRight w:val="0"/>
          <w:marTop w:val="0"/>
          <w:marBottom w:val="120"/>
          <w:divBdr>
            <w:top w:val="none" w:sz="0" w:space="0" w:color="auto"/>
            <w:left w:val="none" w:sz="0" w:space="0" w:color="auto"/>
            <w:bottom w:val="none" w:sz="0" w:space="0" w:color="auto"/>
            <w:right w:val="none" w:sz="0" w:space="0" w:color="auto"/>
          </w:divBdr>
        </w:div>
      </w:divsChild>
    </w:div>
    <w:div w:id="2146504526">
      <w:bodyDiv w:val="1"/>
      <w:marLeft w:val="0"/>
      <w:marRight w:val="0"/>
      <w:marTop w:val="0"/>
      <w:marBottom w:val="0"/>
      <w:divBdr>
        <w:top w:val="none" w:sz="0" w:space="0" w:color="auto"/>
        <w:left w:val="none" w:sz="0" w:space="0" w:color="auto"/>
        <w:bottom w:val="none" w:sz="0" w:space="0" w:color="auto"/>
        <w:right w:val="none" w:sz="0" w:space="0" w:color="auto"/>
      </w:divBdr>
      <w:divsChild>
        <w:div w:id="435516315">
          <w:marLeft w:val="274"/>
          <w:marRight w:val="0"/>
          <w:marTop w:val="0"/>
          <w:marBottom w:val="120"/>
          <w:divBdr>
            <w:top w:val="none" w:sz="0" w:space="0" w:color="auto"/>
            <w:left w:val="none" w:sz="0" w:space="0" w:color="auto"/>
            <w:bottom w:val="none" w:sz="0" w:space="0" w:color="auto"/>
            <w:right w:val="none" w:sz="0" w:space="0" w:color="auto"/>
          </w:divBdr>
        </w:div>
        <w:div w:id="1118446429">
          <w:marLeft w:val="274"/>
          <w:marRight w:val="0"/>
          <w:marTop w:val="0"/>
          <w:marBottom w:val="120"/>
          <w:divBdr>
            <w:top w:val="none" w:sz="0" w:space="0" w:color="auto"/>
            <w:left w:val="none" w:sz="0" w:space="0" w:color="auto"/>
            <w:bottom w:val="none" w:sz="0" w:space="0" w:color="auto"/>
            <w:right w:val="none" w:sz="0" w:space="0" w:color="auto"/>
          </w:divBdr>
        </w:div>
        <w:div w:id="1820030885">
          <w:marLeft w:val="274"/>
          <w:marRight w:val="0"/>
          <w:marTop w:val="0"/>
          <w:marBottom w:val="120"/>
          <w:divBdr>
            <w:top w:val="none" w:sz="0" w:space="0" w:color="auto"/>
            <w:left w:val="none" w:sz="0" w:space="0" w:color="auto"/>
            <w:bottom w:val="none" w:sz="0" w:space="0" w:color="auto"/>
            <w:right w:val="none" w:sz="0" w:space="0" w:color="auto"/>
          </w:divBdr>
        </w:div>
        <w:div w:id="1963875718">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c5dbf34-c73a-430c-9290-9174ad787734" ContentTypeId="0x0101004E1B537BC2B2AD43A5AF5311D732D3AA1B03"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A1001001A18A02B40159E57649</Item_x0020_ID>
    <Active_x0020_Document xmlns="c5dbf80e-f509-45f6-9fe5-406e3eefabbb">true</Active_x0020_Document>
    <hc3a5e09668742aa96af821d37d4cad5 xmlns="c5dbf80e-f509-45f6-9fe5-406e3eefabbb">
      <Terms xmlns="http://schemas.microsoft.com/office/infopath/2007/PartnerControls">
        <TermInfo xmlns="http://schemas.microsoft.com/office/infopath/2007/PartnerControls">
          <TermName xmlns="http://schemas.microsoft.com/office/infopath/2007/PartnerControls">Monitoring</TermName>
          <TermId xmlns="http://schemas.microsoft.com/office/infopath/2007/PartnerControls">d09bc0a6-4bb4-4848-9100-0cd854a83453</TermId>
        </TermInfo>
      </Terms>
    </hc3a5e09668742aa96af821d37d4cad5>
    <TaxCatchAll xmlns="c5dbf80e-f509-45f6-9fe5-406e3eefabbb">
      <Value>20</Value>
      <Value>52</Value>
      <Value>953</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34ea6f59-a1ac-4819-8503-2c5e12c8b726</TermId>
        </TermInfo>
      </Terms>
    </hc632fe273cb498aa970207d30c3b1d8>
    <bb3aa47ebf1a448dac0ecc5996e92adc xmlns="c5dbf80e-f509-45f6-9fe5-406e3eefabbb">
      <Terms xmlns="http://schemas.microsoft.com/office/infopath/2007/PartnerControls"/>
    </bb3aa47ebf1a448dac0ecc5996e92adc>
    <eeadced8a35a499eaa6ae428604d987c xmlns="c5dbf80e-f509-45f6-9fe5-406e3eefabbb">
      <Terms xmlns="http://schemas.microsoft.com/office/infopath/2007/PartnerControls">
        <TermInfo xmlns="http://schemas.microsoft.com/office/infopath/2007/PartnerControls">
          <TermName xmlns="http://schemas.microsoft.com/office/infopath/2007/PartnerControls">2018/2019</TermName>
          <TermId xmlns="http://schemas.microsoft.com/office/infopath/2007/PartnerControls">ff3574ca-d52a-48e1-8167-04b4586b57aa</TermId>
        </TermInfo>
      </Terms>
    </eeadced8a35a499eaa6ae428604d987c>
    <_dlc_ExpireDateSaved xmlns="http://schemas.microsoft.com/sharepoint/v3" xsi:nil="true"/>
    <_dlc_ExpireDate xmlns="http://schemas.microsoft.com/sharepoint/v3">2022-01-31T09:40:42+00:00</_dlc_ExpireDate>
  </documentManagement>
</p:properties>
</file>

<file path=customXml/item7.xml><?xml version="1.0" encoding="utf-8"?>
<ct:contentTypeSchema xmlns:ct="http://schemas.microsoft.com/office/2006/metadata/contentType" xmlns:ma="http://schemas.microsoft.com/office/2006/metadata/properties/metaAttributes" ct:_="" ma:_="" ma:contentTypeName="Finance Investments and Pensions Fund" ma:contentTypeID="0x0101004E1B537BC2B2AD43A5AF5311D732D3AA1B03007B8A01C8C2F43B4C9C90CDA81A0DD152" ma:contentTypeVersion="2605" ma:contentTypeDescription="" ma:contentTypeScope="" ma:versionID="eca772c25a2def1cfb6271d17caf2eb7">
  <xsd:schema xmlns:xsd="http://www.w3.org/2001/XMLSchema" xmlns:xs="http://www.w3.org/2001/XMLSchema" xmlns:p="http://schemas.microsoft.com/office/2006/metadata/properties" xmlns:ns1="http://schemas.microsoft.com/sharepoint/v3" xmlns:ns2="c5dbf80e-f509-45f6-9fe5-406e3eefabbb" xmlns:ns3="0122a33a-0a1c-45a7-9537-7115cc33a089" targetNamespace="http://schemas.microsoft.com/office/2006/metadata/properties" ma:root="true" ma:fieldsID="290238659ca40e6e4c798fecbab4670f" ns1:_="" ns2:_="" ns3:_="">
    <xsd:import namespace="http://schemas.microsoft.com/sharepoint/v3"/>
    <xsd:import namespace="c5dbf80e-f509-45f6-9fe5-406e3eefabbb"/>
    <xsd:import namespace="0122a33a-0a1c-45a7-9537-7115cc33a089"/>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2:eeadced8a35a499eaa6ae428604d987c" minOccurs="0"/>
                <xsd:element ref="ns1:_dlc_Exempt" minOccurs="0"/>
                <xsd:element ref="ns1:_dlc_ExpireDateSaved" minOccurs="0"/>
                <xsd:element ref="ns1:_dlc_ExpireDate" minOccurs="0"/>
                <xsd:element ref="ns2:hc3a5e09668742aa96af821d37d4cad5" minOccurs="0"/>
                <xsd:element ref="ns2:bb3aa47ebf1a448dac0ecc5996e92ad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476dc05-4891-4dd5-ab76-470f33998f20}" ma:internalName="TaxCatchAll" ma:showField="CatchAllData" ma:web="0122a33a-0a1c-45a7-9537-7115cc33a0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76dc05-4891-4dd5-ab76-470f33998f20}" ma:internalName="TaxCatchAllLabel" ma:readOnly="true" ma:showField="CatchAllDataLabel" ma:web="0122a33a-0a1c-45a7-9537-7115cc33a089">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eeadced8a35a499eaa6ae428604d987c" ma:index="14" nillable="true" ma:taxonomy="true" ma:internalName="eeadced8a35a499eaa6ae428604d987c" ma:taxonomyFieldName="Financial_x0020_Year" ma:displayName="Financial Year" ma:indexed="true" ma:default="52;#2018/2019|ff3574ca-d52a-48e1-8167-04b4586b57aa" ma:fieldId="{eeadced8-a35a-499e-aa6a-e428604d987c}" ma:sspId="3c5dbf34-c73a-430c-9290-9174ad787734" ma:termSetId="7d71bb9a-de29-4fe1-ae9a-43907322fcf5" ma:anchorId="00000000-0000-0000-0000-000000000000" ma:open="false" ma:isKeyword="false">
      <xsd:complexType>
        <xsd:sequence>
          <xsd:element ref="pc:Terms" minOccurs="0" maxOccurs="1"/>
        </xsd:sequence>
      </xsd:complexType>
    </xsd:element>
    <xsd:element name="hc3a5e09668742aa96af821d37d4cad5" ma:index="19" ma:taxonomy="true" ma:internalName="hc3a5e09668742aa96af821d37d4cad5" ma:taxonomyFieldName="Finance_x0020_Investments_x0020_and_x0020_Pensions_x0020_Fund" ma:displayName="Finance Investments and Pensions Fund" ma:indexed="true" ma:readOnly="false" ma:default="" ma:fieldId="{1c3a5e09-6687-42aa-96af-821d37d4cad5}" ma:sspId="3c5dbf34-c73a-430c-9290-9174ad787734" ma:termSetId="99ef83c6-da66-4e35-8905-3b1b09955cd5" ma:anchorId="00000000-0000-0000-0000-000000000000" ma:open="false" ma:isKeyword="false">
      <xsd:complexType>
        <xsd:sequence>
          <xsd:element ref="pc:Terms" minOccurs="0" maxOccurs="1"/>
        </xsd:sequence>
      </xsd:complexType>
    </xsd:element>
    <xsd:element name="bb3aa47ebf1a448dac0ecc5996e92adc" ma:index="21" nillable="true" ma:taxonomy="true" ma:internalName="bb3aa47ebf1a448dac0ecc5996e92adc" ma:taxonomyFieldName="Calendar_x0020_Year" ma:displayName="Calendar Year" ma:indexed="true" ma:default="53;#2018|844dbc8a-5751-4f92-977c-e597d9787dec" ma:fieldId="{bb3aa47e-bf1a-448d-ac0e-cc5996e92adc}" ma:sspId="3c5dbf34-c73a-430c-9290-9174ad787734" ma:termSetId="5226a6e2-e008-4429-ab8c-913ae5ce29f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22a33a-0a1c-45a7-9537-7115cc33a089"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7D4FB-0304-42D4-A8ED-435899447F23}">
  <ds:schemaRefs>
    <ds:schemaRef ds:uri="Microsoft.SharePoint.Taxonomy.ContentTypeSync"/>
  </ds:schemaRefs>
</ds:datastoreItem>
</file>

<file path=customXml/itemProps2.xml><?xml version="1.0" encoding="utf-8"?>
<ds:datastoreItem xmlns:ds="http://schemas.openxmlformats.org/officeDocument/2006/customXml" ds:itemID="{372241E8-E35B-4AAD-BEB0-743B450041AB}">
  <ds:schemaRefs>
    <ds:schemaRef ds:uri="http://schemas.microsoft.com/sharepoint/v3/contenttype/forms"/>
  </ds:schemaRefs>
</ds:datastoreItem>
</file>

<file path=customXml/itemProps3.xml><?xml version="1.0" encoding="utf-8"?>
<ds:datastoreItem xmlns:ds="http://schemas.openxmlformats.org/officeDocument/2006/customXml" ds:itemID="{4E28A25F-E808-4CE5-9721-A03BC4A66DA0}">
  <ds:schemaRefs>
    <ds:schemaRef ds:uri="http://schemas.microsoft.com/office/2006/metadata/longProperties"/>
  </ds:schemaRefs>
</ds:datastoreItem>
</file>

<file path=customXml/itemProps4.xml><?xml version="1.0" encoding="utf-8"?>
<ds:datastoreItem xmlns:ds="http://schemas.openxmlformats.org/officeDocument/2006/customXml" ds:itemID="{ABEF6251-8155-4A6A-9364-87DA125160CA}">
  <ds:schemaRefs>
    <ds:schemaRef ds:uri="office.server.policy"/>
  </ds:schemaRefs>
</ds:datastoreItem>
</file>

<file path=customXml/itemProps5.xml><?xml version="1.0" encoding="utf-8"?>
<ds:datastoreItem xmlns:ds="http://schemas.openxmlformats.org/officeDocument/2006/customXml" ds:itemID="{CEB98A6C-71C5-4F08-AD9E-5FCAF165A239}">
  <ds:schemaRefs>
    <ds:schemaRef ds:uri="http://schemas.microsoft.com/sharepoint/events"/>
  </ds:schemaRefs>
</ds:datastoreItem>
</file>

<file path=customXml/itemProps6.xml><?xml version="1.0" encoding="utf-8"?>
<ds:datastoreItem xmlns:ds="http://schemas.openxmlformats.org/officeDocument/2006/customXml" ds:itemID="{04AF55F8-ED31-4F68-B7C8-96BCFFFEE914}">
  <ds:schemaRefs>
    <ds:schemaRef ds:uri="http://schemas.microsoft.com/office/2006/metadata/properties"/>
    <ds:schemaRef ds:uri="http://schemas.microsoft.com/office/infopath/2007/PartnerControls"/>
    <ds:schemaRef ds:uri="c5dbf80e-f509-45f6-9fe5-406e3eefabbb"/>
    <ds:schemaRef ds:uri="http://schemas.microsoft.com/sharepoint/v3"/>
  </ds:schemaRefs>
</ds:datastoreItem>
</file>

<file path=customXml/itemProps7.xml><?xml version="1.0" encoding="utf-8"?>
<ds:datastoreItem xmlns:ds="http://schemas.openxmlformats.org/officeDocument/2006/customXml" ds:itemID="{8978DDED-D200-4689-896C-E70075811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0122a33a-0a1c-45a7-9537-7115cc33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DC71273-23A9-44DD-864E-61F83AE1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Pages>
  <Words>5362</Words>
  <Characters>30565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PCC JAC 201819 TMSS</vt:lpstr>
    </vt:vector>
  </TitlesOfParts>
  <Company>HP</Company>
  <LinksUpToDate>false</LinksUpToDate>
  <CharactersWithSpaces>35856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JAC 201819 TMSS</dc:title>
  <dc:subject/>
  <dc:creator>Mark Horsfield</dc:creator>
  <cp:keywords/>
  <cp:lastModifiedBy>Sarfas, Rob</cp:lastModifiedBy>
  <cp:revision>322</cp:revision>
  <cp:lastPrinted>2018-01-15T20:51:00Z</cp:lastPrinted>
  <dcterms:created xsi:type="dcterms:W3CDTF">2019-12-09T18:40:00Z</dcterms:created>
  <dcterms:modified xsi:type="dcterms:W3CDTF">2020-01-31T16:42:00Z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Farley, Gemma</vt:lpwstr>
  </property>
  <property fmtid="{D5CDD505-2E9C-101B-9397-08002B2CF9AE}" pid="3" name="display_urn:schemas-microsoft-com:office:office#Author">
    <vt:lpwstr>Farley, Gemma</vt:lpwstr>
  </property>
  <property fmtid="{D5CDD505-2E9C-101B-9397-08002B2CF9AE}" pid="4" name="Order">
    <vt:lpwstr>100.000000000000</vt:lpwstr>
  </property>
  <property fmtid="{D5CDD505-2E9C-101B-9397-08002B2CF9AE}" pid="5" name="ContentTypeId">
    <vt:lpwstr>0x0101004E1B537BC2B2AD43A5AF5311D732D3AA1B03007B8A01C8C2F43B4C9C90CDA81A0DD152</vt:lpwstr>
  </property>
  <property fmtid="{D5CDD505-2E9C-101B-9397-08002B2CF9AE}" pid="6" name="Finance Investments and Pensions Fund">
    <vt:lpwstr>953;#Monitoring|d09bc0a6-4bb4-4848-9100-0cd854a83453</vt:lpwstr>
  </property>
  <property fmtid="{D5CDD505-2E9C-101B-9397-08002B2CF9AE}" pid="7" name="Document Type">
    <vt:lpwstr>20;#Report|34ea6f59-a1ac-4819-8503-2c5e12c8b726</vt:lpwstr>
  </property>
  <property fmtid="{D5CDD505-2E9C-101B-9397-08002B2CF9AE}" pid="8" name="Financial Year">
    <vt:lpwstr>52;#2018/2019|ff3574ca-d52a-48e1-8167-04b4586b57aa</vt:lpwstr>
  </property>
  <property fmtid="{D5CDD505-2E9C-101B-9397-08002B2CF9AE}" pid="9" name="hf6b0bb3ec8741ff8f08cbde0b83b05e">
    <vt:lpwstr/>
  </property>
  <property fmtid="{D5CDD505-2E9C-101B-9397-08002B2CF9AE}" pid="10" name="m042a3c79a104f899bf2333213dedc3f">
    <vt:lpwstr/>
  </property>
  <property fmtid="{D5CDD505-2E9C-101B-9397-08002B2CF9AE}" pid="11" name="Systems (Finance)">
    <vt:lpwstr/>
  </property>
  <property fmtid="{D5CDD505-2E9C-101B-9397-08002B2CF9AE}" pid="12" name="h3c57ee0d733459794e5e77fcc72213d">
    <vt:lpwstr/>
  </property>
  <property fmtid="{D5CDD505-2E9C-101B-9397-08002B2CF9AE}" pid="13" name="j7731e1084b144ad8034d596a228c916">
    <vt:lpwstr/>
  </property>
  <property fmtid="{D5CDD505-2E9C-101B-9397-08002B2CF9AE}" pid="14" name="me72eb8e3be349208f9b2fcfad1928d1">
    <vt:lpwstr/>
  </property>
  <property fmtid="{D5CDD505-2E9C-101B-9397-08002B2CF9AE}" pid="15" name="c08708c1c0b249979edebef252a2fc86">
    <vt:lpwstr/>
  </property>
  <property fmtid="{D5CDD505-2E9C-101B-9397-08002B2CF9AE}" pid="16" name="b86249fded154c1ead0fbd5fedc80039">
    <vt:lpwstr/>
  </property>
  <property fmtid="{D5CDD505-2E9C-101B-9397-08002B2CF9AE}" pid="17" name="Education Financial Services">
    <vt:lpwstr/>
  </property>
  <property fmtid="{D5CDD505-2E9C-101B-9397-08002B2CF9AE}" pid="18" name="bd93d7c1e8624dab9f74edfdbb03615a">
    <vt:lpwstr/>
  </property>
  <property fmtid="{D5CDD505-2E9C-101B-9397-08002B2CF9AE}" pid="19" name="Library Location">
    <vt:lpwstr/>
  </property>
  <property fmtid="{D5CDD505-2E9C-101B-9397-08002B2CF9AE}" pid="20" name="Order to Cash - Accounts Receivable">
    <vt:lpwstr/>
  </property>
  <property fmtid="{D5CDD505-2E9C-101B-9397-08002B2CF9AE}" pid="21" name="Order to Cash - Banking and Control">
    <vt:lpwstr/>
  </property>
  <property fmtid="{D5CDD505-2E9C-101B-9397-08002B2CF9AE}" pid="22" name="Policies and Procedures (Finance)">
    <vt:lpwstr/>
  </property>
  <property fmtid="{D5CDD505-2E9C-101B-9397-08002B2CF9AE}" pid="23" name="lfef263e21e64358a4207c6019732fcd">
    <vt:lpwstr/>
  </property>
  <property fmtid="{D5CDD505-2E9C-101B-9397-08002B2CF9AE}" pid="24" name="ma366bab1acb4913ac9aef0ffab2c0d6">
    <vt:lpwstr/>
  </property>
  <property fmtid="{D5CDD505-2E9C-101B-9397-08002B2CF9AE}" pid="25" name="c7a9373b158a4f25bed816b79f4caa39">
    <vt:lpwstr/>
  </property>
  <property fmtid="{D5CDD505-2E9C-101B-9397-08002B2CF9AE}" pid="26" name="fe085c1eab5e4f4aa569b2f74f4bdacb">
    <vt:lpwstr/>
  </property>
  <property fmtid="{D5CDD505-2E9C-101B-9397-08002B2CF9AE}" pid="27" name="Tax and VAT (Finance)">
    <vt:lpwstr/>
  </property>
  <property fmtid="{D5CDD505-2E9C-101B-9397-08002B2CF9AE}" pid="28" name="Schools">
    <vt:lpwstr/>
  </property>
  <property fmtid="{D5CDD505-2E9C-101B-9397-08002B2CF9AE}" pid="29" name="Budget Preparation (Finance)">
    <vt:lpwstr/>
  </property>
  <property fmtid="{D5CDD505-2E9C-101B-9397-08002B2CF9AE}" pid="30" name="IBC Business Processes">
    <vt:lpwstr/>
  </property>
  <property fmtid="{D5CDD505-2E9C-101B-9397-08002B2CF9AE}" pid="31" name="aff368d56a7a41abac3dff9221a796c7">
    <vt:lpwstr/>
  </property>
  <property fmtid="{D5CDD505-2E9C-101B-9397-08002B2CF9AE}" pid="32" name="g5eed81a661a428094921165885b32ac">
    <vt:lpwstr/>
  </property>
  <property fmtid="{D5CDD505-2E9C-101B-9397-08002B2CF9AE}" pid="33" name="Customer (Finance)">
    <vt:lpwstr/>
  </property>
  <property fmtid="{D5CDD505-2E9C-101B-9397-08002B2CF9AE}" pid="34" name="Budget Monitoring (Finance)">
    <vt:lpwstr/>
  </property>
  <property fmtid="{D5CDD505-2E9C-101B-9397-08002B2CF9AE}" pid="35" name="Final Accounts (Finance)">
    <vt:lpwstr/>
  </property>
  <property fmtid="{D5CDD505-2E9C-101B-9397-08002B2CF9AE}" pid="36" name="Calendar Year">
    <vt:lpwstr/>
  </property>
  <property fmtid="{D5CDD505-2E9C-101B-9397-08002B2CF9AE}" pid="37" name="Groups and Meetings (Finance)">
    <vt:lpwstr/>
  </property>
  <property fmtid="{D5CDD505-2E9C-101B-9397-08002B2CF9AE}" pid="38" name="p90e31759909486091d47177bed7da9a">
    <vt:lpwstr/>
  </property>
  <property fmtid="{D5CDD505-2E9C-101B-9397-08002B2CF9AE}" pid="39" name="cf18ccb67a8c47b4a12d68c41e3eb221">
    <vt:lpwstr/>
  </property>
  <property fmtid="{D5CDD505-2E9C-101B-9397-08002B2CF9AE}" pid="40" name="Purchase to Pay">
    <vt:lpwstr/>
  </property>
  <property fmtid="{D5CDD505-2E9C-101B-9397-08002B2CF9AE}" pid="41" name="SAP Master Data Management">
    <vt:lpwstr/>
  </property>
  <property fmtid="{D5CDD505-2E9C-101B-9397-08002B2CF9AE}" pid="42" name="acb6aedd868e448598333099d9979513">
    <vt:lpwstr/>
  </property>
  <property fmtid="{D5CDD505-2E9C-101B-9397-08002B2CF9AE}" pid="43" name="Financial Analysis">
    <vt:lpwstr/>
  </property>
  <property fmtid="{D5CDD505-2E9C-101B-9397-08002B2CF9AE}" pid="44" name="_dlc_ExpireDate">
    <vt:lpwstr>2021-01-14T17:46:42Z</vt:lpwstr>
  </property>
  <property fmtid="{D5CDD505-2E9C-101B-9397-08002B2CF9AE}" pid="4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46" name="_dlc_policyId">
    <vt:lpwstr>0x0101004E1B537BC2B2AD43A5AF5311D732D3AA|1208973698</vt:lpwstr>
  </property>
</Properties>
</file>